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7B88" w14:textId="76E62688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2 -</w:t>
      </w:r>
      <w:r>
        <w:rPr>
          <w:szCs w:val="24"/>
          <w:lang w:val="pt-BR"/>
        </w:rPr>
        <w:t xml:space="preserve"> Fator demográfico no Estado do Paraná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szCs w:val="24"/>
          <w:lang w:val="pt-BR"/>
        </w:rPr>
        <w:t>)</w:t>
      </w:r>
    </w:p>
    <w:p w14:paraId="7F74D21D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13D833AD" wp14:editId="68432586">
            <wp:extent cx="3240000" cy="2848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d_demo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CA8D" w14:textId="0E2B2807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