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A93A8" w14:textId="48702593" w:rsidR="00CA52E5" w:rsidRPr="003907C1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3 -</w:t>
      </w:r>
      <w:r>
        <w:rPr>
          <w:szCs w:val="24"/>
          <w:lang w:val="pt-BR"/>
        </w:rPr>
        <w:t xml:space="preserve"> Fator socioeconômico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szCs w:val="24"/>
          <w:lang w:val="pt-BR"/>
        </w:rPr>
        <w:t>)</w:t>
      </w:r>
    </w:p>
    <w:p w14:paraId="7C0F66E6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73036FED" wp14:editId="65E9C6AA">
            <wp:extent cx="3240000" cy="2848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s_socioeconom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FC34" w14:textId="2FEF02EA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