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16BA1" w14:textId="709659D3" w:rsidR="00CA52E5" w:rsidRPr="00287047" w:rsidRDefault="00287047" w:rsidP="00287047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1 –</w:t>
      </w:r>
      <w:r>
        <w:rPr>
          <w:szCs w:val="24"/>
          <w:lang w:val="pt-BR"/>
        </w:rPr>
        <w:t xml:space="preserve"> Quadro Síntese do Fator Educacional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rPr>
          <w:szCs w:val="24"/>
          <w:lang w:val="pt-BR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87"/>
        <w:gridCol w:w="1545"/>
        <w:gridCol w:w="1092"/>
        <w:gridCol w:w="950"/>
        <w:gridCol w:w="647"/>
        <w:gridCol w:w="1462"/>
        <w:gridCol w:w="1035"/>
        <w:gridCol w:w="1044"/>
      </w:tblGrid>
      <w:tr w:rsidR="00CA52E5" w14:paraId="42A43CE2" w14:textId="77777777" w:rsidTr="00D77F3F">
        <w:tc>
          <w:tcPr>
            <w:tcW w:w="688" w:type="pct"/>
            <w:shd w:val="clear" w:color="auto" w:fill="984806" w:themeFill="accent6" w:themeFillShade="80"/>
          </w:tcPr>
          <w:p w14:paraId="7E7ADD98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Indicador</w:t>
            </w:r>
          </w:p>
        </w:tc>
        <w:tc>
          <w:tcPr>
            <w:tcW w:w="969" w:type="pct"/>
            <w:shd w:val="clear" w:color="auto" w:fill="984806" w:themeFill="accent6" w:themeFillShade="80"/>
          </w:tcPr>
          <w:p w14:paraId="4A9415D1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Cálculo</w:t>
            </w:r>
          </w:p>
        </w:tc>
        <w:tc>
          <w:tcPr>
            <w:tcW w:w="719" w:type="pct"/>
            <w:shd w:val="clear" w:color="auto" w:fill="984806" w:themeFill="accent6" w:themeFillShade="80"/>
          </w:tcPr>
          <w:p w14:paraId="2E15C7AC" w14:textId="28F03E8F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 xml:space="preserve">Fonte / Ano</w:t>
            </w:r>
          </w:p>
        </w:tc>
        <w:tc>
          <w:tcPr>
            <w:tcW w:w="406" w:type="pct"/>
            <w:shd w:val="clear" w:color="auto" w:fill="984806" w:themeFill="accent6" w:themeFillShade="80"/>
          </w:tcPr>
          <w:p w14:paraId="1499D5AC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Sentido</w:t>
            </w:r>
          </w:p>
        </w:tc>
        <w:tc>
          <w:tcPr>
            <w:tcW w:w="281" w:type="pct"/>
            <w:shd w:val="clear" w:color="auto" w:fill="984806" w:themeFill="accent6" w:themeFillShade="80"/>
          </w:tcPr>
          <w:p w14:paraId="6CA6E632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Cs w:val="18"/>
              </w:rPr>
            </w:pPr>
            <w:r>
              <w:rPr>
                <w:b/>
                <w:color w:val="FFFFFF" w:themeColor="background1"/>
                <w:szCs w:val="18"/>
              </w:rPr>
              <w:t>Peso</w:t>
            </w:r>
          </w:p>
        </w:tc>
        <w:tc>
          <w:tcPr>
            <w:tcW w:w="687" w:type="pct"/>
            <w:shd w:val="clear" w:color="auto" w:fill="984806" w:themeFill="accent6" w:themeFillShade="80"/>
          </w:tcPr>
          <w:p w14:paraId="59DA0DA4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Paraná</w:t>
            </w:r>
          </w:p>
        </w:tc>
        <w:tc>
          <w:tcPr>
            <w:tcW w:w="687" w:type="pct"/>
            <w:shd w:val="clear" w:color="auto" w:fill="984806" w:themeFill="accent6" w:themeFillShade="80"/>
          </w:tcPr>
          <w:p w14:paraId="1D4A21A0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Brasil</w:t>
            </w:r>
          </w:p>
        </w:tc>
        <w:tc>
          <w:tcPr>
            <w:tcW w:w="562" w:type="pct"/>
            <w:shd w:val="clear" w:color="auto" w:fill="984806" w:themeFill="accent6" w:themeFillShade="80"/>
          </w:tcPr>
          <w:p w14:paraId="3FF8B0D2" w14:textId="6B681392" w:rsidR="00CA52E5" w:rsidRPr="00287047" w:rsidRDefault="00287047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 xml:space="preserve">Posição PR</w:t>
            </w:r>
          </w:p>
        </w:tc>
      </w:tr>
      <w:tr w:rsidR="00CA52E5" w:rsidRPr="0071165A" w14:paraId="3AA74D83" w14:textId="77777777" w:rsidTr="003907C1">
        <w:tc>
          <w:tcPr>
            <w:tcW w:w="688" w:type="pct"/>
            <w:vAlign w:val="center"/>
          </w:tcPr>
          <w:p w14:paraId="31C086B7" w14:textId="77777777" w:rsidR="00CA52E5" w:rsidRPr="00287047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Cobertura de creche (MC)</w:t>
            </w:r>
          </w:p>
        </w:tc>
        <w:tc>
          <w:tcPr>
            <w:tcW w:w="969" w:type="pct"/>
            <w:vAlign w:val="center"/>
          </w:tcPr>
          <w:p w14:paraId="41FCE170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Matrículas em creche / população de 0 a 4 anos</w:t>
            </w:r>
          </w:p>
        </w:tc>
        <w:tc>
          <w:tcPr>
            <w:tcW w:w="719" w:type="pct"/>
            <w:vAlign w:val="center"/>
          </w:tcPr>
          <w:p w14:paraId="1D61600E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Censo Escolar 2023 (Inep); Censo 2022 (IBGE)</w:t>
            </w:r>
          </w:p>
        </w:tc>
        <w:tc>
          <w:tcPr>
            <w:tcW w:w="406" w:type="pct"/>
            <w:vAlign w:val="center"/>
          </w:tcPr>
          <w:p w14:paraId="3BAEAECF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Inverso</w:t>
            </w:r>
          </w:p>
        </w:tc>
        <w:tc>
          <w:tcPr>
            <w:tcW w:w="281" w:type="pct"/>
            <w:vAlign w:val="center"/>
          </w:tcPr>
          <w:p w14:paraId="37751E1B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687" w:type="pct"/>
            <w:vAlign w:val="center"/>
          </w:tcPr>
          <w:p w14:paraId="2310C2A9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26,5% (0 a 4 anos); 42,0% (0 a 3 anos, PNAD 2024)</w:t>
            </w:r>
          </w:p>
        </w:tc>
        <w:tc>
          <w:tcPr>
            <w:tcW w:w="687" w:type="pct"/>
            <w:vAlign w:val="center"/>
          </w:tcPr>
          <w:p w14:paraId="5508807F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41,2% (0 a 3 anos, PNAD 2024)</w:t>
            </w:r>
          </w:p>
        </w:tc>
        <w:tc>
          <w:tcPr>
            <w:tcW w:w="562" w:type="pct"/>
            <w:vAlign w:val="center"/>
          </w:tcPr>
          <w:p w14:paraId="42365D55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 xml:space="preserve">4ª maior cobertura entre 27 UFs</w:t>
            </w:r>
          </w:p>
        </w:tc>
      </w:tr>
      <w:tr w:rsidR="00CA52E5" w14:paraId="07F23A00" w14:textId="77777777" w:rsidTr="003907C1">
        <w:tc>
          <w:tcPr>
            <w:tcW w:w="688" w:type="pct"/>
            <w:vAlign w:val="center"/>
          </w:tcPr>
          <w:p w14:paraId="3F5566F1" w14:textId="77777777" w:rsidR="00CA52E5" w:rsidRPr="00287047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Matrícula em pré-escola e fundamental (MP)</w:t>
            </w:r>
          </w:p>
        </w:tc>
        <w:tc>
          <w:tcPr>
            <w:tcW w:w="969" w:type="pct"/>
            <w:vAlign w:val="center"/>
          </w:tcPr>
          <w:p w14:paraId="4A5B08E9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Matrículas em pré-escola e ensino fundamental / população de 5 a 14 anos</w:t>
            </w:r>
          </w:p>
        </w:tc>
        <w:tc>
          <w:tcPr>
            <w:tcW w:w="719" w:type="pct"/>
            <w:vAlign w:val="center"/>
          </w:tcPr>
          <w:p w14:paraId="2171B8ED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Censo Escolar 2023 (Inep); Censo 2022 (IBGE)</w:t>
            </w:r>
          </w:p>
        </w:tc>
        <w:tc>
          <w:tcPr>
            <w:tcW w:w="406" w:type="pct"/>
            <w:vAlign w:val="center"/>
          </w:tcPr>
          <w:p w14:paraId="22D00D41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Inverso</w:t>
            </w:r>
          </w:p>
        </w:tc>
        <w:tc>
          <w:tcPr>
            <w:tcW w:w="281" w:type="pct"/>
            <w:vAlign w:val="center"/>
          </w:tcPr>
          <w:p w14:paraId="22993016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69D67BAE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Mediana municipal de 1,11 matrícula por criança</w:t>
            </w:r>
          </w:p>
        </w:tc>
        <w:tc>
          <w:tcPr>
            <w:tcW w:w="687" w:type="pct"/>
            <w:vAlign w:val="center"/>
          </w:tcPr>
          <w:p w14:paraId="6453AB2F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Não disponível por UF na mesma base</w:t>
            </w:r>
          </w:p>
        </w:tc>
        <w:tc>
          <w:tcPr>
            <w:tcW w:w="562" w:type="pct"/>
            <w:vAlign w:val="center"/>
          </w:tcPr>
          <w:p w14:paraId="78DB1644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Não comparado</w:t>
            </w:r>
          </w:p>
        </w:tc>
      </w:tr>
      <w:tr w:rsidR="00CA52E5" w14:paraId="0BEC6852" w14:textId="77777777" w:rsidTr="003907C1">
        <w:tc>
          <w:tcPr>
            <w:tcW w:w="688" w:type="pct"/>
            <w:vAlign w:val="center"/>
          </w:tcPr>
          <w:p w14:paraId="72A7B8E3" w14:textId="77777777" w:rsidR="00CA52E5" w:rsidRPr="00287047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Oferta privada (OP)</w:t>
            </w:r>
          </w:p>
        </w:tc>
        <w:tc>
          <w:tcPr>
            <w:tcW w:w="969" w:type="pct"/>
            <w:vAlign w:val="center"/>
          </w:tcPr>
          <w:p w14:paraId="276CC0B9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Estabelecimentos privados com creche / total de estabelecimentos com creche</w:t>
            </w:r>
          </w:p>
        </w:tc>
        <w:tc>
          <w:tcPr>
            <w:tcW w:w="719" w:type="pct"/>
            <w:vAlign w:val="center"/>
          </w:tcPr>
          <w:p w14:paraId="122A2E09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Censo Escolar 2023 (Inep)</w:t>
            </w:r>
          </w:p>
        </w:tc>
        <w:tc>
          <w:tcPr>
            <w:tcW w:w="406" w:type="pct"/>
            <w:vAlign w:val="center"/>
          </w:tcPr>
          <w:p w14:paraId="7734C4EA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Inverso</w:t>
            </w:r>
          </w:p>
        </w:tc>
        <w:tc>
          <w:tcPr>
            <w:tcW w:w="281" w:type="pct"/>
            <w:vAlign w:val="center"/>
          </w:tcPr>
          <w:p w14:paraId="3E73474F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678376BE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42,3% dos estabelecimentos</w:t>
            </w:r>
          </w:p>
        </w:tc>
        <w:tc>
          <w:tcPr>
            <w:tcW w:w="687" w:type="pct"/>
            <w:vAlign w:val="center"/>
          </w:tcPr>
          <w:p w14:paraId="396F3715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33,1% das matrículas em creche na rede privada (2024)</w:t>
            </w:r>
          </w:p>
        </w:tc>
        <w:tc>
          <w:tcPr>
            <w:tcW w:w="562" w:type="pct"/>
            <w:vAlign w:val="center"/>
          </w:tcPr>
          <w:p w14:paraId="7AA0F538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Não comparável (unidades distintas)</w:t>
            </w:r>
          </w:p>
        </w:tc>
      </w:tr>
    </w:tbl>
    <w:p w14:paraId="2909F1C1" w14:textId="1E85EFD5" w:rsidR="00CA52E5" w:rsidRPr="0071165A" w:rsidRDefault="00000000" w:rsidP="003F6B06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