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A696" w14:textId="5C67487F" w:rsidR="00D77F3F" w:rsidRPr="00287047" w:rsidRDefault="00D77F3F" w:rsidP="00D77F3F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2 –</w:t>
      </w:r>
      <w:r>
        <w:rPr>
          <w:szCs w:val="24"/>
          <w:lang w:val="pt-BR"/>
        </w:rPr>
        <w:t xml:space="preserve"> Quadro Síntese do Fator Demográfico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634"/>
        <w:gridCol w:w="1229"/>
        <w:gridCol w:w="950"/>
        <w:gridCol w:w="695"/>
        <w:gridCol w:w="1172"/>
        <w:gridCol w:w="1172"/>
        <w:gridCol w:w="983"/>
      </w:tblGrid>
      <w:tr w:rsidR="00CA52E5" w:rsidRPr="00D77F3F" w14:paraId="0A8AF74A" w14:textId="77777777" w:rsidTr="00D77F3F">
        <w:tc>
          <w:tcPr>
            <w:tcW w:w="688" w:type="pct"/>
            <w:shd w:val="clear" w:color="auto" w:fill="0171C1"/>
          </w:tcPr>
          <w:p w14:paraId="187715A1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969" w:type="pct"/>
            <w:shd w:val="clear" w:color="auto" w:fill="0171C1"/>
          </w:tcPr>
          <w:p w14:paraId="2B85800E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719" w:type="pct"/>
            <w:shd w:val="clear" w:color="auto" w:fill="0171C1"/>
          </w:tcPr>
          <w:p w14:paraId="3B8E6643" w14:textId="7E1D4DA6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Fonte / Ano</w:t>
            </w:r>
          </w:p>
        </w:tc>
        <w:tc>
          <w:tcPr>
            <w:tcW w:w="406" w:type="pct"/>
            <w:shd w:val="clear" w:color="auto" w:fill="0171C1"/>
          </w:tcPr>
          <w:p w14:paraId="60F5F5A0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281" w:type="pct"/>
            <w:shd w:val="clear" w:color="auto" w:fill="0171C1"/>
          </w:tcPr>
          <w:p w14:paraId="56DCDA6F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687" w:type="pct"/>
            <w:shd w:val="clear" w:color="auto" w:fill="0171C1"/>
          </w:tcPr>
          <w:p w14:paraId="71B4AFF5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687" w:type="pct"/>
            <w:shd w:val="clear" w:color="auto" w:fill="0171C1"/>
          </w:tcPr>
          <w:p w14:paraId="3BCF4FD4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562" w:type="pct"/>
            <w:shd w:val="clear" w:color="auto" w:fill="0171C1"/>
          </w:tcPr>
          <w:p w14:paraId="1B363B3B" w14:textId="60685825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D77F3F" w14:paraId="7E12BECD" w14:textId="77777777" w:rsidTr="003907C1">
        <w:tc>
          <w:tcPr>
            <w:tcW w:w="688" w:type="pct"/>
          </w:tcPr>
          <w:p w14:paraId="103D95D9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Mortalidade infantil (MI)</w:t>
            </w:r>
          </w:p>
        </w:tc>
        <w:tc>
          <w:tcPr>
            <w:tcW w:w="969" w:type="pct"/>
            <w:vAlign w:val="center"/>
          </w:tcPr>
          <w:p w14:paraId="25AA4FA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Óbitos de menores de 1 ano × 1.000 / nascidos vivos</w:t>
            </w:r>
          </w:p>
        </w:tc>
        <w:tc>
          <w:tcPr>
            <w:tcW w:w="719" w:type="pct"/>
            <w:vAlign w:val="center"/>
          </w:tcPr>
          <w:p w14:paraId="11BE2E0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SIM e Sinasc 2020 (Datasus)</w:t>
            </w:r>
          </w:p>
        </w:tc>
        <w:tc>
          <w:tcPr>
            <w:tcW w:w="406" w:type="pct"/>
            <w:vAlign w:val="center"/>
          </w:tcPr>
          <w:p w14:paraId="47F9A30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4EEF4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4CA97A9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10,8 por mil (2023)</w:t>
            </w:r>
          </w:p>
        </w:tc>
        <w:tc>
          <w:tcPr>
            <w:tcW w:w="687" w:type="pct"/>
            <w:vAlign w:val="center"/>
          </w:tcPr>
          <w:p w14:paraId="1CD0F037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12,6 por mil (2023)</w:t>
            </w:r>
          </w:p>
        </w:tc>
        <w:tc>
          <w:tcPr>
            <w:tcW w:w="562" w:type="pct"/>
            <w:vAlign w:val="center"/>
          </w:tcPr>
          <w:p w14:paraId="169C1D0A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3ª menor entre 27 UFs</w:t>
            </w:r>
          </w:p>
        </w:tc>
      </w:tr>
      <w:tr w:rsidR="00CA52E5" w:rsidRPr="00D77F3F" w14:paraId="3C57F95B" w14:textId="77777777" w:rsidTr="003907C1">
        <w:tc>
          <w:tcPr>
            <w:tcW w:w="688" w:type="pct"/>
          </w:tcPr>
          <w:p w14:paraId="302ECB30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Proporção de crianças pequenas (PC)</w:t>
            </w:r>
          </w:p>
        </w:tc>
        <w:tc>
          <w:tcPr>
            <w:tcW w:w="969" w:type="pct"/>
            <w:vAlign w:val="center"/>
          </w:tcPr>
          <w:p w14:paraId="0E35CEED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População da faixa etária infantil / população total</w:t>
            </w:r>
          </w:p>
        </w:tc>
        <w:tc>
          <w:tcPr>
            <w:tcW w:w="719" w:type="pct"/>
            <w:vAlign w:val="center"/>
          </w:tcPr>
          <w:p w14:paraId="41500F7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2022 (IBGE)</w:t>
            </w:r>
          </w:p>
        </w:tc>
        <w:tc>
          <w:tcPr>
            <w:tcW w:w="406" w:type="pct"/>
            <w:vAlign w:val="center"/>
          </w:tcPr>
          <w:p w14:paraId="376D6ED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7C42138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DF52C8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6,1% de 0 a 4 anos (2022)</w:t>
            </w:r>
          </w:p>
        </w:tc>
        <w:tc>
          <w:tcPr>
            <w:tcW w:w="687" w:type="pct"/>
            <w:vAlign w:val="center"/>
          </w:tcPr>
          <w:p w14:paraId="11BA910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6,3% (2022)</w:t>
            </w:r>
          </w:p>
        </w:tc>
        <w:tc>
          <w:tcPr>
            <w:tcW w:w="562" w:type="pct"/>
            <w:vAlign w:val="center"/>
          </w:tcPr>
          <w:p w14:paraId="3D59E2A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6ª menor</w:t>
            </w:r>
          </w:p>
        </w:tc>
      </w:tr>
      <w:tr w:rsidR="00CA52E5" w:rsidRPr="00D77F3F" w14:paraId="56B6968B" w14:textId="77777777" w:rsidTr="003907C1">
        <w:tc>
          <w:tcPr>
            <w:tcW w:w="688" w:type="pct"/>
          </w:tcPr>
          <w:p w14:paraId="1605DABF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Taxa de natalidade (TN)</w:t>
            </w:r>
          </w:p>
        </w:tc>
        <w:tc>
          <w:tcPr>
            <w:tcW w:w="969" w:type="pct"/>
            <w:vAlign w:val="center"/>
          </w:tcPr>
          <w:p w14:paraId="79A59E2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Nascidos vivos × 1.000 / população</w:t>
            </w:r>
          </w:p>
        </w:tc>
        <w:tc>
          <w:tcPr>
            <w:tcW w:w="719" w:type="pct"/>
            <w:vAlign w:val="center"/>
          </w:tcPr>
          <w:p w14:paraId="61B278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Ipardes, BDEweb 2022</w:t>
            </w:r>
          </w:p>
        </w:tc>
        <w:tc>
          <w:tcPr>
            <w:tcW w:w="406" w:type="pct"/>
            <w:vAlign w:val="center"/>
          </w:tcPr>
          <w:p w14:paraId="16BBD67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3F1E6074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B670CD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12,2 por mil (2023)</w:t>
            </w:r>
          </w:p>
        </w:tc>
        <w:tc>
          <w:tcPr>
            <w:tcW w:w="687" w:type="pct"/>
            <w:vAlign w:val="center"/>
          </w:tcPr>
          <w:p w14:paraId="0B649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12,5 por mil (2023)</w:t>
            </w:r>
          </w:p>
        </w:tc>
        <w:tc>
          <w:tcPr>
            <w:tcW w:w="562" w:type="pct"/>
            <w:vAlign w:val="center"/>
          </w:tcPr>
          <w:p w14:paraId="2D27460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7ª menor</w:t>
            </w:r>
          </w:p>
        </w:tc>
      </w:tr>
    </w:tbl>
    <w:p w14:paraId="43466546" w14:textId="7DC84EE4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