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D2A2" w14:textId="62D4D5C2" w:rsidR="003907C1" w:rsidRPr="00287047" w:rsidRDefault="003907C1" w:rsidP="003907C1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3 –</w:t>
      </w:r>
      <w:r>
        <w:rPr>
          <w:szCs w:val="24"/>
          <w:lang w:val="pt-BR"/>
        </w:rPr>
        <w:t xml:space="preserve"> Quadro Síntese do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7"/>
        <w:gridCol w:w="1569"/>
        <w:gridCol w:w="1608"/>
        <w:gridCol w:w="950"/>
        <w:gridCol w:w="695"/>
        <w:gridCol w:w="1028"/>
        <w:gridCol w:w="1044"/>
        <w:gridCol w:w="1051"/>
      </w:tblGrid>
      <w:tr w:rsidR="003907C1" w:rsidRPr="003907C1" w14:paraId="444EA35E" w14:textId="77777777" w:rsidTr="00D07F41">
        <w:tc>
          <w:tcPr>
            <w:tcW w:w="598" w:type="pct"/>
            <w:shd w:val="clear" w:color="auto" w:fill="009051"/>
            <w:vAlign w:val="center"/>
          </w:tcPr>
          <w:p w14:paraId="2F995456" w14:textId="37C20830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887" w:type="pct"/>
            <w:shd w:val="clear" w:color="auto" w:fill="009051"/>
            <w:vAlign w:val="center"/>
          </w:tcPr>
          <w:p w14:paraId="28453325" w14:textId="68C64D89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909" w:type="pct"/>
            <w:shd w:val="clear" w:color="auto" w:fill="009051"/>
            <w:vAlign w:val="center"/>
          </w:tcPr>
          <w:p w14:paraId="01C7EC5C" w14:textId="092D193A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Fonte / Ano</w:t>
            </w:r>
          </w:p>
        </w:tc>
        <w:tc>
          <w:tcPr>
            <w:tcW w:w="472" w:type="pct"/>
            <w:shd w:val="clear" w:color="auto" w:fill="009051"/>
            <w:vAlign w:val="center"/>
          </w:tcPr>
          <w:p w14:paraId="6DC337B2" w14:textId="442CD216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348" w:type="pct"/>
            <w:shd w:val="clear" w:color="auto" w:fill="009051"/>
            <w:vAlign w:val="center"/>
          </w:tcPr>
          <w:p w14:paraId="753CA34C" w14:textId="2041E162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588" w:type="pct"/>
            <w:shd w:val="clear" w:color="auto" w:fill="009051"/>
            <w:vAlign w:val="center"/>
          </w:tcPr>
          <w:p w14:paraId="32518023" w14:textId="5CBED797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597" w:type="pct"/>
            <w:shd w:val="clear" w:color="auto" w:fill="009051"/>
            <w:vAlign w:val="center"/>
          </w:tcPr>
          <w:p w14:paraId="7BAD9D59" w14:textId="5A56E3BB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601" w:type="pct"/>
            <w:shd w:val="clear" w:color="auto" w:fill="009051"/>
            <w:vAlign w:val="center"/>
          </w:tcPr>
          <w:p w14:paraId="4E7A48FB" w14:textId="7E9B912E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3907C1" w14:paraId="467BE9AE" w14:textId="77777777" w:rsidTr="003907C1">
        <w:tc>
          <w:tcPr>
            <w:tcW w:w="598" w:type="pct"/>
            <w:vAlign w:val="center"/>
          </w:tcPr>
          <w:p w14:paraId="17DE335A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Baixo peso para a idade (BP)</w:t>
            </w:r>
          </w:p>
        </w:tc>
        <w:tc>
          <w:tcPr>
            <w:tcW w:w="887" w:type="pct"/>
            <w:vAlign w:val="center"/>
          </w:tcPr>
          <w:p w14:paraId="4264D4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de 0 a 4 anos com peso baixo para a idade / crianças acompanhadas</w:t>
            </w:r>
          </w:p>
        </w:tc>
        <w:tc>
          <w:tcPr>
            <w:tcW w:w="909" w:type="pct"/>
            <w:vAlign w:val="center"/>
          </w:tcPr>
          <w:p w14:paraId="312F327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Sisvan 2023 (Ministério da Saúde)</w:t>
            </w:r>
          </w:p>
        </w:tc>
        <w:tc>
          <w:tcPr>
            <w:tcW w:w="472" w:type="pct"/>
            <w:vAlign w:val="center"/>
          </w:tcPr>
          <w:p w14:paraId="7AB057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5A2CBE2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0186F8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2,8%</w:t>
            </w:r>
          </w:p>
        </w:tc>
        <w:tc>
          <w:tcPr>
            <w:tcW w:w="597" w:type="pct"/>
            <w:vAlign w:val="center"/>
          </w:tcPr>
          <w:p w14:paraId="3203407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nos relatórios públicos</w:t>
            </w:r>
          </w:p>
        </w:tc>
        <w:tc>
          <w:tcPr>
            <w:tcW w:w="601" w:type="pct"/>
            <w:vAlign w:val="center"/>
          </w:tcPr>
          <w:p w14:paraId="41CBE77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4A27D97D" w14:textId="77777777" w:rsidTr="003907C1">
        <w:tc>
          <w:tcPr>
            <w:tcW w:w="598" w:type="pct"/>
            <w:vAlign w:val="center"/>
          </w:tcPr>
          <w:p w14:paraId="1AC09CD8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Crianças no Cadastro Único (CU)</w:t>
            </w:r>
          </w:p>
        </w:tc>
        <w:tc>
          <w:tcPr>
            <w:tcW w:w="887" w:type="pct"/>
            <w:vAlign w:val="center"/>
          </w:tcPr>
          <w:p w14:paraId="6A4DBBC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a acompanhar pelas condicionalidades de saúde / população de 0 a 9 anos</w:t>
            </w:r>
          </w:p>
        </w:tc>
        <w:tc>
          <w:tcPr>
            <w:tcW w:w="909" w:type="pct"/>
            <w:vAlign w:val="center"/>
          </w:tcPr>
          <w:p w14:paraId="4329625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Condicionalidades do Bolsa Família 2023 (Ministério da Saúde)</w:t>
            </w:r>
          </w:p>
        </w:tc>
        <w:tc>
          <w:tcPr>
            <w:tcW w:w="472" w:type="pct"/>
            <w:vAlign w:val="center"/>
          </w:tcPr>
          <w:p w14:paraId="25AE5B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2CE7EB7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5840599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23,6%</w:t>
            </w:r>
          </w:p>
        </w:tc>
        <w:tc>
          <w:tcPr>
            <w:tcW w:w="597" w:type="pct"/>
            <w:vAlign w:val="center"/>
          </w:tcPr>
          <w:p w14:paraId="37B8F1C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55,4% das crianças de 0 a 6 anos no CadÚnico (out. 2023)</w:t>
            </w:r>
          </w:p>
        </w:tc>
        <w:tc>
          <w:tcPr>
            <w:tcW w:w="601" w:type="pct"/>
            <w:vAlign w:val="center"/>
          </w:tcPr>
          <w:p w14:paraId="4D1F706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1002507C" w14:textId="77777777" w:rsidTr="003907C1">
        <w:tc>
          <w:tcPr>
            <w:tcW w:w="598" w:type="pct"/>
            <w:vAlign w:val="center"/>
          </w:tcPr>
          <w:p w14:paraId="75CF617B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Renda, emprego e produção (IR)</w:t>
            </w:r>
          </w:p>
        </w:tc>
        <w:tc>
          <w:tcPr>
            <w:tcW w:w="887" w:type="pct"/>
            <w:vAlign w:val="center"/>
          </w:tcPr>
          <w:p w14:paraId="2FDB9A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Dimensão renda, emprego e produção agropecuária do IPDM</w:t>
            </w:r>
          </w:p>
        </w:tc>
        <w:tc>
          <w:tcPr>
            <w:tcW w:w="909" w:type="pct"/>
            <w:vAlign w:val="center"/>
          </w:tcPr>
          <w:p w14:paraId="16B1D3F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IPDM 2021 (Ipardes)</w:t>
            </w:r>
          </w:p>
        </w:tc>
        <w:tc>
          <w:tcPr>
            <w:tcW w:w="472" w:type="pct"/>
            <w:vAlign w:val="center"/>
          </w:tcPr>
          <w:p w14:paraId="3F1E86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348" w:type="pct"/>
            <w:vAlign w:val="center"/>
          </w:tcPr>
          <w:p w14:paraId="112DC8A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24780E6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Renda domiciliar per capita de R$ 2.482 (2024); pobreza de 13,9%</w:t>
            </w:r>
          </w:p>
        </w:tc>
        <w:tc>
          <w:tcPr>
            <w:tcW w:w="597" w:type="pct"/>
            <w:vAlign w:val="center"/>
          </w:tcPr>
          <w:p w14:paraId="2CCD6D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R$ 2.069; pobreza de 23,4%</w:t>
            </w:r>
          </w:p>
        </w:tc>
        <w:tc>
          <w:tcPr>
            <w:tcW w:w="601" w:type="pct"/>
            <w:vAlign w:val="center"/>
          </w:tcPr>
          <w:p w14:paraId="5FF9DF8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6ª maior renda; 4ª menor pobreza</w:t>
            </w:r>
          </w:p>
        </w:tc>
      </w:tr>
    </w:tbl>
    <w:p w14:paraId="1475D72B" w14:textId="0EC71CA8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