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sz w:val="24"/>
        </w:rPr>
        <w:t>Resposta ao parecer</w:t>
      </w:r>
    </w:p>
    <w:p>
      <w:pPr>
        <w:spacing w:after="280"/>
        <w:jc w:val="center"/>
      </w:pPr>
      <w:r>
        <w:rPr>
          <w:b w:val="0"/>
          <w:i/>
          <w:sz w:val="20"/>
        </w:rPr>
        <w:t>Manuscrito “De indicador a regra de alocação: Potencial de Creche por Município no Programa Infância Feliz” (versão revisada)</w:t>
      </w:r>
    </w:p>
    <w:p>
      <w:pPr>
        <w:jc w:val="both"/>
      </w:pPr>
      <w:r>
        <w:rPr>
          <w:b w:val="0"/>
          <w:i w:val="0"/>
        </w:rPr>
        <w:t>Agradecemos à editoria e ao parecer pela leitura cuidadosa do manuscrito. Atendemos aos cinco pontos indicados e descrevemos abaixo cada alteração, com sua localização na versão revisada. A versão com marcas destaca em amarelo todo trecho novo ou modificado.</w:t>
      </w:r>
    </w:p>
    <w:p>
      <w:pPr>
        <w:jc w:val="both"/>
      </w:pPr>
      <w:r>
        <w:rPr>
          <w:b w:val="0"/>
          <w:i w:val="0"/>
        </w:rPr>
        <w:t>O manuscrito continua com 22 páginas. Para acomodar os acréscimos, enxugamos o roteiro da introdução, a abertura da seção 3 e passagens da seção 2, e retiramos linhas em branco entre parágrafos, figuras e tabelas.</w:t>
      </w:r>
    </w:p>
    <w:tbl>
      <w:tblPr>
        <w:tblStyle w:val="TableGrid"/>
        <w:tblW w:type="dxa" w:w="9071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5216"/>
        <w:gridCol w:w="1474"/>
      </w:tblGrid>
      <w:tr>
        <w:tc>
          <w:tcPr>
            <w:tcW w:type="dxa" w:w="2381"/>
            <w:shd w:val="clear" w:color="auto" w:fill="0171C1"/>
          </w:tcPr>
          <w:p>
            <w:pPr>
              <w:spacing w:after="60" w:line="240" w:lineRule="auto"/>
            </w:pPr>
            <w:r/>
            <w:r>
              <w:rPr>
                <w:b/>
                <w:color w:val="FFFFFF"/>
                <w:sz w:val="19"/>
              </w:rPr>
              <w:t>Ponto do parecer</w:t>
            </w:r>
          </w:p>
        </w:tc>
        <w:tc>
          <w:tcPr>
            <w:tcW w:type="dxa" w:w="5216"/>
            <w:shd w:val="clear" w:color="auto" w:fill="0171C1"/>
          </w:tcPr>
          <w:p>
            <w:pPr>
              <w:spacing w:after="60" w:line="240" w:lineRule="auto"/>
            </w:pPr>
            <w:r/>
            <w:r>
              <w:rPr>
                <w:b/>
                <w:color w:val="FFFFFF"/>
                <w:sz w:val="19"/>
              </w:rPr>
              <w:t>Resposta e alteração realizada</w:t>
            </w:r>
          </w:p>
        </w:tc>
        <w:tc>
          <w:tcPr>
            <w:tcW w:type="dxa" w:w="1474"/>
            <w:shd w:val="clear" w:color="auto" w:fill="0171C1"/>
          </w:tcPr>
          <w:p>
            <w:pPr>
              <w:spacing w:after="60" w:line="240" w:lineRule="auto"/>
            </w:pPr>
            <w:r/>
            <w:r>
              <w:rPr>
                <w:b/>
                <w:color w:val="FFFFFF"/>
                <w:sz w:val="19"/>
              </w:rPr>
              <w:t>Localização</w:t>
            </w:r>
          </w:p>
        </w:tc>
      </w:tr>
      <w:tr>
        <w:tc>
          <w:tcPr>
            <w:tcW w:type="dxa" w:w="2381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1. Detalhar, em nota, a comparabilidade do cenário populacional alternativo, caracterizando-o como análise contrafactual.</w:t>
            </w:r>
          </w:p>
        </w:tc>
        <w:tc>
          <w:tcPr>
            <w:tcW w:type="dxa" w:w="5216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Incluímos, ao fim da seção 4.2, um parágrafo que compara a versão de maio de 2024, aprovada pelo CEDCA/PR, com o critério apenas populacional: 258 contra 147 municípios contemplados, 6 contra 37 unidades em Curitiba, 28% contra 13% das unidades nos 80 municípios de maior PCM e 89% contra 85% das crianças de zero a quatro anos em municípios contemplados.</w:t>
            </w:r>
          </w:p>
          <w:p>
            <w:pPr>
              <w:spacing w:after="60" w:line="240" w:lineRule="auto"/>
            </w:pPr>
            <w:r>
              <w:rPr>
                <w:b w:val="0"/>
                <w:sz w:val="19"/>
              </w:rPr>
              <w:t>A nova nota caracteriza o critério como simulação contrafactual da distribuição que se observaria na ausência da regra adotada. Ela detalha a comparabilidade: mesmas 300 unidades e 399 municípios, população de zero a quatro anos do Censo 2022, arredondamento pelo maior resto, sem PCM, faixas, cotas, tetos ou etapa prévia. Informa também o que a versão de maio inclui (etapa prévia e unidades redistribuídas), o resultado da versão de março e o caráter estático da simulação.</w:t>
            </w:r>
          </w:p>
        </w:tc>
        <w:tc>
          <w:tcPr>
            <w:tcW w:type="dxa" w:w="1474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Seção 4.2, último parágrafo; nota 8</w:t>
            </w:r>
          </w:p>
        </w:tc>
      </w:tr>
      <w:tr>
        <w:tc>
          <w:tcPr>
            <w:tcW w:type="dxa" w:w="2381"/>
            <w:shd w:val="clear" w:color="auto" w:fill="EDEDED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2. Fundamentar os pesos dos pilares (2, 1 e 2) e esclarecer se decorreram de decisão discricionária da gestão pública ou de critérios validados de focalização social.</w:t>
            </w:r>
          </w:p>
        </w:tc>
        <w:tc>
          <w:tcPr>
            <w:tcW w:type="dxa" w:w="5216"/>
            <w:shd w:val="clear" w:color="auto" w:fill="EDEDED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A seção 3.4 agora declara que os pesos decorreram de decisão discricionária da gestão pública, de natureza normativa: a equipe técnica os fixou e o CEDCA/PR os aprovou com o estudo e o ranqueamento. Os pesos não foram estimados a partir dos dados nem extraídos de critério de focalização previamente validado.</w:t>
            </w:r>
          </w:p>
          <w:p>
            <w:pPr>
              <w:spacing w:after="60" w:line="240" w:lineRule="auto"/>
            </w:pPr>
            <w:r>
              <w:rPr>
                <w:b w:val="0"/>
                <w:sz w:val="19"/>
              </w:rPr>
              <w:t>Fundamentação teórica: classificação dos pesos normativos (Decancq e Lugo, 2013, referência acrescentada), o Handbook da OCDE/JRC (2008, p. 31), o foco legal do programa nas crianças em situação de vulnerabilidade social e a evidência da seção 2.2.</w:t>
            </w:r>
          </w:p>
          <w:p>
            <w:pPr>
              <w:spacing w:after="60" w:line="240" w:lineRule="auto"/>
            </w:pPr>
            <w:r>
              <w:rPr>
                <w:b w:val="0"/>
                <w:sz w:val="19"/>
              </w:rPr>
              <w:t>Fundamentação técnica: a correlação fraca entre os fatores (0,02 a 0,23) torna pouco informativos pesos estatísticos (OECD; JRC, 2008, p. 32, 89), e a instabilidade da mortalidade infantil nos municípios pequenos pesa contra o fator demográfico.</w:t>
            </w:r>
          </w:p>
          <w:p>
            <w:pPr>
              <w:spacing w:after="60" w:line="240" w:lineRule="auto"/>
            </w:pPr>
            <w:r>
              <w:rPr>
                <w:b w:val="0"/>
                <w:sz w:val="19"/>
              </w:rPr>
              <w:t>A análise de sensibilidade passou a medir o efeito sobre a seleção: com pesos iguais, peso 3 no fator socioeconômico ou normalização por percentis, a correlação de postos fica entre 0,93 e 0,97, e de 138 a 144 dos 157 municípios selecionados nas faixas menores se mantêm.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Seção 3.4, dois parágrafos após a Figura 3 e parágrafo após o Mapa 4; Referências</w:t>
            </w:r>
          </w:p>
        </w:tc>
      </w:tr>
      <w:tr>
        <w:tc>
          <w:tcPr>
            <w:tcW w:type="dxa" w:w="2381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3. Reescrever a seção 5 (clareza, coesão, coerência e assertividade) e, se necessário, tornar as demais seções mais concisas.</w:t>
            </w:r>
          </w:p>
        </w:tc>
        <w:tc>
          <w:tcPr>
            <w:tcW w:type="dxa" w:w="5216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A seção 5 foi reescrita por inteiro. Ela retoma a pergunta do artigo, apresenta as três lições com a tese em destaque, situa a terceira lição na economia política do gasto público, registra as limitações e encerra com a contribuição do caso. As expressões vagas e as frases fragmentadas da versão anterior foram eliminadas.</w:t>
            </w:r>
          </w:p>
        </w:tc>
        <w:tc>
          <w:tcPr>
            <w:tcW w:type="dxa" w:w="1474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Seção 5; seções 1, 2.3 e 3 (enxugamento)</w:t>
            </w:r>
          </w:p>
        </w:tc>
      </w:tr>
      <w:tr>
        <w:tc>
          <w:tcPr>
            <w:tcW w:type="dxa" w:w="2381"/>
            <w:shd w:val="clear" w:color="auto" w:fill="EDEDED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4. Reformular as três lições, explicitando a conexão entre resultados e inferências; esclarecer os números da primeira; desdobrar o período longo da terceira.</w:t>
            </w:r>
          </w:p>
        </w:tc>
        <w:tc>
          <w:tcPr>
            <w:tcW w:type="dxa" w:w="5216"/>
            <w:shd w:val="clear" w:color="auto" w:fill="EDEDED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Lição 1: os números formam um único exemplo. Um município com o PCM médio do estado (0,48) seria contemplado na faixa de 5 a 20 mil habitantes, com corte em 0,469, e ficaria como suplente na de até 5 mil, com corte em 0,513; entre os 30 maiores, o índice apenas pondera a população. O exemplo se liga aos resultados da regra: de 224 para 258 municípios entre versões com o mesmo índice, e 147 no critério populacional.</w:t>
            </w:r>
          </w:p>
          <w:p>
            <w:pPr>
              <w:spacing w:after="60" w:line="240" w:lineRule="auto"/>
            </w:pPr>
            <w:r>
              <w:rPr>
                <w:b w:val="0"/>
                <w:sz w:val="19"/>
              </w:rPr>
              <w:t>Lição 2: apoia-se nas correlações entre os fatores (seção 3.4) e na Tabela 5.</w:t>
            </w:r>
          </w:p>
          <w:p>
            <w:pPr>
              <w:spacing w:after="60" w:line="240" w:lineRule="auto"/>
            </w:pPr>
            <w:r>
              <w:rPr>
                <w:b w:val="0"/>
                <w:sz w:val="19"/>
              </w:rPr>
              <w:t>Lição 3: foi desdobrada em frases curtas e liga a inferência ao que a reconstrução das planilhas mostrou, isto é, onde a decisão seguiu o índice e onde se afastou dele.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Seção 5, lições 1 a 3</w:t>
            </w:r>
          </w:p>
        </w:tc>
      </w:tr>
      <w:tr>
        <w:tc>
          <w:tcPr>
            <w:tcW w:type="dxa" w:w="2381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5. Revisar o parágrafo que termina com “Então, o que explica... (MOGUES, 2015)”.</w:t>
            </w:r>
          </w:p>
        </w:tc>
        <w:tc>
          <w:tcPr>
            <w:tcW w:type="dxa" w:w="5216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O parágrafo foi reescrito. Ele parte da terceira lição, apresenta o argumento de Mogues (2015) em oração completa e faz a ponte com o caso: no Paraná, a decisão de investir em creches precedeu a regra, e o que ficou exposto aos determinantes de economia política do gasto foi a escolha dos municípios. A regra explícita atua sobre esse ambiente porque torna os desvios identificáveis.</w:t>
            </w:r>
          </w:p>
        </w:tc>
        <w:tc>
          <w:tcPr>
            <w:tcW w:type="dxa" w:w="1474"/>
          </w:tcPr>
          <w:p>
            <w:pPr>
              <w:spacing w:after="60" w:line="240" w:lineRule="auto"/>
            </w:pPr>
            <w:r/>
            <w:r>
              <w:rPr>
                <w:b w:val="0"/>
                <w:sz w:val="19"/>
              </w:rPr>
              <w:t>Seção 5, parágrafo após as lições</w:t>
            </w:r>
          </w:p>
        </w:tc>
      </w:tr>
    </w:tbl>
    <w:p/>
    <w:p>
      <w:pPr>
        <w:spacing w:after="80"/>
      </w:pPr>
      <w:r>
        <w:rPr>
          <w:b/>
          <w:i w:val="0"/>
        </w:rPr>
        <w:t>Outras correções feitas durante a revisão</w:t>
      </w:r>
    </w:p>
    <w:p>
      <w:pPr>
        <w:pStyle w:val="ListBullet"/>
        <w:spacing w:after="60"/>
      </w:pPr>
      <w:r>
        <w:rPr>
          <w:sz w:val="21"/>
        </w:rPr>
        <w:t>Seções 3.2 e 4.1: ao reconstruir as planilhas, verificamos que a coluna rotulada como população de 0 a 4 anos contém a população de 5 a 14 anos do Censo 2022. Corrigimos a descrição do indicador PC (texto, Tabela 2 e nota 5) e da população-alvo das cotas dos portes grandes (seção 4.1 e Tabela 6) e medimos o efeito: com a população de 0 a 4 anos, a correlação de postos com o PCM seria 0,99 e 154 das 157 seleções se manteriam.</w:t>
      </w:r>
    </w:p>
    <w:p>
      <w:pPr>
        <w:pStyle w:val="ListBullet"/>
        <w:spacing w:after="60"/>
      </w:pPr>
      <w:r>
        <w:rPr>
          <w:sz w:val="21"/>
        </w:rPr>
        <w:t>Seção 4.1 e Figura 4: o fator m = 0,503 é um valor fixo nas planilhas de março e maio; uma versão anterior calculava 0,438, o PCM médio ponderado pela população-alvo. Como o total dos portes grandes foi fixado em 100 unidades, o valor de m não altera a distribuição. O texto e a Figura 4 descrevem agora esse total fixo.</w:t>
      </w:r>
    </w:p>
    <w:p>
      <w:pPr>
        <w:pStyle w:val="ListBullet"/>
        <w:spacing w:after="60"/>
      </w:pPr>
      <w:r>
        <w:rPr>
          <w:sz w:val="21"/>
        </w:rPr>
        <w:t>Seção 4.2: o texto da Tabela 7 registra que a faixa de 20 a 70 mil habitantes foi ordenada por uma variante com peso 3 no fator socioeconômico e que os ajustes posteriores se afastaram da ordem do índice; a nota 7 detalha a passagem entre as versões.</w:t>
      </w:r>
    </w:p>
    <w:p>
      <w:pPr>
        <w:pStyle w:val="ListBullet"/>
        <w:spacing w:after="60"/>
      </w:pPr>
      <w:r>
        <w:rPr>
          <w:sz w:val="21"/>
        </w:rPr>
        <w:t>Tabelas e legendas: linha de total da Tabela 6 corrigida (30 municípios); rótulo da coluna da Tabela 7 corrigido para “Revisão 05/2024”; legendas da Tabela 3 e do Mapa 3 uniformizadas.</w:t>
      </w:r>
    </w:p>
    <w:p>
      <w:pPr>
        <w:pStyle w:val="ListBullet"/>
        <w:spacing w:after="60"/>
      </w:pPr>
      <w:r>
        <w:rPr>
          <w:sz w:val="21"/>
        </w:rPr>
        <w:t>Material suplementar atualizado com as mesmas correções: Tabelas 2, 3, 6 e 7, Figura 4, Mapa 3, arquivo consolidado, planilha editável das tabelas e planilha de dados de construção do PCM.</w:t>
      </w:r>
    </w:p>
    <w:p>
      <w:pPr>
        <w:jc w:val="both"/>
      </w:pPr>
      <w:r>
        <w:rPr>
          <w:b w:val="0"/>
          <w:i w:val="0"/>
        </w:rPr>
        <w:t>Permanecemos à disposição para novos ajustes.</w:t>
      </w:r>
    </w:p>
    <w:sectPr w:rsidR="00FC693F" w:rsidRPr="0006063C" w:rsidSect="00034616"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