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INFÂNCIA FELIZ “</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w:t>
      </w:r>
      <w:r>
        <w:rPr>
          <w:sz w:val="24"/>
          <w:szCs w:val="21"/>
          <w:highlight w:val="yellow"/>
          <w:lang w:val="pt-BR"/>
        </w:rPr>
        <w:t xml:space="preserve">e uma versão aprovada que contemplou 258 municípios</w:t>
      </w:r>
      <w:r>
        <w:rPr>
          <w:sz w:val="24"/>
          <w:szCs w:val="21"/>
          <w:lang w:val="pt-BR"/>
        </w:rPr>
        <w:t xml:space="preserve">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 xml:space="preserve">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w:t>
      </w:r>
      <w:r>
        <w:rPr>
          <w:sz w:val="24"/>
          <w:szCs w:val="21"/>
          <w:highlight w:val="yellow"/>
        </w:rPr>
        <w:t xml:space="preserve">and an approved version that reached 258 municipalities</w:t>
      </w:r>
      <w:r>
        <w:rPr>
          <w:sz w:val="24"/>
          <w:szCs w:val="21"/>
        </w:rPr>
        <w:t xml:space="preserve">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w:t>
      </w:r>
      <w:r>
        <w:rPr>
          <w:sz w:val="24"/>
          <w:szCs w:val="21"/>
          <w:highlight w:val="yellow"/>
          <w:lang w:val="pt-BR"/>
        </w:rPr>
        <w:t xml:space="preserve">y una versión aprobada que alcanzó 258 municipios</w:t>
      </w:r>
      <w:r>
        <w:rPr>
          <w:sz w:val="24"/>
          <w:szCs w:val="21"/>
          <w:lang w:val="pt-BR"/>
        </w:rPr>
        <w:t xml:space="preserve">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reconstruir essa metodologia e replicar como o indicador serviu de instrumento para essa política pública.  Com isso,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highlight w:val="yellow"/>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lang w:val="pt-BR"/>
        </w:rPr>
        <w:t xml:space="preserve">Em maio de 2024 aprovou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Por fim, Paranacidade, serviço social autônomo da Secretaria das Cidades, elaborou o orçamento de referência e, desde 2025, analisa projetos, autoriza licitações e </w:t>
      </w:r>
      <w:r>
        <w:rPr>
          <w:highlight w:val="yellow"/>
          <w:lang w:val="pt-BR"/>
        </w:rPr>
        <w:t xml:space="preserve">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highlight w:val="yellow"/>
          <w:lang w:val="pt-BR"/>
        </w:rPr>
        <w:t xml:space="preserve">O instrumento financeiro é</w:t>
      </w:r>
      <w:r>
        <w:rPr>
          <w:lang w:val="pt-BR"/>
        </w:rPr>
        <w:t xml:space="preserve"> o incentivo fundo a fundo, previsto na Lei Estadual nº 19.173/2017 e regulamentado pelo Decreto Estadual nº 10.455/2014,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w:t>
      </w:r>
      <w:r>
        <w:rPr>
          <w:highlight w:val="yellow"/>
          <w:lang w:val="pt-BR"/>
        </w:rPr>
        <w:t xml:space="preserve">Os recursos vieram do saldo do FIA/PR, da complementação da Secretaria da Fazenda Estadual e da devolução de duodécimo pela Assembleia Legislativa.</w:t>
      </w:r>
      <w:r>
        <w:rPr>
          <w:lang w:val="pt-BR"/>
        </w:rPr>
        <w:t xml:space="preserve"> </w:t>
      </w:r>
      <w:r>
        <w:rPr>
          <w:highlight w:val="yellow"/>
          <w:lang w:val="pt-BR"/>
        </w:rPr>
        <w:t xml:space="preserve">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highlight w:val="yellow"/>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highlight w:val="yellow"/>
          <w:lang w:val="pt-BR"/>
        </w:rPr>
        <w:t xml:space="preserve">a proporção de crianças na população total (PC):</w:t>
      </w:r>
      <w:r>
        <w:rPr>
          <w:highlight w:val="yellow"/>
          <w:lang w:val="pt-BR"/>
        </w:rPr>
        <w:t xml:space="preserve"> prevista para a faixa de 0 a 4 anos, foi calculada na planilha com a de 5 a 14 anos do Censo de 2022</w:t>
      </w:r>
      <w:r>
        <w:rPr>
          <w:rStyle w:val="FootnoteReference"/>
          <w:lang w:val="pt-BR"/>
        </w:rPr>
        <w:footnoteReference w:id="5"/>
      </w:r>
      <w:r>
        <w:rPr>
          <w:highlight w:val="yellow"/>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w:t>
      </w:r>
      <w:r>
        <w:rPr>
          <w:highlight w:val="yellow"/>
          <w:lang w:val="pt-BR"/>
        </w:rPr>
        <w:t xml:space="preserve">normalizados pelo operador N (na planilha, PC e TN foram apenas divididos pelo maior valor municipal), e o fator</w:t>
      </w:r>
      <w:r>
        <w:rPr>
          <w:lang w:val="pt-BR"/>
        </w:rPr>
        <w:t xml:space="preserve">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highlight w:val="yellow"/>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highlight w:val="yellow"/>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highlight w:val="yellow"/>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highlight w:val="yellow"/>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highlight w:val="yellow"/>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w:t>
      </w:r>
      <w:r>
        <w:rPr>
          <w:highlight w:val="yellow"/>
          <w:lang w:val="pt-BR"/>
        </w:rPr>
        <w:t xml:space="preserve">e a população de 5 a 14 anos, usada no indicador PC, era 13,1% do total em 2022, contra 13,5% (IBGE, 2023).</w:t>
      </w:r>
      <w:r>
        <w:rPr>
          <w:lang w:val="pt-BR"/>
        </w:rPr>
        <w:t xml:space="preserve">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Curitiba tem fator zero, a referência mínima; o máximo é Cruzmaltina; a mediana é 42,1. O fator cai com o tamanho do município e concentra os maiores valores no Centro-Sul, no Vale do Ribeira e no litoral norte (Mapa 3), regiões que a seção 4 mostrará entre as mais contempladas.</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highlight w:val="yellow"/>
          <w:lang w:val="pt-BR"/>
        </w:rPr>
        <w:t xml:space="preserve">Os pesos da Figura 3 decorreram de decisão discricionária da gestão pública: a equipe técnica da Casa Civil os fixou, e o CEDCA/PR os aprovou com o estudo e o ranqueamento (CEDCA, 2024). Não foram estimados a partir dos dados nem extraídos de um critério de focalização previamente validado; são pesos normativos na classificação de Decancq e Lugo (2013), e mesmo pesos estatísticos expressam juízos de valor (OECD; JRC, 2008, p. 31). O juízo segue o foco da lei do programa nas crianças em situação de vulnerabilidade social (PARANÁ, 2023) e a evidência da seção 2.2, segundo a qual a lacuna de vagas é o problema que a obra resolve e o retorno do acesso é maior entre as famílias pobres. Por isso, os fatores educacional e socioeconômico recebem peso 2, e o demográfico, peso 1.</w:t>
      </w:r>
    </w:p>
    <w:p w14:paraId="544ED1A5" w14:textId="77777777">
      <w:pPr>
        <w:rPr>
          <w:lang w:val="pt-BR"/>
        </w:rPr>
      </w:pPr>
      <w:r>
        <w:rPr>
          <w:highlight w:val="yellow"/>
          <w:lang w:val="pt-BR"/>
        </w:rPr>
        <w:t xml:space="preserve">Dois argumentos técnicos, verificados </w:t>
      </w:r>
      <w:r>
        <w:rPr>
          <w:i/>
          <w:iCs/>
          <w:highlight w:val="yellow"/>
          <w:lang w:val="pt-BR"/>
        </w:rPr>
        <w:t xml:space="preserve">a posteriori</w:t>
      </w:r>
      <w:r>
        <w:rPr>
          <w:highlight w:val="yellow"/>
          <w:lang w:val="pt-BR"/>
        </w:rPr>
        <w:t xml:space="preserve">, reforçam a escolha. Pesos de análise fatorial ou de componentes principais seriam pouco informativos, porque, com correlação fraca, é improvável que os fatores tenham uma dimensão latente comum (OECD; JRC, 2008, p. 32, 89); as correlações de postos entre eles vão de 0,02 a 0,23. A qualidade dos dados, critério que o manual admite com ressalvas (OECD; JRC, 2008, p. 32), também pesa contra o fator demográfico, cuja variação vem sobretudo da mortalidade infantil, instável nos municípios pequenos: em 2020, 133 dos 399 municípios não registraram óbito infantil, e, nos de até 5 mil habitantes, com mediana de 42 nascimentos por ano,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highlight w:val="yellow"/>
          <w:lang w:val="pt-BR"/>
        </w:rPr>
        <w:t xml:space="preserve">Na normalização mínimo-máximo, um único município define o zero ou o cem de cada indicador, o que torna o índice sensível a valores extremos (OECD; JRC, 2008). Testamos pesos iguais, peso 3 no fator socioeconômico e 1 nos demais (variante que as planilhas de março e maio usaram na faixa de 20 a 70 mil habitantes), normalização por percentis e a retirada da mortalidade infantil. A correlação de postos com o PCM adotado fica entre 0,93 e 0,97, e de 138 a 146 dos 157 municípios que o PCM seleciona nas faixas de menor porte (seção 4.1) continuariam selecionados,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6"/>
      </w:r>
      <w:r>
        <w:rPr>
          <w:highlight w:val="yellow"/>
          <w:lang w:val="pt-BR"/>
        </w:rPr>
        <w:t xml:space="preserve"> unidades em três blocos, descritos nas subseções a seguir e sintetizados na Figura 4.</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highlight w:val="yellow"/>
                <w:lang w:val="pt-BR"/>
              </w:rPr>
              <w:t xml:space="preserve">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lang w:val="pt-BR"/>
        </w:rPr>
        <w:t xml:space="preserve">Os blocos 2 e 3 utilizados pelo PCM respondem à seguinte questão: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w:t>
      </w:r>
      <w:r>
        <w:rPr>
          <w:highlight w:val="yellow"/>
          <w:lang w:val="pt-BR"/>
        </w:rPr>
        <w:t xml:space="preserve">proporcional à parcela da faixa na população-alvo do estado, que na planilha, pelo mesmo erro da seção 3.2, é a população de 5 a 14 anos.</w:t>
      </w:r>
      <w:r>
        <w:rPr>
          <w:lang w:val="pt-BR"/>
        </w:rPr>
        <w:t xml:space="preserve"> O total a ser distribuído é reduzido pelo fator</w:t>
      </w:r>
      <m:oMath>
        <m:r>
          <w:rPr>
            <w:rFonts w:ascii="Cambria Math" w:hAnsi="Cambria Math"/>
            <w:lang w:val="pt-BR"/>
          </w:rPr>
          <m:t xml:space="preserve"> 1 + m</m:t>
        </m:r>
      </m:oMath>
      <w:r>
        <w:rPr>
          <w:highlight w:val="yellow"/>
          <w:lang w:val="pt-BR"/>
        </w:rPr>
        <w:t xml:space="preserve">, em que m deveria ser o </w:t>
      </w:r>
      <m:oMath>
        <m:r>
          <w:rPr>
            <w:rFonts w:ascii="Cambria Math" w:hAnsi="Cambria Math"/>
            <w:lang w:val="pt-BR"/>
          </w:rPr>
          <m:t>PCM</m:t>
        </m:r>
      </m:oMath>
      <w:r>
        <w:rPr>
          <w:lang w:val="pt-BR"/>
        </w:rPr>
        <w:t xml:space="preserve"> médio ponderado pela </w:t>
        <w:lastRenderedPageBreak/>
        <w:t xml:space="preserve"/>
      </w:r>
      <w:r>
        <w:rPr>
          <w:highlight w:val="yellow"/>
          <w:lang w:val="pt-BR"/>
        </w:rPr>
        <w:t xml:space="preserve">população-alvo, porque,</w:t>
      </w:r>
      <w:r>
        <w:rPr>
          <w:lang w:val="pt-BR"/>
        </w:rPr>
        <w:t xml:space="preserv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w:t>
      </w:r>
      <w:r>
        <w:rPr>
          <w:highlight w:val="yellow"/>
          <w:lang w:val="pt-BR"/>
        </w:rPr>
        <w:t xml:space="preserve">após a etapa prévia. As planilhas de março e maio usam m = 0,503, valor digitado sem cálculo que o reproduza, também adotado na Figura 4 e na Tabela 6; uma versão anterior calculava 0,438. A cota da faixa</w:t>
      </w:r>
      <w:r>
        <w:rPr>
          <w:lang w:val="pt-BR"/>
        </w:rPr>
        <w:t xml:space="preserve">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 xml:space="preserve">é a unidade eventualmente recebida na etapa prévia. </w:t>
      </w:r>
      <w:r>
        <w:rPr>
          <w:highlight w:val="yellow"/>
          <w:lang w:val="pt-BR"/>
        </w:rPr>
        <w:t xml:space="preserve">O índice pondera a população-alvo, que, com PCM de 0,50, entra no cálculo multiplicada por 1,5.</w:t>
      </w:r>
      <w:r>
        <w:rPr>
          <w:lang w:val="pt-BR"/>
        </w:rPr>
        <w:t xml:space="preserve">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highlight w:val="yellow"/>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highlight w:val="yellow"/>
          <w:lang w:val="pt-BR"/>
        </w:rPr>
        <w:t xml:space="preserve">, com tetos de 10, 8, 7, 4 e 2 unidades por município, em ordem decrescente de porte, o que reduziu o total desses municípios de 142 para 100 e o de Curitiba, de 30 para 10. Com o total fixo e os tetos, a alocação reproduzida é a mesma com os dois valores de m.</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highlight w:val="yellow"/>
          <w:lang w:val="pt-BR"/>
        </w:rPr>
        <w:t xml:space="preserve"> (na faixa de 20 a 70 mil, pela variante com peso 3 no fator socioeconômico), excluídos os da etapa prévia, e os primeiros da fila</w:t>
      </w:r>
      <w:r>
        <w:rPr>
          <w:lang w:val="pt-BR"/>
        </w:rPr>
        <w:t xml:space="preserve"> recebem uma unidade: 27 dos 62 municípios de 20 a 70 mil habitantes, 100 dos 205 de 5 a 20 mil e 30 dos 102 com até 5 mil, o que soma 157 unidades. O </w:t>
      </w:r>
      <m:oMath>
        <m:r>
          <w:rPr>
            <w:rFonts w:ascii="Cambria Math" w:hAnsi="Cambria Math"/>
            <w:lang w:val="pt-BR"/>
          </w:rPr>
          <m:t>PCM</m:t>
        </m:r>
      </m:oMath>
      <w:r>
        <w:rPr>
          <w:lang w:val="pt-BR"/>
        </w:rPr>
        <w:t xml:space="preserve"> do último contemplado é a linha de corte da faixa; abaixo dela, os demais permanecem na ordem do índice, como suplentes.</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w:t>
      </w:r>
      <w:r>
        <w:rPr>
          <w:highlight w:val="yellow"/>
          <w:lang w:val="pt-BR"/>
        </w:rPr>
        <w:t xml:space="preserve">A versão apresentada ao conselho em maio manteve o índice, reduziu os tetos dos municípios grandes e redistribuiu 38 unidades, 37 delas para as três faixas inferiores, o que elevou o alcance para 258 municípios.</w:t>
      </w:r>
      <w:r>
        <w:rPr>
          <w:lang w:val="pt-BR"/>
        </w:rPr>
        <w:t xml:space="preserve">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e a cobertura de creche cresce à medida que o porte diminui, de 20,9% em Curitiba a 41,8% nos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highlight w:val="yellow"/>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highlight w:val="yellow"/>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rPr>
                <w:highlight w:val="yellow"/>
              </w:rP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rPr>
                <w:highlight w:val="yellow"/>
              </w:rP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rPr>
                <w:highlight w:val="yellow"/>
              </w:rP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rPr>
                <w:highlight w:val="yellow"/>
              </w:rP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rPr>
                <w:highlight w:val="yellow"/>
              </w:rPr>
              <w:t>30</w:t>
            </w:r>
          </w:p>
        </w:tc>
        <w:tc>
          <w:tcPr>
            <w:tcW w:w="988" w:type="dxa"/>
          </w:tcPr>
          <w:p w14:paraId="3534CAA8" w14:textId="77777777" w:rsidR="00CA52E5" w:rsidRDefault="00000000">
            <w:pPr>
              <w:pStyle w:val="Tabela"/>
              <w:keepNext/>
              <w:jc w:val="right"/>
            </w:pPr>
            <w:r>
              <w:rPr>
                <w:highlight w:val="yellow"/>
              </w:rPr>
              <w:t>59,1</w:t>
            </w:r>
          </w:p>
        </w:tc>
        <w:tc>
          <w:tcPr>
            <w:tcW w:w="988" w:type="dxa"/>
          </w:tcPr>
          <w:p w14:paraId="454F6114" w14:textId="77777777" w:rsidR="00CA52E5" w:rsidRDefault="00000000">
            <w:pPr>
              <w:pStyle w:val="Tabela"/>
              <w:keepNext/>
              <w:jc w:val="right"/>
            </w:pPr>
            <w:r>
              <w:rPr>
                <w:highlight w:val="yellow"/>
              </w:rP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rPr>
                <w:highlight w:val="yellow"/>
              </w:rPr>
              <w:t>100 (cota fixa)</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highlight w:val="yellow"/>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as planilhas de março e maio usaram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passaram à frente de suplentes com PCM maior. Nenhum contemplado em março ficou fora da lista publicada</w:t>
      </w:r>
      <w:r>
        <w:rPr>
          <w:rStyle w:val="FootnoteReference"/>
          <w:lang w:val="pt-BR"/>
        </w:rPr>
        <w:footnoteReference w:id="7"/>
      </w:r>
      <w:r>
        <w:rPr>
          <w:highlight w:val="yellow"/>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highlight w:val="yellow"/>
              </w:rPr>
              <w:t xml:space="preserve">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highlight w:val="yellow"/>
          <w:lang w:val="pt-BR"/>
        </w:rPr>
        <w:t xml:space="preserve">Para medir o efeito da distribuição adotada sobre a seleção territorial, comparamos a versão de maio de 2024, aprovada pelo CEDCA/PR, com um critério apenas populacional, que repartiria as mesmas 300 unidades em proporção à população de zero a quatro anos</w:t>
      </w:r>
      <w:r>
        <w:rPr>
          <w:rStyle w:val="FootnoteReference"/>
          <w:lang w:val="pt-BR"/>
        </w:rPr>
        <w:footnoteReference w:id="8"/>
      </w:r>
      <w:r>
        <w:rPr>
          <w:highlight w:val="yellow"/>
          <w:lang w:val="pt-BR"/>
        </w:rPr>
        <w:t xml:space="preserve">. A versão aprovada contemplou 258 municípios, contra 147, deu 6 unidades a Curitiba, contra 37, e destinou 28% das unidades aos 80 municípios de maior PCM, contra 13%; 89% das crianças de zero a quatro anos viviam em municípios contemplados, contra 85%. Na versão de março, anterior à redistribuição, eram 224 municípios contemplados, com 82% das crianças.</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highlight w:val="yellow"/>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highlight w:val="yellow"/>
          <w:lang w:val="pt-BR"/>
        </w:rPr>
        <w:t xml:space="preserve">Índice e regra decidem juntos o resultado territorial.</w:t>
      </w:r>
      <w:r>
        <w:rPr>
          <w:highlight w:val="yellow"/>
          <w:lang w:val="pt-BR"/>
        </w:rPr>
        <w:t xml:space="preserve"> Com PCM igual à média estadual, 0,48 (Tabela 5), um município de 5 a 20 mil habitantes seria contemplado no bloco 3, cuja linha de corte nessa faixa ficou em 0,469. Um de até 5 mil seria suplente, pois ali o corte foi 0,513, e entre os 30 maiores o mesmo valor apenas ponderaria a população, multiplicada por 1,48 no cálculo. Com o índice inalterado, a redução dos tetos e a redistribuição das unidades elevaram de 224 para 258 os municípios contemplados, e um critério apenas populacional alcançaria 147 (seção 4). A regra de conversão exige, por isso, a mesma documentação que o índice.</w:t>
      </w:r>
    </w:p>
    <w:p w14:paraId="3ACF7C86" w14:textId="77777777" w:rsidR="00036746" w:rsidRDefault="00036746" w:rsidP="00036746">
      <w:pPr>
        <w:pStyle w:val="ListParagraph"/>
        <w:numPr>
          <w:ilvl w:val="0"/>
          <w:numId w:val="16"/>
        </w:numPr>
        <w:rPr>
          <w:lang w:val="pt-BR"/>
        </w:rPr>
      </w:pPr>
      <w:r>
        <w:rPr>
          <w:b/>
          <w:bCs/>
          <w:highlight w:val="yellow"/>
          <w:lang w:val="pt-BR"/>
        </w:rPr>
        <w:t xml:space="preserve">Medir a necessidade exigiu dados de vários setores.</w:t>
      </w:r>
      <w:r>
        <w:rPr>
          <w:highlight w:val="yellow"/>
          <w:lang w:val="pt-BR"/>
        </w:rPr>
        <w:t xml:space="preserve"> Os fatores reúnem registros da educação, da saúde, da assistência social e da economia regional e têm correlações de postos de 0,02 a 0,23 entre si (seção 3.4), de modo que cada um acrescenta informação própria. Como o fator educacional cresce com o porte e o socioeconômico diminui, o PCM médio fica entre 0,415 e 0,498 em todas as faixas, exceto em Curitiba (Tabela 5); um índice só educacional favoreceria as cidades maiores, e um só socioeconômico, as menores. A decisão também envolveu vários órgãos, do estudo da Casa Civil e do Ipardes à adesão dos municípios (Figura 1).</w:t>
      </w:r>
    </w:p>
    <w:p w14:paraId="07A42D09" w14:textId="7C279216" w:rsidR="00CA52E5" w:rsidRPr="00036746" w:rsidRDefault="00036746" w:rsidP="00036746">
      <w:pPr>
        <w:pStyle w:val="ListParagraph"/>
        <w:numPr>
          <w:ilvl w:val="0"/>
          <w:numId w:val="16"/>
        </w:numPr>
        <w:rPr>
          <w:lang w:val="pt-BR"/>
        </w:rPr>
      </w:pPr>
      <w:r>
        <w:rPr>
          <w:b/>
          <w:bCs/>
          <w:highlight w:val="yellow"/>
          <w:lang w:val="pt-BR"/>
        </w:rPr>
        <w:t xml:space="preserve">A reconstrução da regra tornou verificável a margem de decisão.</w:t>
      </w:r>
      <w:r>
        <w:rPr>
          <w:highlight w:val="yellow"/>
          <w:lang w:val="pt-BR"/>
        </w:rPr>
        <w:t xml:space="preserve"> Confrontada com o estudo aprovado pelo CEDCA/PR e com as planilhas, a lista publicada (PARANÁ, 2024a) mostra onde a decisão seguiu o índice e onde se afastou dele. Nas faixas de até 20 mil habitantes, o bloco 3 segue a ordem do PCM, com menos de um centésimo entre o último contemplado e o primeiro suplente, dentro da margem em que pesos alternativos trocam municípios (seção 3.4). Os municípios que entraram em maio, ao contrário, passaram à frente de suplentes com PCM maior (seção 4.2). Terreno e capacidade de licitar, que o índice não capta, entram pela adesão (PARANÁ, 2024c), e a vaga de quem desiste passa ao próximo ranqueado (PARANÁ, 2024a).</w:t>
      </w:r>
    </w:p>
    <w:p w14:paraId="1C0921B9" w14:textId="77777777" w:rsidR="00036746" w:rsidRDefault="00036746">
      <w:pPr>
        <w:rPr>
          <w:lang w:val="pt-BR"/>
        </w:rPr>
      </w:pPr>
      <w:r>
        <w:rPr>
          <w:highlight w:val="yellow"/>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não impediu os ajustes posteriores; a reconstrução das planilhas os tornou identificáveis, e, publicados a ordem e os pesos, que a Resolução nº 219/2024 omite, cada prefeito poderia conferir sua posição e planejar o custeio.</w:t>
      </w:r>
    </w:p>
    <w:p w14:paraId="6914B7D5" w14:textId="77777777" w:rsidR="00403340" w:rsidRDefault="00036746">
      <w:pPr>
        <w:rPr>
          <w:lang w:val="pt-BR"/>
        </w:rPr>
      </w:pPr>
      <w:r>
        <w:rPr>
          <w:highlight w:val="yellow"/>
          <w:lang w:val="pt-BR"/>
        </w:rPr>
        <w:t xml:space="preserve">Como todo indicador composto, o índice depende da qualidade e da data dos registros administrativos e é sensível a valores extremos na normalização; seus pesos são normativos, e suas </w:t>
      </w:r>
      <w:r>
        <w:rPr>
          <w:i/>
          <w:iCs/>
          <w:highlight w:val="yellow"/>
          <w:lang w:val="pt-BR"/>
        </w:rPr>
        <w:t xml:space="preserve">proxies</w:t>
      </w:r>
      <w:r>
        <w:rPr>
          <w:highlight w:val="yellow"/>
          <w:lang w:val="pt-BR"/>
        </w:rPr>
        <w:t xml:space="preserve"> podem se afastar da necessidade vivida pelas famílias. A reconstrução revelou ainda erros na planilha, na faixa etária de PC e na normalização de dois indicadores, de efeito pequeno sobre a seleção (seção 3.2).</w:t>
      </w:r>
    </w:p>
    <w:p w14:paraId="5D7A52F8" w14:textId="1D5732A4" w:rsidR="00957C83" w:rsidRDefault="00403340">
      <w:pPr>
        <w:rPr>
          <w:lang w:val="pt-BR"/>
        </w:rPr>
      </w:pPr>
      <w:r>
        <w:rPr>
          <w:highlight w:val="yellow"/>
          <w:lang w:val="pt-BR"/>
        </w:rPr>
        <w:t xml:space="preserve">O resultado analisado aqui é a alocação. Uma avaliação </w:t>
      </w:r>
      <w:r>
        <w:rPr>
          <w:i/>
          <w:iCs/>
          <w:highlight w:val="yellow"/>
          <w:lang w:val="pt-BR"/>
        </w:rPr>
        <w:t xml:space="preserve">ex post</w:t>
      </w:r>
      <w:r>
        <w:rPr>
          <w:highlight w:val="yellow"/>
          <w:lang w:val="pt-BR"/>
        </w:rPr>
        <w:t xml:space="preserve">,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highlight w:val="yellow"/>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highlight w:val="yellow"/>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highlight w:val="yellow"/>
          <w:lang w:val="pt-BR"/>
        </w:rPr>
        <w:t xml:space="preserve">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3CABE27F"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coluna da planilha rotulada como população de 0 a 4 anos, faixa que a Resolução SEDEF nº 219/2024 indica para PC (PARANÁ, 2024a, art. 3º), contém a de 5 a 14 anos (IBGE, 2023), usada também nas cotas dos portes grandes (seção 4.1). Calculado como descrito no texto, com a população de 0 a 4 anos e o operador N também em PC e TN, o PCM teria correlação de postos de 0,99 com o adotado; 153 dos 157 municípios que ele seleciona nas faixas de menor porte se manteriam, e duas unidades mudariam de município entre os 30 maiores.</w:t>
      </w:r>
    </w:p>
  </w:footnote>
  <w:footnote w:id="6">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7">
    <w:p w14:paraId="407B9B6D"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versão de maio reduziu os tetos dos portes grandes e retirou 37 unidades de 17 municípios dessas faixas, nem todas por efeito dos tetos, e a unidade de Santa Terezinha de Itaipu (20 a 70 mil habitantes); as 38 unidades foram para 38 municípios, 37 deles das faixas inferiores (35 sem unidade em março), e a versão alcançou 300 unidades em 258 municípios, números anunciados em 10 de junho de 2024 (PARANÁ, 2024b). A Resolução SEDEF nº 219/2024 devolveu a unidade de Santa Terezinha de Itaipu, acrescentou uma unidade a Corbélia e a Pranchita, de 5 a 20 mil habitantes, e publicou 303 unidades em 261 municípios, com substituição do desistente pelo próximo ranqueado (PARANÁ, 2024a).</w:t>
      </w:r>
    </w:p>
  </w:footnote>
  <w:footnote w:id="8">
    <w:p w14:paraId="61C21189"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O critério populacional é uma simulação contrafactual da distribuição que se observaria na ausência da regra adotada: reparte as 300 unidades entre os 399 municípios em proporção à população de zero a quatro anos do Censo Demográfico de 2022 (IBGE, 2023), pelo maior resto usado no bloco 2 (BALINSKI; YOUNG, 2001), sem PCM, faixas, cotas, tetos ou etapa prévia. A versão de maio soma as mesmas 300 unidades e inclui as 43 da etapa prévia, anteriores ao índice; mantidas essas 43 e repartidas as outras 257 pela população, seriam 152 municípios, 31 unidades em Curitiba e 17% das unidades nos 80 municípios de maior PCM. A simulação é estática e não considera adesões, desistências nem capacidade de execução.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