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4"/>
        </w:rPr>
        <w:t>Resposta ao parecer</w:t>
      </w:r>
    </w:p>
    <w:p>
      <w:pPr>
        <w:spacing w:after="280"/>
        <w:jc w:val="center"/>
      </w:pPr>
      <w:r>
        <w:rPr>
          <w:b w:val="0"/>
          <w:i/>
          <w:sz w:val="20"/>
        </w:rPr>
        <w:t>Manuscrito “De indicador a regra de alocação: Potencial de Creche por Município no Programa Infância Feliz” (versão revisada)</w:t>
      </w:r>
    </w:p>
    <w:p>
      <w:pPr>
        <w:jc w:val="both"/>
      </w:pPr>
      <w:r>
        <w:rPr>
          <w:b w:val="0"/>
          <w:i w:val="0"/>
        </w:rPr>
        <w:t>Agradecemos à editoria e ao parecer pela leitura cuidadosa do manuscrito. Atendemos aos cinco pontos indicados e descrevemos abaixo cada alteração, com sua localização na versão revisada. A versão com marcas destaca em amarelo todo trecho novo ou modificado.</w:t>
      </w:r>
    </w:p>
    <w:p>
      <w:pPr>
        <w:jc w:val="both"/>
      </w:pPr>
      <w:r>
        <w:rPr>
          <w:b w:val="0"/>
          <w:i w:val="0"/>
        </w:rPr>
        <w:t>O manuscrito continua com 22 páginas. Para acomodar os acréscimos, enxugamos o roteiro da introdução, a abertura da seção 3 e passagens da seção 2, e retiramos linhas em branco entre parágrafos, figuras e tabelas.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16"/>
        <w:gridCol w:w="1474"/>
      </w:tblGrid>
      <w:tr>
        <w:tc>
          <w:tcPr>
            <w:tcW w:type="dxa" w:w="2381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Ponto do parecer</w:t>
            </w:r>
          </w:p>
        </w:tc>
        <w:tc>
          <w:tcPr>
            <w:tcW w:type="dxa" w:w="5216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Resposta e alteração realizada</w:t>
            </w:r>
          </w:p>
        </w:tc>
        <w:tc>
          <w:tcPr>
            <w:tcW w:type="dxa" w:w="1474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Localização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1. Detalhar, em nota, a comparabilidade do cenário populacional alternativo, caracterizando-o como análise contrafactual.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Incluímos, ao fim da seção 4.2, um parágrafo que compara a versão de maio de 2024, aprovada pelo CEDCA/PR, com o critério apenas populacional: 258 contra 147 municípios contemplados, 6 contra 37 unidades em Curitiba, 28% contra 13% das unidades nos 80 municípios de maior PCM e 89% contra 85% das crianças de zero a quatro anos em municípios contemplados. O parágrafo registra também a versão de março, anterior à redistribuição (224 municípios, 82% das crianças).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A nova nota caracteriza o critério como simulação contrafactual da distribuição que se observaria na ausência da regra adotada e detalha a comparabilidade: mesmas 300 unidades e 399 municípios, população de zero a quatro anos do Censo 2022, arredondamento pelo maior resto, sem PCM, faixas, cotas, tetos ou etapa prévia. Como a versão de maio inclui as 43 unidades da etapa prévia, anteriores ao índice, a nota informa o resultado com essas unidades mantidas (152 municípios) e o caráter estático da simulação.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4.2, último parágrafo; nota 8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2. Fundamentar os pesos dos pilares (2, 1 e 2) e esclarecer se decorreram de decisão discricionária da gestão pública ou de critérios validados de focalização social.</w:t>
            </w:r>
          </w:p>
        </w:tc>
        <w:tc>
          <w:tcPr>
            <w:tcW w:type="dxa" w:w="5216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A seção 3.4 agora declara que os pesos decorreram de decisão discricionária da gestão pública: a equipe técnica os fixou e o CEDCA/PR os aprovou com o estudo e o ranqueamento. Não foram estimados a partir dos dados nem extraídos de critério de focalização previamente validado.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Fundamentação teórica: classificação dos pesos normativos (Decancq e Lugo, 2013, referência acrescentada), o Handbook da OCDE/JRC (2008, p. 31), o foco da Lei nº 21.870/2023 nas crianças em situação de vulnerabilidade social e a evidência da seção 2.2.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Fundamentação técnica, explicitada como verificação a posteriori: a correlação fraca entre os fatores (0,02 a 0,23) torna pouco informativos pesos de análise fatorial (OECD; JRC, 2008, p. 32, 89), e a variação do fator demográfico vem sobretudo da mortalidade infantil, instável nos municípios pequenos.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A análise de sensibilidade passou a medir o efeito sobre a seleção: com pesos iguais, peso 3 no fator socioeconômico, normalização por percentis ou retirada da mortalidade infantil, a correlação de postos fica entre 0,93 e 0,97, e de 138 a 146 dos 157 municípios selecionados nas faixas menores se mantêm.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3.4, dois parágrafos após a Figura 3 e parágrafo após o Mapa 4; Referências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3. Reescrever a seção 5 (clareza, coesão, coerência e assertividade) e, se necessário, tornar as demais seções mais concisas.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A seção 5 foi reescrita por inteiro. Ela retoma a pergunta do artigo, apresenta as três lições com a tese em destaque, situa a terceira lição na economia política do gasto público, registra as limitações e encerra com a contribuição do caso. As expressões vagas e as frases fragmentadas da versão anterior foram eliminadas.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5; seções 1, 2.3 e 3 (enxugamento)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4. Reformular as três lições, explicitando a conexão entre resultados e inferências; esclarecer os números da primeira; desdobrar o período longo da terceira.</w:t>
            </w:r>
          </w:p>
        </w:tc>
        <w:tc>
          <w:tcPr>
            <w:tcW w:type="dxa" w:w="5216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Lição 1: os números formam um único exemplo. Um município com o PCM médio do estado (0,48) seria contemplado na faixa de 5 a 20 mil habitantes, com corte em 0,469, e ficaria como suplente na de até 5 mil, com corte em 0,513; entre os 30 maiores, o índice apenas pondera a população. O exemplo se liga aos resultados da regra: de 224 para 258 municípios entre versões com o mesmo índice, e 147 no critério populacional.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Lição 2: apoia-se nas correlações entre os fatores (seção 3.4) e na Tabela 5.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Lição 3: foi desdobrada em frases curtas e liga a inferência ao que a reconstrução das planilhas mostrou: onde a decisão seguiu o índice e onde os ajustes posteriores passaram à frente de suplentes com PCM maior.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5, lições 1 a 3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5. Revisar o parágrafo que termina com “Então, o que explica... (MOGUES, 2015)”.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O parágrafo foi reescrito. Ele parte da terceira lição, apresenta o argumento de Mogues (2015) em oração completa e faz a ponte com o caso: no Paraná, a decisão de investir em creches precedeu a regra, e o que ficou exposto aos determinantes de economia política do gasto foi a escolha dos municípios. O parágrafo registra que a regra explícita não impediu os ajustes posteriores e que a verificação pelos municípios depende da publicação da ordem e dos pesos.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5, parágrafo após as lições</w:t>
            </w:r>
          </w:p>
        </w:tc>
      </w:tr>
    </w:tbl>
    <w:p/>
    <w:p>
      <w:pPr>
        <w:spacing w:after="80"/>
      </w:pPr>
      <w:r>
        <w:rPr>
          <w:b/>
          <w:i w:val="0"/>
        </w:rPr>
        <w:t>Outras correções feitas durante a revisão</w:t>
      </w:r>
    </w:p>
    <w:p>
      <w:pPr>
        <w:pStyle w:val="ListBullet"/>
        <w:spacing w:after="60"/>
      </w:pPr>
      <w:r>
        <w:rPr>
          <w:sz w:val="21"/>
        </w:rPr>
        <w:t>Seções 3.2 e 4.1: ao reconstruir as planilhas, verificamos que a coluna rotulada como população de 0 a 4 anos, faixa que a Resolução nº 219/2024 indica para o indicador PC, contém a população de 5 a 14 anos do Censo 2022, e que PC e TN foram divididos pelo maior valor municipal, sem a normalização mínimo-máximo. Corrigimos a descrição do indicador (texto, Tabela 2 e nota 5) e da população-alvo das cotas dos portes grandes (seção 4.1 e Tabela 6) e medimos o efeito: calculado como descrito no texto, o PCM teria correlação de postos de 0,99 com o adotado, e 153 das 157 seleções se manteriam.</w:t>
      </w:r>
    </w:p>
    <w:p>
      <w:pPr>
        <w:pStyle w:val="ListBullet"/>
        <w:spacing w:after="60"/>
      </w:pPr>
      <w:r>
        <w:rPr>
          <w:sz w:val="21"/>
        </w:rPr>
        <w:t>Seção 4.1, Figura 4 e Tabela 6: o fator m = 0,503 é um valor digitado nas planilhas de março e maio; uma versão anterior calculava 0,438, o PCM médio ponderado pela população-alvo. O total dos portes grandes foi fixado em 100 unidades, repartidas pelo maior resto com tetos, e a alocação é a mesma com os dois valores de m. O texto, a Figura 4 e a Tabela 6 descrevem agora essa cota fixa.</w:t>
      </w:r>
    </w:p>
    <w:p>
      <w:pPr>
        <w:pStyle w:val="ListBullet"/>
        <w:spacing w:after="60"/>
      </w:pPr>
      <w:r>
        <w:rPr>
          <w:sz w:val="21"/>
        </w:rPr>
        <w:t>Seções 3.4, 4.1 e 4.2: as planilhas de março e maio ordenaram a faixa de 20 a 70 mil habitantes por uma variante com peso 3 no fator socioeconômico, e os ajustes posteriores passaram à frente de suplentes com PCM maior; a nota 7 detalha a passagem entre as versões.</w:t>
      </w:r>
    </w:p>
    <w:p>
      <w:pPr>
        <w:pStyle w:val="ListBullet"/>
        <w:spacing w:after="60"/>
      </w:pPr>
      <w:r>
        <w:rPr>
          <w:sz w:val="21"/>
        </w:rPr>
        <w:t>Tabelas e legendas: linha de total da Tabela 6 corrigida (30 municípios); rótulo da coluna da Tabela 7 corrigido para “Revisão 05/2024”; legendas da Tabela 3 e do Mapa 3 uniformizadas.</w:t>
      </w:r>
    </w:p>
    <w:p>
      <w:pPr>
        <w:pStyle w:val="ListBullet"/>
        <w:spacing w:after="60"/>
      </w:pPr>
      <w:r>
        <w:rPr>
          <w:sz w:val="21"/>
        </w:rPr>
        <w:t>Material suplementar atualizado com as mesmas correções: Tabelas 2, 3, 6 e 7, Figura 4, Mapa 3, arquivo consolidado, planilha editável das tabelas e planilha de dados de construção do PCM.</w:t>
      </w:r>
    </w:p>
    <w:p>
      <w:pPr>
        <w:jc w:val="both"/>
      </w:pPr>
      <w:r>
        <w:rPr>
          <w:b w:val="0"/>
          <w:i w:val="0"/>
        </w:rPr>
        <w:t>Permanecemos à disposição para novos ajustes.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