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98B2" w14:textId="77777777" w:rsidR="00F82582" w:rsidRPr="0071165A" w:rsidRDefault="00F82582" w:rsidP="00F82582">
      <w:pPr>
        <w:keepNext/>
        <w:spacing w:before="160" w:after="60" w:line="240" w:lineRule="auto"/>
        <w:ind w:firstLine="0"/>
        <w:jc w:val="left"/>
        <w:rPr>
          <w:lang w:val="pt-BR"/>
        </w:rPr>
      </w:pPr>
      <w:r>
        <w:rPr>
          <w:b/>
          <w:bCs/>
          <w:sz w:val="22"/>
          <w:lang w:val="pt-BR"/>
        </w:rPr>
        <w:lastRenderedPageBreak/>
        <w:t xml:space="preserve">Figura 2 - </w:t>
      </w:r>
      <w:r>
        <w:rPr>
          <w:sz w:val="22"/>
          <w:lang w:val="pt-BR"/>
        </w:rPr>
        <w:t xml:space="preserve">Fluxo Financeiro do incentivo fundo a fundo</w:t>
      </w:r>
    </w:p>
    <w:tbl>
      <w:tblPr>
        <w:tblW w:w="8930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55"/>
        <w:gridCol w:w="680"/>
        <w:gridCol w:w="1361"/>
        <w:gridCol w:w="255"/>
        <w:gridCol w:w="1361"/>
        <w:gridCol w:w="680"/>
        <w:gridCol w:w="255"/>
        <w:gridCol w:w="2042"/>
      </w:tblGrid>
      <w:tr w:rsidR="00F82582" w:rsidRPr="0071165A" w14:paraId="37D555FA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4F81BD" w:themeFill="accent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66B909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</w:pPr>
            <w:r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  <w:t>SEFA (Secretaria da Fazenda)</w:t>
            </w:r>
          </w:p>
        </w:tc>
      </w:tr>
      <w:tr w:rsidR="00F82582" w:rsidRPr="0071165A" w14:paraId="7FE5FA42" w14:textId="77777777" w:rsidTr="000D4E5E">
        <w:trPr>
          <w:cantSplit/>
          <w:trHeight w:val="20"/>
          <w:jc w:val="center"/>
        </w:trPr>
        <w:tc>
          <w:tcPr>
            <w:tcW w:w="2976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02B25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Complementação ao FIA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3493DD5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 xml:space="preserve"> Saldo Livre do FIA/PR 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279E5314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Devolução de Duodécimo da Assembleia Legislativa</w:t>
            </w:r>
          </w:p>
        </w:tc>
      </w:tr>
      <w:tr w:rsidR="00F82582" w14:paraId="4FDC992C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BEA792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2F4D9B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C0E44F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3A2F6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8F7F4D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136ED6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8FD49E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</w:tr>
      <w:tr w:rsidR="00F82582" w:rsidRPr="0071165A" w14:paraId="3BF0A40E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ED1CC7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FIA/PR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75D86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FCE18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Termo de Adesão e Resolução de Habilitação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640122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8C451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Fundo Municipal (FMDCA)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42CDE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E3102E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Licitação e obra pelo município</w:t>
            </w:r>
          </w:p>
        </w:tc>
      </w:tr>
      <w:tr w:rsidR="00F82582" w14:paraId="0AC60315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D283C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164934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03168C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84DDB7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A7BB0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7F05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BC3EE8" w14:textId="77777777" w:rsidR="00F82582" w:rsidRDefault="00F82582" w:rsidP="000D4E5E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F82582" w:rsidRPr="0071165A" w14:paraId="66CD1B12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70E3F7" w14:textId="77777777" w:rsidR="00F82582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  <w:t>Encargos municipais</w:t>
            </w:r>
          </w:p>
          <w:p w14:paraId="2AE6796D" w14:textId="77777777" w:rsidR="00F82582" w:rsidRPr="00274A7B" w:rsidRDefault="00F82582" w:rsidP="000D4E5E">
            <w:pPr>
              <w:spacing w:line="240" w:lineRule="auto"/>
              <w:ind w:firstLine="0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Terreno de 1.200 m², custo excedente ao teto e aditivos, conclusão em 36 meses (restituição em caso de descumprimento), custeio posterior com Fundeb e receitas próprias</w:t>
            </w:r>
          </w:p>
        </w:tc>
      </w:tr>
    </w:tbl>
    <w:p w14:paraId="49219832" w14:textId="75312935" w:rsidR="00F82582" w:rsidRDefault="00F82582" w:rsidP="00F82582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>Fonte: Elaboração própria (2026).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