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14A1F" w14:textId="75E08CCE" w:rsidR="00CA52E5" w:rsidRPr="002B639E" w:rsidRDefault="00000000" w:rsidP="002B639E">
      <w:pPr>
        <w:keepNext/>
        <w:spacing w:before="160" w:after="240" w:line="240" w:lineRule="auto"/>
        <w:ind w:firstLine="0"/>
        <w:jc w:val="center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t xml:space="preserve">Figura 3 - </w:t>
      </w:r>
      <w:r>
        <w:rPr>
          <w:szCs w:val="24"/>
          <w:lang w:val="pt-BR"/>
        </w:rPr>
        <w:t>Arquitetura do Potencial de Creche por Município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694"/>
        <w:gridCol w:w="328"/>
        <w:gridCol w:w="2691"/>
        <w:gridCol w:w="328"/>
        <w:gridCol w:w="2695"/>
        <w:gridCol w:w="326"/>
      </w:tblGrid>
      <w:tr w:rsidR="004B3D2A" w:rsidRPr="002B639E" w14:paraId="45A41EA0" w14:textId="77777777" w:rsidTr="002B639E">
        <w:trPr>
          <w:cantSplit/>
          <w:jc w:val="center"/>
        </w:trPr>
        <w:tc>
          <w:tcPr>
            <w:tcW w:w="1486" w:type="pc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C24C12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5B58D9C" w14:textId="18086CF5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b/>
                <w:color w:val="FFFFFF"/>
                <w:sz w:val="18"/>
                <w:szCs w:val="24"/>
                <w:lang w:val="pt-BR"/>
              </w:rPr>
              <w:t>Fator educacional</w:t>
            </w:r>
          </w:p>
          <w:p w14:paraId="7106675F" w14:textId="77777777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color w:val="FFFFFF"/>
                <w:sz w:val="18"/>
                <w:szCs w:val="24"/>
                <w:lang w:val="pt-BR"/>
              </w:rPr>
              <w:t>oferta existente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DB88F37" w14:textId="77777777" w:rsidR="004B3D2A" w:rsidRPr="002B639E" w:rsidRDefault="004B3D2A">
            <w:pPr>
              <w:rPr>
                <w:sz w:val="18"/>
                <w:szCs w:val="24"/>
                <w:lang w:val="pt-BR"/>
              </w:rPr>
            </w:pPr>
          </w:p>
        </w:tc>
        <w:tc>
          <w:tcPr>
            <w:tcW w:w="1485" w:type="pc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171C1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C5AF371" w14:textId="3E0678DA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b/>
                <w:color w:val="FFFFFF"/>
                <w:sz w:val="18"/>
                <w:szCs w:val="24"/>
                <w:lang w:val="pt-BR"/>
              </w:rPr>
              <w:t>Fator demográfico</w:t>
            </w:r>
          </w:p>
          <w:p w14:paraId="583A144F" w14:textId="77777777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color w:val="FFFFFF"/>
                <w:sz w:val="18"/>
                <w:szCs w:val="24"/>
                <w:lang w:val="pt-BR"/>
              </w:rPr>
              <w:t>pressão da demanda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72A07DF" w14:textId="77777777" w:rsidR="004B3D2A" w:rsidRPr="002B639E" w:rsidRDefault="004B3D2A">
            <w:pPr>
              <w:rPr>
                <w:sz w:val="18"/>
                <w:szCs w:val="24"/>
                <w:lang w:val="pt-BR"/>
              </w:rPr>
            </w:pPr>
          </w:p>
        </w:tc>
        <w:tc>
          <w:tcPr>
            <w:tcW w:w="1487" w:type="pc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07E3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27CC271" w14:textId="2E37EAF2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</w:rPr>
            </w:pPr>
            <w:r>
              <w:rPr>
                <w:b/>
                <w:color w:val="FFFFFF"/>
                <w:sz w:val="18"/>
                <w:szCs w:val="24"/>
              </w:rPr>
              <w:t>Fator Socioeconômico</w:t>
            </w:r>
          </w:p>
          <w:p w14:paraId="773C2703" w14:textId="77777777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</w:rPr>
            </w:pPr>
            <w:r>
              <w:rPr>
                <w:color w:val="FFFFFF"/>
                <w:sz w:val="18"/>
                <w:szCs w:val="24"/>
              </w:rPr>
              <w:t>vulnerabilidade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9B1A69C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</w:tr>
      <w:tr w:rsidR="004B3D2A" w:rsidRPr="002B639E" w14:paraId="2686925A" w14:textId="77777777" w:rsidTr="002B639E">
        <w:trPr>
          <w:cantSplit/>
          <w:jc w:val="center"/>
        </w:trPr>
        <w:tc>
          <w:tcPr>
            <w:tcW w:w="14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1902234" w14:textId="77777777" w:rsidR="004B3D2A" w:rsidRPr="002B639E" w:rsidRDefault="004B3D2A">
            <w:pPr>
              <w:ind w:firstLine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↓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17CD73F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D5A41C2" w14:textId="77777777" w:rsidR="004B3D2A" w:rsidRPr="002B639E" w:rsidRDefault="004B3D2A">
            <w:pPr>
              <w:ind w:firstLine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↓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A99ABD3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  <w:tc>
          <w:tcPr>
            <w:tcW w:w="14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4616E95" w14:textId="77777777" w:rsidR="004B3D2A" w:rsidRPr="002B639E" w:rsidRDefault="004B3D2A">
            <w:pPr>
              <w:ind w:firstLine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↓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8DC150E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</w:tr>
      <w:tr w:rsidR="004B3D2A" w:rsidRPr="002B639E" w14:paraId="7F684354" w14:textId="77777777" w:rsidTr="002B639E">
        <w:trPr>
          <w:cantSplit/>
          <w:jc w:val="center"/>
        </w:trPr>
        <w:tc>
          <w:tcPr>
            <w:tcW w:w="1486" w:type="pc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C24C12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3A95719" w14:textId="77777777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</w:rPr>
            </w:pPr>
            <w:r>
              <w:rPr>
                <w:b/>
                <w:color w:val="FFFFFF"/>
                <w:sz w:val="18"/>
                <w:szCs w:val="24"/>
              </w:rPr>
              <w:t>peso 2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27F09BC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  <w:tc>
          <w:tcPr>
            <w:tcW w:w="1485" w:type="pc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171C1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EA55F38" w14:textId="77777777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</w:rPr>
            </w:pPr>
            <w:r>
              <w:rPr>
                <w:b/>
                <w:color w:val="FFFFFF"/>
                <w:sz w:val="18"/>
                <w:szCs w:val="24"/>
              </w:rPr>
              <w:t>peso 1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942ACBA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  <w:tc>
          <w:tcPr>
            <w:tcW w:w="1487" w:type="pc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07E3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DE93D0D" w14:textId="77777777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</w:rPr>
            </w:pPr>
            <w:r>
              <w:rPr>
                <w:b/>
                <w:color w:val="FFFFFF"/>
                <w:sz w:val="18"/>
                <w:szCs w:val="24"/>
              </w:rPr>
              <w:t>peso 2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7D801A0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</w:tr>
    </w:tbl>
    <w:p w14:paraId="6C2B10CE" w14:textId="5AEA8D8C" w:rsidR="00CA52E5" w:rsidRDefault="00000000" w:rsidP="004B3D2A">
      <w:pPr>
        <w:spacing w:before="60" w:line="240" w:lineRule="auto"/>
        <w:ind w:firstLine="0"/>
        <w:jc w:val="center"/>
        <w:rPr>
          <w:sz w:val="20"/>
          <w:lang w:val="pt-BR"/>
        </w:rPr>
      </w:pPr>
      <w:r>
        <w:rPr>
          <w:sz w:val="20"/>
          <w:lang w:val="pt-BR"/>
        </w:rPr>
        <w:lastRenderedPageBreak/>
        <w:t xml:space="preserve">Fonte: Elaboração própria (2026)</w:t>
      </w:r>
    </w:p>
    <w:sectPr w:rsidR="00CA52E5" w:rsidRPr="00036746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F4F65" w14:textId="77777777" w:rsidR="00EE3914" w:rsidRDefault="00EE3914">
      <w:pPr>
        <w:spacing w:line="240" w:lineRule="auto"/>
      </w:pPr>
      <w:r>
        <w:separator/>
      </w:r>
    </w:p>
  </w:endnote>
  <w:endnote w:type="continuationSeparator" w:id="0">
    <w:p w14:paraId="20CC4EC3" w14:textId="77777777" w:rsidR="00EE3914" w:rsidRDefault="00EE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F720" w14:textId="77777777" w:rsidR="00EE3914" w:rsidRDefault="00EE3914">
      <w:pPr>
        <w:spacing w:line="240" w:lineRule="auto"/>
      </w:pPr>
      <w:r>
        <w:separator/>
      </w:r>
    </w:p>
  </w:footnote>
  <w:footnote w:type="continuationSeparator" w:id="0">
    <w:p w14:paraId="0364A5E4" w14:textId="77777777" w:rsidR="00EE3914" w:rsidRDefault="00EE3914">
      <w:pPr>
        <w:spacing w:line="240" w:lineRule="auto"/>
      </w:pPr>
      <w:r>
        <w:continuationSeparator/>
      </w:r>
    </w:p>
  </w:footnote>
  <w:footnote w:id="1">
    <w:p w14:paraId="0459E1A9" w14:textId="59745E67" w:rsidR="0071165A" w:rsidRPr="0071165A" w:rsidRDefault="0071165A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71165A">
        <w:rPr>
          <w:lang w:val="pt-BR"/>
        </w:rPr>
        <w:t xml:space="preserve"> </w:t>
      </w:r>
      <w:r w:rsidRPr="0071165A">
        <w:rPr>
          <w:lang w:val="pt-BR"/>
        </w:rPr>
        <w:t>O estudo e o ranqueamento foram aprovados pela Deliberação nº 25/2024 do Conselho Estadual dos Direitos da Criança e do Adolescente (CEDCA/PR), de 24 de maio de 2024 (DIOE nº 11669, de 28 maio 2024). Os critérios, com a descrição dos fatores do PCM no art. 3º, e a lista de elegíveis, no Anexo I, foram publicados na Resolução nº 219/2024 da Secretaria de Estado do Desenvolvimento Social e Família, de 4 de junho de 2024 (retificada).</w:t>
      </w:r>
    </w:p>
  </w:footnote>
  <w:footnote w:id="2">
    <w:p w14:paraId="2F97F4C5" w14:textId="72E23B83" w:rsidR="00CE74F2" w:rsidRPr="00CE74F2" w:rsidRDefault="00CE74F2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E74F2">
        <w:rPr>
          <w:lang w:val="pt-BR"/>
        </w:rPr>
        <w:t xml:space="preserve"> </w:t>
      </w:r>
      <w:r>
        <w:rPr>
          <w:lang w:val="pt-BR"/>
        </w:rPr>
        <w:t>Ressalta-se que esse trabalho não avalia</w:t>
      </w:r>
      <w:r w:rsidRPr="00CE74F2">
        <w:rPr>
          <w:lang w:val="pt-BR"/>
        </w:rPr>
        <w:t xml:space="preserve"> os efeitos sociais posteriores das creches sobre matrícula, trabalho ou desenvolvimento infantil.</w:t>
      </w:r>
    </w:p>
  </w:footnote>
  <w:footnote w:id="3">
    <w:p w14:paraId="27F4D063" w14:textId="734CD316" w:rsidR="00C23E33" w:rsidRPr="00C23E33" w:rsidRDefault="00C23E33" w:rsidP="00C23E3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23E33">
        <w:rPr>
          <w:lang w:val="pt-BR"/>
        </w:rPr>
        <w:t xml:space="preserve"> </w:t>
      </w:r>
      <w:r w:rsidRPr="00C23E33">
        <w:rPr>
          <w:lang w:val="pt-BR"/>
        </w:rPr>
        <w:t>Dentro do Plano Plurianual 2024-2027</w:t>
      </w:r>
      <w:r>
        <w:rPr>
          <w:vertAlign w:val="superscript"/>
          <w:lang w:val="pt-BR"/>
        </w:rPr>
        <w:t xml:space="preserve"> </w:t>
      </w:r>
      <w:r w:rsidRPr="00C23E33">
        <w:rPr>
          <w:lang w:val="pt-BR"/>
        </w:rPr>
        <w:t xml:space="preserve">do Estado do Paraná, a construção de creches consta como entrega 4670 da ação 7010 do programa Paraná </w:t>
      </w:r>
      <w:r w:rsidRPr="00C23E33">
        <w:rPr>
          <w:lang w:val="pt-BR"/>
        </w:rPr>
        <w:t>que cuida</w:t>
      </w:r>
      <w:r w:rsidRPr="00C23E33">
        <w:rPr>
          <w:lang w:val="pt-BR"/>
        </w:rPr>
        <w:t>, a cargo da Secretaria de Estado do Desenvolvimento Social e Família (SEDEF).</w:t>
      </w:r>
    </w:p>
    <w:p w14:paraId="6B0BC89C" w14:textId="75EB3C0E" w:rsidR="00C23E33" w:rsidRPr="00C23E33" w:rsidRDefault="00C23E33">
      <w:pPr>
        <w:pStyle w:val="FootnoteText"/>
        <w:rPr>
          <w:lang w:val="pt-BR"/>
        </w:rPr>
      </w:pPr>
    </w:p>
  </w:footnote>
  <w:footnote w:id="4">
    <w:p w14:paraId="6DE48432" w14:textId="77777777" w:rsidR="0071165A" w:rsidRPr="0071165A" w:rsidRDefault="0071165A" w:rsidP="0071165A">
      <w:pPr>
        <w:spacing w:line="240" w:lineRule="auto"/>
        <w:ind w:firstLine="0"/>
        <w:rPr>
          <w:sz w:val="20"/>
          <w:szCs w:val="18"/>
          <w:lang w:val="pt-BR"/>
        </w:rPr>
      </w:pPr>
      <w:r w:rsidRPr="0071165A">
        <w:rPr>
          <w:rStyle w:val="FootnoteReference"/>
          <w:sz w:val="20"/>
          <w:szCs w:val="18"/>
        </w:rPr>
        <w:footnoteRef/>
      </w:r>
      <w:r w:rsidRPr="0071165A">
        <w:rPr>
          <w:sz w:val="20"/>
          <w:szCs w:val="18"/>
          <w:lang w:val="pt-BR"/>
        </w:rPr>
        <w:t xml:space="preserve"> </w:t>
      </w:r>
      <w:r w:rsidRPr="0071165A">
        <w:rPr>
          <w:sz w:val="20"/>
          <w:szCs w:val="18"/>
          <w:lang w:val="pt-BR"/>
        </w:rPr>
        <w:t>O Índice de Necessidade de Creche, que mede a demanda por creche a partir de grupos prioritários da PNAD Contínua (FUNDAÇÃO MARIA CECILIA SOUTO VIDIGAL, 2021), foi uma das referências para a escolha das dimensões; o PCM difere dele por usar registros administrativos com cobertura universal, o que permite ranquear os 399 municípios, e por incorporar a oferta já instalada.</w:t>
      </w:r>
    </w:p>
    <w:p w14:paraId="6EDC4CCC" w14:textId="72B0548B" w:rsidR="0071165A" w:rsidRPr="0071165A" w:rsidRDefault="0071165A">
      <w:pPr>
        <w:pStyle w:val="FootnoteText"/>
        <w:rPr>
          <w:lang w:val="pt-BR"/>
        </w:rPr>
      </w:pPr>
    </w:p>
  </w:footnote>
  <w:footnote w:id="5">
    <w:p w14:paraId="7B86EF73" w14:textId="62A6FEB0" w:rsidR="00380AD3" w:rsidRPr="00380AD3" w:rsidRDefault="00380AD3" w:rsidP="00380AD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380AD3">
        <w:rPr>
          <w:lang w:val="pt-BR"/>
        </w:rPr>
        <w:t xml:space="preserve"> </w:t>
      </w:r>
      <w:r>
        <w:rPr>
          <w:lang w:val="pt-BR"/>
        </w:rPr>
        <w:t>Com o andamento do programa, mais unidades foram incorporadas.</w:t>
      </w:r>
    </w:p>
  </w:footnote>
  <w:footnote w:id="6">
    <w:p w14:paraId="407B9B6D" w14:textId="77777777" w:rsidR="00036746" w:rsidRPr="00957C83" w:rsidRDefault="00036746" w:rsidP="00036746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957C83">
        <w:rPr>
          <w:lang w:val="pt-BR"/>
        </w:rPr>
        <w:t>A versão levada ao conselho em maio de 2024 reduziu os tetos dos portes grandes, retirou 38 unidades de 18 municípios das faixas superiores, distribuiu-as a 38 municípios, 37 deles das faixas inferiores, e alcançou 300 unidades em 258 municípios, números anunciados em 10 de junho de 2024 (PARANÁ, 2024b); a Resolução SEDEF nº 219/2024 acrescentou uma unidade a três municípios e publicou 303 unidades em 261 municípios, com substituição do desistente pelo próximo ranqueado (PARANÁ, 2024a).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C0C74"/>
    <w:multiLevelType w:val="hybridMultilevel"/>
    <w:tmpl w:val="E616701A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C74D5"/>
    <w:multiLevelType w:val="multilevel"/>
    <w:tmpl w:val="D5F01550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34F902F3"/>
    <w:multiLevelType w:val="hybridMultilevel"/>
    <w:tmpl w:val="B7082DD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933AC"/>
    <w:multiLevelType w:val="hybridMultilevel"/>
    <w:tmpl w:val="0284E380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57547"/>
    <w:multiLevelType w:val="hybridMultilevel"/>
    <w:tmpl w:val="8A905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329F7"/>
    <w:multiLevelType w:val="hybridMultilevel"/>
    <w:tmpl w:val="59AA239C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67A0A"/>
    <w:multiLevelType w:val="hybridMultilevel"/>
    <w:tmpl w:val="8BD4C626"/>
    <w:lvl w:ilvl="0" w:tplc="B060D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623047">
    <w:abstractNumId w:val="8"/>
  </w:num>
  <w:num w:numId="2" w16cid:durableId="1674917890">
    <w:abstractNumId w:val="6"/>
  </w:num>
  <w:num w:numId="3" w16cid:durableId="1082994284">
    <w:abstractNumId w:val="5"/>
  </w:num>
  <w:num w:numId="4" w16cid:durableId="2135250231">
    <w:abstractNumId w:val="4"/>
  </w:num>
  <w:num w:numId="5" w16cid:durableId="1302074924">
    <w:abstractNumId w:val="7"/>
  </w:num>
  <w:num w:numId="6" w16cid:durableId="494951427">
    <w:abstractNumId w:val="3"/>
  </w:num>
  <w:num w:numId="7" w16cid:durableId="22756692">
    <w:abstractNumId w:val="2"/>
  </w:num>
  <w:num w:numId="8" w16cid:durableId="301271899">
    <w:abstractNumId w:val="1"/>
  </w:num>
  <w:num w:numId="9" w16cid:durableId="764569191">
    <w:abstractNumId w:val="0"/>
  </w:num>
  <w:num w:numId="10" w16cid:durableId="330765657">
    <w:abstractNumId w:val="11"/>
  </w:num>
  <w:num w:numId="11" w16cid:durableId="1815682224">
    <w:abstractNumId w:val="12"/>
  </w:num>
  <w:num w:numId="12" w16cid:durableId="221796825">
    <w:abstractNumId w:val="9"/>
  </w:num>
  <w:num w:numId="13" w16cid:durableId="1791507002">
    <w:abstractNumId w:val="14"/>
  </w:num>
  <w:num w:numId="14" w16cid:durableId="1911303032">
    <w:abstractNumId w:val="13"/>
  </w:num>
  <w:num w:numId="15" w16cid:durableId="2137405462">
    <w:abstractNumId w:val="10"/>
  </w:num>
  <w:num w:numId="16" w16cid:durableId="3088315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746"/>
    <w:rsid w:val="0006063C"/>
    <w:rsid w:val="00146695"/>
    <w:rsid w:val="0015074B"/>
    <w:rsid w:val="00274A7B"/>
    <w:rsid w:val="00275356"/>
    <w:rsid w:val="00280A81"/>
    <w:rsid w:val="00287047"/>
    <w:rsid w:val="0029639D"/>
    <w:rsid w:val="002B639E"/>
    <w:rsid w:val="00326F90"/>
    <w:rsid w:val="00380AD3"/>
    <w:rsid w:val="003907C1"/>
    <w:rsid w:val="003F6B06"/>
    <w:rsid w:val="00403340"/>
    <w:rsid w:val="004B3D2A"/>
    <w:rsid w:val="0071165A"/>
    <w:rsid w:val="00957C83"/>
    <w:rsid w:val="009F3111"/>
    <w:rsid w:val="00A43BC2"/>
    <w:rsid w:val="00AA1D8D"/>
    <w:rsid w:val="00B47730"/>
    <w:rsid w:val="00B96BCE"/>
    <w:rsid w:val="00C23E33"/>
    <w:rsid w:val="00CA52E5"/>
    <w:rsid w:val="00CB0664"/>
    <w:rsid w:val="00CE74F2"/>
    <w:rsid w:val="00D009AE"/>
    <w:rsid w:val="00D07F41"/>
    <w:rsid w:val="00D767F0"/>
    <w:rsid w:val="00D76B0D"/>
    <w:rsid w:val="00D77F3F"/>
    <w:rsid w:val="00EE3914"/>
    <w:rsid w:val="00F82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27603"/>
  <w14:defaultImageDpi w14:val="300"/>
  <w15:docId w15:val="{67F5EE3A-C0D2-DD4C-8D75-2B0210D3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850"/>
      <w:jc w:val="both"/>
    </w:pPr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ela">
    <w:name w:val="Tabela"/>
    <w:basedOn w:val="Normal"/>
    <w:pPr>
      <w:spacing w:line="240" w:lineRule="auto"/>
      <w:ind w:firstLine="0"/>
      <w:jc w:val="left"/>
    </w:pPr>
    <w:rPr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165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165A"/>
    <w:rPr>
      <w:rFonts w:ascii="Arial" w:eastAsia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165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1165A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22</Pages>
  <Words>7544</Words>
  <Characters>43003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2026-09-29T14:04:00Z</dcterms:created>
  <dcterms:modified xsi:type="dcterms:W3CDTF">2026-09-30T09:20:00Z</dcterms:modified>
  <cp:category/>
</cp:coreProperties>
</file>