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D013" w14:textId="051B0386" w:rsidR="00A43BC2" w:rsidRPr="00A43BC2" w:rsidRDefault="00A43BC2" w:rsidP="00A43BC2">
      <w:pPr>
        <w:keepNext/>
        <w:spacing w:before="160" w:after="60" w:line="240" w:lineRule="auto"/>
        <w:ind w:firstLine="0"/>
        <w:jc w:val="left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Figura 4 – </w:t>
      </w:r>
      <w:r>
        <w:rPr>
          <w:szCs w:val="24"/>
          <w:lang w:val="pt-BR"/>
        </w:rPr>
        <w:t>Os 3 Blocos de Distribuição das Creches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944"/>
        <w:gridCol w:w="120"/>
        <w:gridCol w:w="2943"/>
        <w:gridCol w:w="120"/>
        <w:gridCol w:w="2945"/>
      </w:tblGrid>
      <w:tr w:rsidR="00A43BC2" w:rsidRPr="000C6B74" w14:paraId="6F55BB49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9424B2" w14:textId="71B74C7E" w:rsidR="00A43BC2" w:rsidRPr="00403340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1 - Anterior ao PCM</w:t>
            </w:r>
          </w:p>
          <w:p w14:paraId="7550AF8E" w14:textId="77777777" w:rsidR="00A43BC2" w:rsidRPr="00403340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43 unidades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6BD432" w14:textId="77777777" w:rsidR="00A43BC2" w:rsidRPr="00403340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4278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B85483" w14:textId="5B952C45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2 - Portes grandes</w:t>
            </w:r>
          </w:p>
          <w:p w14:paraId="1C8EF0F8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30 municípios, 100 unidades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BF2998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9595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AB7B57" w14:textId="6ED4648A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3 - Portes pequenos</w:t>
            </w:r>
          </w:p>
          <w:p w14:paraId="4FA7B19D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369 municípios, 157 unidades</w:t>
            </w:r>
          </w:p>
        </w:tc>
      </w:tr>
      <w:tr w:rsidR="00A43BC2" w:rsidRPr="000C6B74" w14:paraId="13FA3624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FEC4E6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Deliberação CEDCA 60/2023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D47C41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AF9525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1. Cota da faixa de porte: parcela na população-alvo × 257 / (1 + 0,503)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F96384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6B85D7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1. Ordenação pelo PCM dentro de cada faixa, excluídos os municípios da etapa prévia</w:t>
            </w:r>
          </w:p>
        </w:tc>
      </w:tr>
      <w:tr w:rsidR="00A43BC2" w:rsidRPr="000C6B74" w14:paraId="3501BEC9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FBBCED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Uma unidade em cada um dos 43 municípios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8B8C44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90E114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2. Cota do município: parcela na população-alvo da faixa × cota da faixa × (1 + PCM), menos a unidade da etapa prévia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176913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26C934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2. Cotas por faixa: 27 de 62 municípios (20 a 70 mil hab.), 100 de 205 (5 a 20 mil) e 30 de 102 (até 5 mil)</w:t>
            </w:r>
          </w:p>
        </w:tc>
      </w:tr>
      <w:tr w:rsidR="00380AD3" w:rsidRPr="000C6B74" w14:paraId="02420F6A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00F844" w14:textId="77777777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Descontada no cálculo dos blocos 2 e 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411AFA" w14:textId="77777777" w:rsidR="00380AD3" w:rsidRPr="000C6B74" w:rsidRDefault="00380AD3" w:rsidP="00380AD3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B4AD3A" w14:textId="2F636BE8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3. Cota fixa de 100 unidades, com tetos de 10, 8, 7, 4 e 2 por município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66840E" w14:textId="77777777" w:rsidR="00380AD3" w:rsidRPr="000C6B74" w:rsidRDefault="00380AD3" w:rsidP="00380AD3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E4F2C3" w14:textId="77777777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3. Uma unidade por município contemplado; os demais ficam como suplentes, na ordem do índice</w:t>
            </w:r>
          </w:p>
        </w:tc>
      </w:tr>
    </w:tbl>
    <w:p w14:paraId="4510A0B0" w14:textId="0DAAF29E" w:rsidR="00380AD3" w:rsidRDefault="00A43BC2" w:rsidP="00D009AE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