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NOTA TÉCNICA</w:t>
      </w:r>
    </w:p>
    <w:p>
      <w:pPr>
        <w:spacing w:after="40"/>
        <w:jc w:val="center"/>
      </w:pPr>
      <w:r>
        <w:rPr>
          <w:b/>
          <w:i w:val="0"/>
          <w:sz w:val="24"/>
        </w:rPr>
        <w:t>Análise contrafactual: distribuição das unidades sob critério apenas populacional</w:t>
      </w:r>
    </w:p>
    <w:p>
      <w:pPr>
        <w:spacing w:after="160"/>
        <w:jc w:val="center"/>
      </w:pPr>
      <w:r>
        <w:rPr>
          <w:b w:val="0"/>
          <w:i/>
          <w:sz w:val="20"/>
        </w:rPr>
        <w:t>Material suplementar do artigo “De indicador a regra de alocação: Potencial de Creche por Município no Programa Infância Feliz”</w:t>
      </w:r>
    </w:p>
    <w:p>
      <w:pPr>
        <w:spacing w:before="40"/>
        <w:jc w:val="both"/>
      </w:pPr>
      <w:r>
        <w:rPr>
          <w:b/>
          <w:i w:val="0"/>
        </w:rPr>
        <w:t>1. Pergunta</w:t>
      </w:r>
    </w:p>
    <w:p>
      <w:pPr>
        <w:jc w:val="both"/>
      </w:pPr>
      <w:r>
        <w:rPr>
          <w:b w:val="0"/>
          <w:i w:val="0"/>
        </w:rPr>
        <w:t>A seção 4.2 do artigo compara a distribuição aprovada para o Programa Infância Feliz com a que se observaria na ausência da regra adotada (o PCM e sua conversão em unidades), caso as mesmas unidades fossem repartidas apenas pela população infantil, o critério mais simples de demanda. Esta nota descreve como construímos essa simulação, em que condições as duas distribuições são comparáveis e que inferências a comparação permite.</w:t>
      </w:r>
    </w:p>
    <w:p>
      <w:pPr>
        <w:spacing w:before="40"/>
        <w:jc w:val="both"/>
      </w:pPr>
      <w:r>
        <w:rPr>
          <w:b/>
          <w:i w:val="0"/>
        </w:rPr>
        <w:t>2. Construção do contrafactual</w:t>
      </w:r>
    </w:p>
    <w:p>
      <w:pPr>
        <w:jc w:val="both"/>
      </w:pPr>
      <w:r>
        <w:rPr>
          <w:b w:val="0"/>
          <w:i w:val="0"/>
        </w:rPr>
        <w:t>O contrafactual reparte as 300 unidades da versão de maio de 2024 entre os 399 municípios do Paraná em proporção à população de zero a quatro anos do Censo Demográfico de 2022, que soma 698.133 crianças (IBGE, 2023). A cota exata do município i é qᵢ = 300 · aᵢ / A, em que aᵢ é sua população de zero a quatro anos e A, a do estado. Cada município recebe a parte inteira de qᵢ, e as unidades restantes vão às maiores partes fracionárias, pelo método do maior resto (BALINSKI; YOUNG, 2001), o mesmo que a regra adotada usa nos municípios grandes. A simulação não usa o PCM, as faixas de porte, as cotas, os tetos nem a etapa prévia. Cada unidade corresponde, em média, a 2.327 crianças, e só recebem unidade os municípios com cota exata acima de 0,38, o equivalente a cerca de 890 crianças de zero a quatro anos.</w:t>
      </w:r>
    </w:p>
    <w:p>
      <w:pPr>
        <w:spacing w:before="40"/>
        <w:jc w:val="both"/>
      </w:pPr>
      <w:r>
        <w:rPr>
          <w:b/>
          <w:i w:val="0"/>
        </w:rPr>
        <w:t>3. Comparabilidade</w:t>
      </w:r>
    </w:p>
    <w:p>
      <w:pPr>
        <w:jc w:val="both"/>
      </w:pPr>
      <w:r>
        <w:rPr>
          <w:b w:val="0"/>
          <w:i w:val="0"/>
        </w:rPr>
        <w:t>Mantivemos fixos os elementos que não dependem da regra: o total de unidades, o universo de municípios e a fonte populacional, o Censo Demográfico de 2022. Duas diferenças entre as distribuições comparadas precisam ser consideradas. A versão de maio inclui 43 unidades da etapa prévia, que o CEDCA/PR destinou em dezembro de 2023, antes do índice (CEDCA, 2023). Para que essas unidades não se confundam com o efeito da regra, calculamos uma segunda variante, que as mantém e reparte as outras 257 pela população. Além disso, a versão adotada usou, no indicador PC do índice e nas cotas dos municípios grandes, a coluna da planilha que contém a população de 5 a 14 anos (seção 3.2 do artigo), enquanto o contrafactual usa a de zero a quatro anos, faixa indicada pela Resolução SEDEF nº 219/2024 (PARANÁ, 2024). Com a população de zero a quatro anos e as demais correções da nota 5 do artigo, o índice teria correlação de postos de 0,99 com o adotado, 153 dos 157 municípios selecionados nas faixas menores se manteriam e duas unidades mudariam de município entre os 30 maiores, diferenças pequenas diante das que a Tabela 1 registra.</w:t>
      </w:r>
    </w:p>
    <w:p>
      <w:pPr>
        <w:spacing w:before="40"/>
        <w:jc w:val="both"/>
      </w:pPr>
      <w:r>
        <w:rPr>
          <w:b/>
          <w:i w:val="0"/>
        </w:rPr>
        <w:t>4. Resultados</w:t>
      </w:r>
    </w:p>
    <w:p>
      <w:pPr>
        <w:keepNext/>
        <w:spacing w:after="40"/>
        <w:jc w:val="left"/>
      </w:pPr>
      <w:r>
        <w:rPr>
          <w:b w:val="0"/>
          <w:i w:val="0"/>
          <w:sz w:val="20"/>
        </w:rPr>
        <w:t>Tabela 1 – Distribuição das 300 unidades: versões do programa e contrafactual populacional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1247"/>
        <w:gridCol w:w="1474"/>
        <w:gridCol w:w="1304"/>
        <w:gridCol w:w="1417"/>
      </w:tblGrid>
      <w:tr>
        <w:trPr>
          <w:cantSplit/>
        </w:trPr>
        <w:tc>
          <w:tcPr>
            <w:tcW w:type="dxa" w:w="3628"/>
          </w:tcPr>
          <w:p>
            <w:pPr>
              <w:keepNext/>
              <w:spacing w:after="0"/>
              <w:jc w:val="left"/>
            </w:pPr>
            <w:r>
              <w:rPr>
                <w:b/>
                <w:sz w:val="18"/>
              </w:rPr>
              <w:t>Indicador</w:t>
            </w:r>
          </w:p>
        </w:tc>
        <w:tc>
          <w:tcPr>
            <w:tcW w:type="dxa" w:w="1247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Março de 2024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Maio de 2024 (aprovada)</w:t>
            </w:r>
          </w:p>
        </w:tc>
        <w:tc>
          <w:tcPr>
            <w:tcW w:type="dxa" w:w="1304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Contrafactual</w:t>
            </w:r>
          </w:p>
        </w:tc>
        <w:tc>
          <w:tcPr>
            <w:tcW w:type="dxa" w:w="1417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Contrafactual com etapa prévia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keepNext/>
              <w:spacing w:after="0"/>
              <w:jc w:val="left"/>
            </w:pPr>
            <w:r>
              <w:rPr>
                <w:b w:val="0"/>
                <w:sz w:val="18"/>
              </w:rPr>
              <w:t>Municípios contemplados</w:t>
            </w:r>
          </w:p>
        </w:tc>
        <w:tc>
          <w:tcPr>
            <w:tcW w:type="dxa" w:w="124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224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258</w:t>
            </w:r>
          </w:p>
        </w:tc>
        <w:tc>
          <w:tcPr>
            <w:tcW w:type="dxa" w:w="130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147</w:t>
            </w:r>
          </w:p>
        </w:tc>
        <w:tc>
          <w:tcPr>
            <w:tcW w:type="dxa" w:w="141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152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keepNext/>
              <w:spacing w:after="0"/>
              <w:jc w:val="left"/>
            </w:pPr>
            <w:r>
              <w:rPr>
                <w:b w:val="0"/>
                <w:sz w:val="18"/>
              </w:rPr>
              <w:t>Municípios de até 20 mil habitantes contemplados</w:t>
            </w:r>
          </w:p>
        </w:tc>
        <w:tc>
          <w:tcPr>
            <w:tcW w:type="dxa" w:w="124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162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181</w:t>
            </w:r>
          </w:p>
        </w:tc>
        <w:tc>
          <w:tcPr>
            <w:tcW w:type="dxa" w:w="130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141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60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keepNext/>
              <w:spacing w:after="0"/>
              <w:jc w:val="left"/>
            </w:pPr>
            <w:r>
              <w:rPr>
                <w:b w:val="0"/>
                <w:sz w:val="18"/>
              </w:rPr>
              <w:t>Municípios de até 5 mil habitantes contemplados</w:t>
            </w:r>
          </w:p>
        </w:tc>
        <w:tc>
          <w:tcPr>
            <w:tcW w:type="dxa" w:w="124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130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1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keepNext/>
              <w:spacing w:after="0"/>
              <w:jc w:val="left"/>
            </w:pPr>
            <w:r>
              <w:rPr>
                <w:b w:val="0"/>
                <w:sz w:val="18"/>
              </w:rPr>
              <w:t>Unidades em Curitiba</w:t>
            </w:r>
          </w:p>
        </w:tc>
        <w:tc>
          <w:tcPr>
            <w:tcW w:type="dxa" w:w="124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0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141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31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keepNext/>
              <w:spacing w:after="0"/>
              <w:jc w:val="left"/>
            </w:pPr>
            <w:r>
              <w:rPr>
                <w:b w:val="0"/>
                <w:sz w:val="18"/>
              </w:rPr>
              <w:t>Unidades nos 10 maiores receptores (%)</w:t>
            </w:r>
          </w:p>
        </w:tc>
        <w:tc>
          <w:tcPr>
            <w:tcW w:type="dxa" w:w="124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21,0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11,3</w:t>
            </w:r>
          </w:p>
        </w:tc>
        <w:tc>
          <w:tcPr>
            <w:tcW w:type="dxa" w:w="130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37,7</w:t>
            </w:r>
          </w:p>
        </w:tc>
        <w:tc>
          <w:tcPr>
            <w:tcW w:type="dxa" w:w="141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33,3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keepNext/>
              <w:spacing w:after="0"/>
              <w:jc w:val="left"/>
            </w:pPr>
            <w:r>
              <w:rPr>
                <w:b w:val="0"/>
                <w:sz w:val="18"/>
              </w:rPr>
              <w:t>Unidades nos 80 municípios de maior PCM (%)</w:t>
            </w:r>
          </w:p>
        </w:tc>
        <w:tc>
          <w:tcPr>
            <w:tcW w:type="dxa" w:w="124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28,0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28,0</w:t>
            </w:r>
          </w:p>
        </w:tc>
        <w:tc>
          <w:tcPr>
            <w:tcW w:type="dxa" w:w="130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12,7</w:t>
            </w:r>
          </w:p>
        </w:tc>
        <w:tc>
          <w:tcPr>
            <w:tcW w:type="dxa" w:w="141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17,0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keepNext/>
              <w:spacing w:after="0"/>
              <w:jc w:val="left"/>
            </w:pPr>
            <w:r>
              <w:rPr>
                <w:b w:val="0"/>
                <w:sz w:val="18"/>
              </w:rPr>
              <w:t>PCM médio ponderado pelas unidades</w:t>
            </w:r>
          </w:p>
        </w:tc>
        <w:tc>
          <w:tcPr>
            <w:tcW w:type="dxa" w:w="124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0,513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0,508</w:t>
            </w:r>
          </w:p>
        </w:tc>
        <w:tc>
          <w:tcPr>
            <w:tcW w:type="dxa" w:w="130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0,442</w:t>
            </w:r>
          </w:p>
        </w:tc>
        <w:tc>
          <w:tcPr>
            <w:tcW w:type="dxa" w:w="141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0,460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keepNext/>
              <w:spacing w:after="0"/>
              <w:jc w:val="left"/>
            </w:pPr>
            <w:r>
              <w:rPr>
                <w:b w:val="0"/>
                <w:sz w:val="18"/>
              </w:rPr>
              <w:t>Crianças de 0 a 4 anos em municípios contemplados (%)</w:t>
            </w:r>
          </w:p>
        </w:tc>
        <w:tc>
          <w:tcPr>
            <w:tcW w:type="dxa" w:w="124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82,1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88,9</w:t>
            </w:r>
          </w:p>
        </w:tc>
        <w:tc>
          <w:tcPr>
            <w:tcW w:type="dxa" w:w="130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85,5</w:t>
            </w:r>
          </w:p>
        </w:tc>
        <w:tc>
          <w:tcPr>
            <w:tcW w:type="dxa" w:w="141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85,1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Municípios também contemplados na versão de maio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223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258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123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129</w:t>
            </w:r>
          </w:p>
        </w:tc>
      </w:tr>
    </w:tbl>
    <w:p>
      <w:pPr>
        <w:spacing w:after="120"/>
        <w:jc w:val="left"/>
      </w:pPr>
      <w:r>
        <w:rPr>
          <w:b w:val="0"/>
          <w:i w:val="0"/>
          <w:sz w:val="18"/>
        </w:rPr>
        <w:t>Fonte: elaboração própria com dados do Censo Demográfico de 2022 (IBGE, 2023), das planilhas do programa e da Resolução SEDEF nº 219/2024. A população de 0 a 4 anos do estado é de 698.133 crianças.</w:t>
      </w:r>
    </w:p>
    <w:p>
      <w:pPr>
        <w:jc w:val="both"/>
      </w:pPr>
      <w:r>
        <w:rPr>
          <w:b w:val="0"/>
          <w:i w:val="0"/>
        </w:rPr>
        <w:t>Com as mesmas 300 unidades, a versão aprovada contemplou 258 municípios, e o contrafactual, 147. A repartição populacional concentraria as unidades: os dez maiores receptores ficariam com 37,7% delas, contra 11,3% em maio, e Curitiba receberia 37 unidades, contra 6. Nenhum município de até 5 mil habitantes seria contemplado, contra 38 na versão aprovada. A regra também dirige as unidades para onde o índice mede maior necessidade: os 80 municípios de maior PCM ficaram com 28,0% das unidades, contra 12,7% no contrafactual. A cobertura populacional não opõe as duas distribuições. No contrafactual, 85,5% das crianças de zero a quatro anos viveriam em municípios contemplados, contra 88,9% em maio e 82,1% em março. Com as 43 unidades da etapa prévia preservadas, as diferenças persistem (152 municípios, 31 unidades em Curitiba e 17,0% das unidades nos 80 de maior PCM), o que afasta a etapa prévia como explicação. As diferenças restantes decorrem do conjunto da versão de maio (índice, faixas, cotas, tetos e ajustes posteriores), e a simulação não separa o peso de cada componente.</w:t>
      </w:r>
    </w:p>
    <w:p>
      <w:pPr>
        <w:spacing w:before="40"/>
        <w:jc w:val="both"/>
      </w:pPr>
      <w:r>
        <w:rPr>
          <w:b/>
          <w:i w:val="0"/>
        </w:rPr>
        <w:t>5. Alcance e limites da inferência</w:t>
      </w:r>
    </w:p>
    <w:p>
      <w:pPr>
        <w:jc w:val="both"/>
      </w:pPr>
      <w:r>
        <w:rPr>
          <w:b w:val="0"/>
          <w:i w:val="0"/>
        </w:rPr>
        <w:t>A comparação mede o efeito alocativo da versão adotada: quantos municípios, de que porte e com que necessidade medida recebem as unidades, para um mesmo total. É nesse resultado que se apoiam as duas primeiras lições da seção 5 do artigo, segundo as quais índice e regra decidem juntos o resultado territorial e a informação intersetorial do índice muda o destino das unidades. A simulação é estática e não incorpora adesões, desistências, disponibilidade de terreno nem capacidade de execução, que na política real filtram a lista de contemplados. Também não estima efeitos sobre matrículas, emprego dos cuidadores ou desenvolvimento infantil, que dependem do funcionamento das unidades e cabem a uma avaliação ex post. O contrafactual considera só o número de crianças, sem a oferta instalada nem a vulnerabilidade, e serve por isso de referência mínima. Os dados municipais usados (população, PCM e unidades por versão) estão na planilha de dados do material suplementar, o que permite reproduzir a simulação e testar outras regras.</w:t>
      </w:r>
    </w:p>
    <w:p>
      <w:pPr>
        <w:spacing w:before="80"/>
        <w:jc w:val="both"/>
      </w:pPr>
      <w:r>
        <w:rPr>
          <w:b/>
          <w:i w:val="0"/>
        </w:rPr>
        <w:t>Referências</w:t>
      </w:r>
    </w:p>
    <w:p>
      <w:pPr>
        <w:spacing w:after="40"/>
        <w:jc w:val="left"/>
      </w:pPr>
      <w:r>
        <w:rPr>
          <w:b w:val="0"/>
          <w:i w:val="0"/>
          <w:sz w:val="18"/>
        </w:rPr>
        <w:t>BALINSKI, M. L.; YOUNG, H. P. Fair representation: meeting the ideal of one man, one vote. 2. ed. Washington, DC: Brookings Institution Press, 2001.</w:t>
      </w:r>
    </w:p>
    <w:p>
      <w:pPr>
        <w:spacing w:after="40"/>
        <w:jc w:val="left"/>
      </w:pPr>
      <w:r>
        <w:rPr>
          <w:b w:val="0"/>
          <w:i w:val="0"/>
          <w:sz w:val="18"/>
        </w:rPr>
        <w:t>CEDCA. Conselho Estadual dos Direitos da Criança e do Adolescente do Paraná. Deliberação nº 60/2023, de 4 de dezembro de 2023. Aprova o repasse de recursos fundo a fundo para a construção de creches. Diário Oficial do Estado do Paraná, Curitiba, 6 dez. 2023.</w:t>
      </w:r>
    </w:p>
    <w:p>
      <w:pPr>
        <w:spacing w:after="40"/>
        <w:jc w:val="left"/>
      </w:pPr>
      <w:r>
        <w:rPr>
          <w:b w:val="0"/>
          <w:i w:val="0"/>
          <w:sz w:val="18"/>
        </w:rPr>
        <w:t>IBGE. Censo Demográfico 2022: população por idade e sexo, resultados do universo (tabela 9514). Rio de Janeiro: IBGE, 2023. Disponível em: https://sidra.ibge.gov.br/tabela/9514. Acesso em: 29 set. 2026.</w:t>
      </w:r>
    </w:p>
    <w:p>
      <w:pPr>
        <w:spacing w:after="40"/>
        <w:jc w:val="left"/>
      </w:pPr>
      <w:r>
        <w:rPr>
          <w:b w:val="0"/>
          <w:i w:val="0"/>
          <w:sz w:val="18"/>
        </w:rPr>
        <w:t>PARANÁ. Secretaria de Estado do Desenvolvimento Social e Família. Resolução nº 219/2024, de 4 de junho de 2024 (retificada). Estabelece os critérios para ranqueamento de municípios do Programa Infância Feliz Paraná. Curitiba: SEDEF, 2024.</w:t>
      </w:r>
    </w:p>
    <w:sectPr w:rsidR="00FC693F" w:rsidRPr="0006063C" w:rsidSect="00034616">
      <w:pgSz w:w="11906" w:h="16838"/>
      <w:pgMar w:top="1020" w:right="1417" w:bottom="90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