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apport-dévaluation---équipe-oj9l"/>
    <w:p>
      <w:pPr>
        <w:pStyle w:val="Heading1"/>
      </w:pPr>
      <w:r>
        <w:t xml:space="preserve">Rapport d’Évaluation - Équipe OJ9L</w:t>
      </w:r>
    </w:p>
    <w:bookmarkStart w:id="20" w:name="résumé-de-lévaluation"/>
    <w:p>
      <w:pPr>
        <w:pStyle w:val="Heading2"/>
      </w:pPr>
      <w:r>
        <w:t xml:space="preserve">1. Résumé de l’Évaluation</w:t>
      </w:r>
    </w:p>
    <w:p>
      <w:pPr>
        <w:pStyle w:val="FirstParagraph"/>
      </w:pPr>
      <w:r>
        <w:t xml:space="preserve">L’équipe OJ9L a fourni une analyse méthodique de la santé des oiseaux urbains utilisant des modèles linéaires mixtes (lmer). Le script est exceptionnellement bien commenté et structuré, avec une approche pédagogique claire. L’équipe démontre une bonne compréhension de la standardisation des variables et de la structure hiérarchique des données.</w:t>
      </w:r>
    </w:p>
    <w:p>
      <w:r>
        <w:pict>
          <v:rect style="width:0;height:1.5pt" o:hralign="center" o:hrstd="t" o:hr="t"/>
        </w:pict>
      </w:r>
    </w:p>
    <w:bookmarkEnd w:id="20"/>
    <w:bookmarkStart w:id="21" w:name="tableau-des-scores-critères-c1-c5"/>
    <w:p>
      <w:pPr>
        <w:pStyle w:val="Heading2"/>
      </w:pPr>
      <w:r>
        <w:t xml:space="preserve">2. Tableau des Scores (Critères C1-C5)</w:t>
      </w:r>
    </w:p>
    <w:tbl>
      <w:tblPr>
        <w:tblStyle w:val="Table"/>
        <w:tblW w:type="pct" w:w="5000"/>
        <w:tblLook w:firstRow="1" w:lastRow="0" w:firstColumn="0" w:lastColumn="0" w:noHBand="0" w:noVBand="0" w:val="0020"/>
        <w:jc w:val="start"/>
      </w:tblPr>
      <w:tblGrid>
        <w:gridCol w:w="2457"/>
        <w:gridCol w:w="1911"/>
        <w:gridCol w:w="3550"/>
      </w:tblGrid>
      <w:tr>
        <w:trPr>
          <w:tblHeader w:val="true"/>
        </w:trPr>
        <w:tc>
          <w:tcPr/>
          <w:p>
            <w:pPr>
              <w:pStyle w:val="Compact"/>
              <w:jc w:val="left"/>
            </w:pPr>
            <w:r>
              <w:t xml:space="preserve">Critère</w:t>
            </w:r>
          </w:p>
        </w:tc>
        <w:tc>
          <w:tcPr/>
          <w:p>
            <w:pPr>
              <w:pStyle w:val="Compact"/>
              <w:jc w:val="left"/>
            </w:pPr>
            <w:r>
              <w:t xml:space="preserve">Score</w:t>
            </w:r>
          </w:p>
        </w:tc>
        <w:tc>
          <w:tcPr/>
          <w:p>
            <w:pPr>
              <w:pStyle w:val="Compact"/>
              <w:jc w:val="left"/>
            </w:pPr>
            <w:r>
              <w:t xml:space="preserve">Description</w:t>
            </w:r>
          </w:p>
        </w:tc>
      </w:tr>
      <w:tr>
        <w:tc>
          <w:tcPr/>
          <w:p>
            <w:pPr>
              <w:pStyle w:val="Compact"/>
              <w:jc w:val="left"/>
            </w:pPr>
            <w:r>
              <w:rPr>
                <w:bCs/>
                <w:b/>
              </w:rPr>
              <w:t xml:space="preserve">C1</w:t>
            </w:r>
            <w:r>
              <w:t xml:space="preserve"> </w:t>
            </w:r>
            <w:r>
              <w:t xml:space="preserve">- Analyse techniquement correcte et choix justifiés</w:t>
            </w:r>
          </w:p>
        </w:tc>
        <w:tc>
          <w:tcPr/>
          <w:p>
            <w:pPr>
              <w:pStyle w:val="Compact"/>
              <w:jc w:val="left"/>
            </w:pPr>
            <w:r>
              <w:t xml:space="preserve">4</w:t>
            </w:r>
          </w:p>
        </w:tc>
        <w:tc>
          <w:tcPr/>
          <w:p>
            <w:pPr>
              <w:pStyle w:val="Compact"/>
              <w:jc w:val="left"/>
            </w:pPr>
            <w:r>
              <w:t xml:space="preserve">Excellente standardisation des variables, bonne vérification du VIF, comparaison AIC entre modèles. Utilisation appropriée des effets aléatoires imbriqués.</w:t>
            </w:r>
          </w:p>
        </w:tc>
      </w:tr>
      <w:tr>
        <w:tc>
          <w:tcPr/>
          <w:p>
            <w:pPr>
              <w:pStyle w:val="Compact"/>
              <w:jc w:val="left"/>
            </w:pPr>
            <w:r>
              <w:rPr>
                <w:bCs/>
                <w:b/>
              </w:rPr>
              <w:t xml:space="preserve">C2</w:t>
            </w:r>
            <w:r>
              <w:t xml:space="preserve"> </w:t>
            </w:r>
            <w:r>
              <w:t xml:space="preserve">- Code reproductible et lisible</w:t>
            </w:r>
          </w:p>
        </w:tc>
        <w:tc>
          <w:tcPr/>
          <w:p>
            <w:pPr>
              <w:pStyle w:val="Compact"/>
              <w:jc w:val="left"/>
            </w:pPr>
            <w:r>
              <w:t xml:space="preserve">5</w:t>
            </w:r>
          </w:p>
        </w:tc>
        <w:tc>
          <w:tcPr/>
          <w:p>
            <w:pPr>
              <w:pStyle w:val="Compact"/>
              <w:jc w:val="left"/>
            </w:pPr>
            <w:r>
              <w:t xml:space="preserve">Script extrêmement bien commenté avec explications détaillées de chaque étape. Organisation exemplaire en sections numérotées. Code facilement compréhensible même pour des non-experts.</w:t>
            </w:r>
          </w:p>
        </w:tc>
      </w:tr>
      <w:tr>
        <w:tc>
          <w:tcPr/>
          <w:p>
            <w:pPr>
              <w:pStyle w:val="Compact"/>
              <w:jc w:val="left"/>
            </w:pPr>
            <w:r>
              <w:rPr>
                <w:bCs/>
                <w:b/>
              </w:rPr>
              <w:t xml:space="preserve">C3</w:t>
            </w:r>
            <w:r>
              <w:t xml:space="preserve"> </w:t>
            </w:r>
            <w:r>
              <w:t xml:space="preserve">- Transparence sur les incertitudes et limitations</w:t>
            </w:r>
          </w:p>
        </w:tc>
        <w:tc>
          <w:tcPr/>
          <w:p>
            <w:pPr>
              <w:pStyle w:val="Compact"/>
              <w:jc w:val="left"/>
            </w:pPr>
            <w:r>
              <w:t xml:space="preserve">3</w:t>
            </w:r>
          </w:p>
        </w:tc>
        <w:tc>
          <w:tcPr/>
          <w:p>
            <w:pPr>
              <w:pStyle w:val="Compact"/>
              <w:jc w:val="left"/>
            </w:pPr>
            <w:r>
              <w:t xml:space="preserve">Les diagnostics du modèle sont présentés (résidus, Q-Q plot), mais l’interprétation des limitations reste superficielle. Pas de discussion sur les valeurs aberrantes potentielles.</w:t>
            </w:r>
          </w:p>
        </w:tc>
      </w:tr>
      <w:tr>
        <w:tc>
          <w:tcPr/>
          <w:p>
            <w:pPr>
              <w:pStyle w:val="Compact"/>
              <w:jc w:val="left"/>
            </w:pPr>
            <w:r>
              <w:rPr>
                <w:bCs/>
                <w:b/>
              </w:rPr>
              <w:t xml:space="preserve">C4</w:t>
            </w:r>
            <w:r>
              <w:t xml:space="preserve"> </w:t>
            </w:r>
            <w:r>
              <w:t xml:space="preserve">- Interprétations et conclusions claires et supportées</w:t>
            </w:r>
          </w:p>
        </w:tc>
        <w:tc>
          <w:tcPr/>
          <w:p>
            <w:pPr>
              <w:pStyle w:val="Compact"/>
              <w:jc w:val="left"/>
            </w:pPr>
            <w:r>
              <w:t xml:space="preserve">4</w:t>
            </w:r>
          </w:p>
        </w:tc>
        <w:tc>
          <w:tcPr/>
          <w:p>
            <w:pPr>
              <w:pStyle w:val="Compact"/>
              <w:jc w:val="left"/>
            </w:pPr>
            <w:r>
              <w:t xml:space="preserve">Les prédictions sont sauvegardées dans un fichier CSV. L’utilisation de</w:t>
            </w:r>
            <w:r>
              <w:t xml:space="preserve"> </w:t>
            </w:r>
            <w:r>
              <w:rPr>
                <w:rStyle w:val="VerbatimChar"/>
              </w:rPr>
              <w:t xml:space="preserve">allow.new.levels = TRUE</w:t>
            </w:r>
            <w:r>
              <w:t xml:space="preserve"> </w:t>
            </w:r>
            <w:r>
              <w:t xml:space="preserve">montre une compréhension des enjeux de prédiction pour de nouveaux contextes.</w:t>
            </w:r>
          </w:p>
        </w:tc>
      </w:tr>
      <w:tr>
        <w:tc>
          <w:tcPr/>
          <w:p>
            <w:pPr>
              <w:pStyle w:val="Compact"/>
              <w:jc w:val="left"/>
            </w:pPr>
            <w:r>
              <w:rPr>
                <w:bCs/>
                <w:b/>
              </w:rPr>
              <w:t xml:space="preserve">C5</w:t>
            </w:r>
            <w:r>
              <w:t xml:space="preserve"> </w:t>
            </w:r>
            <w:r>
              <w:t xml:space="preserve">- Analyse à la fine pointe de la technologie</w:t>
            </w:r>
          </w:p>
        </w:tc>
        <w:tc>
          <w:tcPr/>
          <w:p>
            <w:pPr>
              <w:pStyle w:val="Compact"/>
              <w:jc w:val="left"/>
            </w:pPr>
            <w:r>
              <w:t xml:space="preserve">3</w:t>
            </w:r>
          </w:p>
        </w:tc>
        <w:tc>
          <w:tcPr/>
          <w:p>
            <w:pPr>
              <w:pStyle w:val="Compact"/>
              <w:jc w:val="left"/>
            </w:pPr>
            <w:r>
              <w:t xml:space="preserve">L’approche lmer est solide mais classique. L’exploration de modèles plus flexibles (GAM, Random Forest) aurait enrichi l’analyse.</w:t>
            </w:r>
          </w:p>
        </w:tc>
      </w:tr>
    </w:tbl>
    <w:p>
      <w:pPr>
        <w:pStyle w:val="BodyText"/>
      </w:pPr>
      <w:r>
        <w:rPr>
          <w:bCs/>
          <w:b/>
        </w:rPr>
        <w:t xml:space="preserve">Score moyen pondéré</w:t>
      </w:r>
      <w:r>
        <w:t xml:space="preserve"> </w:t>
      </w:r>
      <w:r>
        <w:t xml:space="preserve">: 3.8/5</w:t>
      </w:r>
    </w:p>
    <w:p>
      <w:r>
        <w:pict>
          <v:rect style="width:0;height:1.5pt" o:hralign="center" o:hrstd="t" o:hr="t"/>
        </w:pict>
      </w:r>
    </w:p>
    <w:bookmarkEnd w:id="21"/>
    <w:bookmarkStart w:id="25" w:name="X9cccc80af8e55f5976fbafc0af97f5a1a472834"/>
    <w:p>
      <w:pPr>
        <w:pStyle w:val="Heading2"/>
      </w:pPr>
      <w:r>
        <w:t xml:space="preserve">3. Commentaires Détaillés sur la Rigueur Scientifique</w:t>
      </w:r>
    </w:p>
    <w:bookmarkStart w:id="22" w:name="points-positifs"/>
    <w:p>
      <w:pPr>
        <w:pStyle w:val="Heading3"/>
      </w:pPr>
      <w:r>
        <w:t xml:space="preserve">Points Positifs</w:t>
      </w:r>
    </w:p>
    <w:p>
      <w:pPr>
        <w:numPr>
          <w:ilvl w:val="0"/>
          <w:numId w:val="1001"/>
        </w:numPr>
        <w:pStyle w:val="Compact"/>
      </w:pPr>
      <w:r>
        <w:rPr>
          <w:bCs/>
          <w:b/>
        </w:rPr>
        <w:t xml:space="preserve">Standardisation rigoureuse</w:t>
      </w:r>
      <w:r>
        <w:t xml:space="preserve"> </w:t>
      </w:r>
      <w:r>
        <w:t xml:space="preserve">: La standardisation des variables continues est effectuée correctement, en calculant les paramètres (moyenne, écart-type) uniquement sur le jeu d’entraînement avant de les appliquer aux deux jeux de données. Cette approche évite la fuite de données et suit les meilleures pratiques (Kuhn &amp; Johnson, 2013).</w:t>
      </w:r>
    </w:p>
    <w:p>
      <w:pPr>
        <w:pStyle w:val="SourceCode"/>
      </w:pPr>
      <w:r>
        <w:rPr>
          <w:rStyle w:val="CommentTok"/>
        </w:rPr>
        <w:t xml:space="preserve"># Calcul des paramètres UNIQUEMENT sur le jeu d'entraînement</w:t>
      </w:r>
      <w:r>
        <w:br/>
      </w:r>
      <w:r>
        <w:rPr>
          <w:rStyle w:val="NormalTok"/>
        </w:rPr>
        <w:t xml:space="preserve">scale_center </w:t>
      </w:r>
      <w:r>
        <w:rPr>
          <w:rStyle w:val="OtherTok"/>
        </w:rPr>
        <w:t xml:space="preserve">&lt;-</w:t>
      </w:r>
      <w:r>
        <w:rPr>
          <w:rStyle w:val="NormalTok"/>
        </w:rPr>
        <w:t xml:space="preserve"> </w:t>
      </w:r>
      <w:r>
        <w:rPr>
          <w:rStyle w:val="FunctionTok"/>
        </w:rPr>
        <w:t xml:space="preserve">sapply</w:t>
      </w:r>
      <w:r>
        <w:rPr>
          <w:rStyle w:val="NormalTok"/>
        </w:rPr>
        <w:t xml:space="preserve">(dataset[vars_cont],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scale_scale  </w:t>
      </w:r>
      <w:r>
        <w:rPr>
          <w:rStyle w:val="OtherTok"/>
        </w:rPr>
        <w:t xml:space="preserve">&lt;-</w:t>
      </w:r>
      <w:r>
        <w:rPr>
          <w:rStyle w:val="NormalTok"/>
        </w:rPr>
        <w:t xml:space="preserve"> </w:t>
      </w:r>
      <w:r>
        <w:rPr>
          <w:rStyle w:val="FunctionTok"/>
        </w:rPr>
        <w:t xml:space="preserve">sapply</w:t>
      </w:r>
      <w:r>
        <w:rPr>
          <w:rStyle w:val="NormalTok"/>
        </w:rPr>
        <w:t xml:space="preserve">(dataset[vars_cont], sd,   </w:t>
      </w:r>
      <w:r>
        <w:rPr>
          <w:rStyle w:val="AttributeTok"/>
        </w:rPr>
        <w:t xml:space="preserve">na.rm =</w:t>
      </w:r>
      <w:r>
        <w:rPr>
          <w:rStyle w:val="NormalTok"/>
        </w:rPr>
        <w:t xml:space="preserve"> </w:t>
      </w:r>
      <w:r>
        <w:rPr>
          <w:rStyle w:val="ConstantTok"/>
        </w:rPr>
        <w:t xml:space="preserve">TRUE</w:t>
      </w:r>
      <w:r>
        <w:rPr>
          <w:rStyle w:val="NormalTok"/>
        </w:rPr>
        <w:t xml:space="preserve">)</w:t>
      </w:r>
    </w:p>
    <w:p>
      <w:pPr>
        <w:numPr>
          <w:ilvl w:val="0"/>
          <w:numId w:val="1002"/>
        </w:numPr>
      </w:pPr>
      <w:r>
        <w:rPr>
          <w:bCs/>
          <w:b/>
        </w:rPr>
        <w:t xml:space="preserve">Vérification de la multicolinéarité</w:t>
      </w:r>
      <w:r>
        <w:t xml:space="preserve"> </w:t>
      </w:r>
      <w:r>
        <w:t xml:space="preserve">: Le calcul du VIF avant la modélisation est une pratique essentielle. Le seuil mentionné (VIF &gt; 5) est conforme aux recommandations de Zuur et al. (2010).</w:t>
      </w:r>
    </w:p>
    <w:p>
      <w:pPr>
        <w:numPr>
          <w:ilvl w:val="0"/>
          <w:numId w:val="1002"/>
        </w:numPr>
      </w:pPr>
      <w:r>
        <w:rPr>
          <w:bCs/>
          <w:b/>
        </w:rPr>
        <w:t xml:space="preserve">Structure des effets aléatoires</w:t>
      </w:r>
      <w:r>
        <w:t xml:space="preserve"> </w:t>
      </w:r>
      <w:r>
        <w:t xml:space="preserve">: L’utilisation d’effets aléatoires imbriqués</w:t>
      </w:r>
      <w:r>
        <w:t xml:space="preserve"> </w:t>
      </w:r>
      <w:r>
        <w:rPr>
          <w:rStyle w:val="VerbatimChar"/>
        </w:rPr>
        <w:t xml:space="preserve">(1|city_id/park_id)</w:t>
      </w:r>
      <w:r>
        <w:t xml:space="preserve"> </w:t>
      </w:r>
      <w:r>
        <w:t xml:space="preserve">capture correctement la structure hiérarchique des données écologiques.</w:t>
      </w:r>
    </w:p>
    <w:p>
      <w:pPr>
        <w:numPr>
          <w:ilvl w:val="0"/>
          <w:numId w:val="1002"/>
        </w:numPr>
      </w:pPr>
      <w:r>
        <w:rPr>
          <w:bCs/>
          <w:b/>
        </w:rPr>
        <w:t xml:space="preserve">Comparaison de modèles par AIC</w:t>
      </w:r>
      <w:r>
        <w:t xml:space="preserve"> </w:t>
      </w:r>
      <w:r>
        <w:t xml:space="preserve">: La comparaison entre le modèle complet et le modèle réduit via l’AIC est une approche standard et défendable pour la sélection de modèles (Burnham &amp; Anderson, 2002).</w:t>
      </w:r>
    </w:p>
    <w:p>
      <w:pPr>
        <w:numPr>
          <w:ilvl w:val="0"/>
          <w:numId w:val="1002"/>
        </w:numPr>
      </w:pPr>
      <w:r>
        <w:rPr>
          <w:bCs/>
          <w:b/>
        </w:rPr>
        <w:t xml:space="preserve">Gestion des NA explicite</w:t>
      </w:r>
      <w:r>
        <w:t xml:space="preserve"> </w:t>
      </w:r>
      <w:r>
        <w:t xml:space="preserve">: L’utilisation de</w:t>
      </w:r>
      <w:r>
        <w:t xml:space="preserve"> </w:t>
      </w:r>
      <w:r>
        <w:rPr>
          <w:rStyle w:val="VerbatimChar"/>
        </w:rPr>
        <w:t xml:space="preserve">na.omit()</w:t>
      </w:r>
      <w:r>
        <w:t xml:space="preserve"> </w:t>
      </w:r>
      <w:r>
        <w:t xml:space="preserve">pour créer</w:t>
      </w:r>
      <w:r>
        <w:t xml:space="preserve"> </w:t>
      </w:r>
      <w:r>
        <w:rPr>
          <w:rStyle w:val="VerbatimChar"/>
        </w:rPr>
        <w:t xml:space="preserve">dataset_complete</w:t>
      </w:r>
      <w:r>
        <w:t xml:space="preserve"> </w:t>
      </w:r>
      <w:r>
        <w:t xml:space="preserve">est transparente, bien que l’impact des données manquantes mériterait une discussion.</w:t>
      </w:r>
    </w:p>
    <w:bookmarkEnd w:id="22"/>
    <w:bookmarkStart w:id="23" w:name="points-à-améliorer"/>
    <w:p>
      <w:pPr>
        <w:pStyle w:val="Heading3"/>
      </w:pPr>
      <w:r>
        <w:t xml:space="preserve">Points à Améliorer</w:t>
      </w:r>
    </w:p>
    <w:p>
      <w:pPr>
        <w:numPr>
          <w:ilvl w:val="0"/>
          <w:numId w:val="1003"/>
        </w:numPr>
      </w:pPr>
      <w:r>
        <w:rPr>
          <w:bCs/>
          <w:b/>
        </w:rPr>
        <w:t xml:space="preserve">Exploration limitée des alternatives</w:t>
      </w:r>
      <w:r>
        <w:t xml:space="preserve"> </w:t>
      </w:r>
      <w:r>
        <w:t xml:space="preserve">: Seuls les modèles lmer ont été testés. L’exploration de GAM pour détecter des relations non-linéaires ou de Random Forest pour une meilleure prédiction aurait été bénéfique.</w:t>
      </w:r>
    </w:p>
    <w:p>
      <w:pPr>
        <w:numPr>
          <w:ilvl w:val="0"/>
          <w:numId w:val="1003"/>
        </w:numPr>
      </w:pPr>
      <w:r>
        <w:rPr>
          <w:bCs/>
          <w:b/>
        </w:rPr>
        <w:t xml:space="preserve">Validation externe absente</w:t>
      </w:r>
      <w:r>
        <w:t xml:space="preserve"> </w:t>
      </w:r>
      <w:r>
        <w:t xml:space="preserve">: Aucune validation croisée n’a été effectuée pour évaluer la capacité prédictive du modèle sur des données indépendantes.</w:t>
      </w:r>
    </w:p>
    <w:p>
      <w:pPr>
        <w:numPr>
          <w:ilvl w:val="0"/>
          <w:numId w:val="1003"/>
        </w:numPr>
      </w:pPr>
      <w:r>
        <w:rPr>
          <w:bCs/>
          <w:b/>
        </w:rPr>
        <w:t xml:space="preserve">Interprétation des diagnostics</w:t>
      </w:r>
      <w:r>
        <w:t xml:space="preserve"> </w:t>
      </w:r>
      <w:r>
        <w:t xml:space="preserve">: Bien que les graphiques de diagnostics soient générés, leur interprétation n’est pas fournie dans le script ou le rapport.</w:t>
      </w:r>
    </w:p>
    <w:p>
      <w:pPr>
        <w:numPr>
          <w:ilvl w:val="0"/>
          <w:numId w:val="1003"/>
        </w:numPr>
      </w:pPr>
      <w:r>
        <w:rPr>
          <w:bCs/>
          <w:b/>
        </w:rPr>
        <w:t xml:space="preserve">Choix du modèle final</w:t>
      </w:r>
      <w:r>
        <w:t xml:space="preserve"> </w:t>
      </w:r>
      <w:r>
        <w:t xml:space="preserve">: Après comparaison AIC, le modèle complet est choisi (</w:t>
      </w:r>
      <w:r>
        <w:rPr>
          <w:rStyle w:val="VerbatimChar"/>
        </w:rPr>
        <w:t xml:space="preserve">model_final &lt;- model_full</w:t>
      </w:r>
      <w:r>
        <w:t xml:space="preserve">), mais le script montre que le modèle réduit pourrait avoir un AIC similaire. Une justification plus explicite serait nécessaire.</w:t>
      </w:r>
    </w:p>
    <w:bookmarkEnd w:id="23"/>
    <w:bookmarkStart w:id="24" w:name="considérations-statistiques"/>
    <w:p>
      <w:pPr>
        <w:pStyle w:val="Heading3"/>
      </w:pPr>
      <w:r>
        <w:t xml:space="preserve">Considérations Statistiques</w:t>
      </w:r>
    </w:p>
    <w:p>
      <w:pPr>
        <w:pStyle w:val="FirstParagraph"/>
      </w:pPr>
      <w:r>
        <w:t xml:space="preserve">L’utilisation de</w:t>
      </w:r>
      <w:r>
        <w:t xml:space="preserve"> </w:t>
      </w:r>
      <w:r>
        <w:rPr>
          <w:rStyle w:val="VerbatimChar"/>
        </w:rPr>
        <w:t xml:space="preserve">REML = FALSE</w:t>
      </w:r>
      <w:r>
        <w:t xml:space="preserve"> </w:t>
      </w:r>
      <w:r>
        <w:t xml:space="preserve">lors de la comparaison des modèles via AIC est correcte, car REML ne permet pas de comparer des modèles avec des effets fixes différents (Zuur et al., 2009). Cependant, le modèle final pourrait être réajusté avec</w:t>
      </w:r>
      <w:r>
        <w:t xml:space="preserve"> </w:t>
      </w:r>
      <w:r>
        <w:rPr>
          <w:rStyle w:val="VerbatimChar"/>
        </w:rPr>
        <w:t xml:space="preserve">REML = TRUE</w:t>
      </w:r>
      <w:r>
        <w:t xml:space="preserve"> </w:t>
      </w:r>
      <w:r>
        <w:t xml:space="preserve">pour des estimations plus robustes des composantes de variance.</w:t>
      </w:r>
    </w:p>
    <w:p>
      <w:r>
        <w:pict>
          <v:rect style="width:0;height:1.5pt" o:hralign="center" o:hrstd="t" o:hr="t"/>
        </w:pict>
      </w:r>
    </w:p>
    <w:bookmarkEnd w:id="24"/>
    <w:bookmarkEnd w:id="25"/>
    <w:bookmarkStart w:id="29" w:name="analyse-technique-du-code-r"/>
    <w:p>
      <w:pPr>
        <w:pStyle w:val="Heading2"/>
      </w:pPr>
      <w:r>
        <w:t xml:space="preserve">4. Analyse Technique du Code R</w:t>
      </w:r>
    </w:p>
    <w:bookmarkStart w:id="26" w:name="points-forts"/>
    <w:p>
      <w:pPr>
        <w:pStyle w:val="Heading3"/>
      </w:pPr>
      <w:r>
        <w:t xml:space="preserve">Points Forts</w:t>
      </w:r>
    </w:p>
    <w:p>
      <w:pPr>
        <w:numPr>
          <w:ilvl w:val="0"/>
          <w:numId w:val="1004"/>
        </w:numPr>
      </w:pPr>
      <w:r>
        <w:rPr>
          <w:bCs/>
          <w:b/>
        </w:rPr>
        <w:t xml:space="preserve">Documentation exceptionnelle</w:t>
      </w:r>
      <w:r>
        <w:t xml:space="preserve"> </w:t>
      </w:r>
      <w:r>
        <w:t xml:space="preserve">: Chaque section est clairement délimitée et commentée, rendant le script très lisible.</w:t>
      </w:r>
    </w:p>
    <w:p>
      <w:pPr>
        <w:numPr>
          <w:ilvl w:val="0"/>
          <w:numId w:val="1004"/>
        </w:numPr>
      </w:pPr>
      <w:r>
        <w:rPr>
          <w:bCs/>
          <w:b/>
        </w:rPr>
        <w:t xml:space="preserve">Packages appropriés</w:t>
      </w:r>
      <w:r>
        <w:t xml:space="preserve"> </w:t>
      </w:r>
      <w:r>
        <w:t xml:space="preserve">: {lme4}, {lmerTest}, {car}, {performance} constituent un ensemble cohérent pour l’analyse de modèles mixtes.</w:t>
      </w:r>
    </w:p>
    <w:p>
      <w:pPr>
        <w:numPr>
          <w:ilvl w:val="0"/>
          <w:numId w:val="1004"/>
        </w:numPr>
      </w:pPr>
      <w:r>
        <w:rPr>
          <w:bCs/>
          <w:b/>
        </w:rPr>
        <w:t xml:space="preserve">Diagnostics visuels</w:t>
      </w:r>
      <w:r>
        <w:t xml:space="preserve"> </w:t>
      </w:r>
      <w:r>
        <w:t xml:space="preserve">: La création de graphiques résidus vs valeurs ajustées et Q-Q plots suit les recommandations de Zuur et al. (2009).</w:t>
      </w:r>
    </w:p>
    <w:p>
      <w:pPr>
        <w:numPr>
          <w:ilvl w:val="0"/>
          <w:numId w:val="1004"/>
        </w:numPr>
      </w:pPr>
      <w:r>
        <w:rPr>
          <w:bCs/>
          <w:b/>
        </w:rPr>
        <w:t xml:space="preserve">Prédiction robuste</w:t>
      </w:r>
      <w:r>
        <w:t xml:space="preserve"> </w:t>
      </w:r>
      <w:r>
        <w:t xml:space="preserve">: L’utilisation de</w:t>
      </w:r>
      <w:r>
        <w:t xml:space="preserve"> </w:t>
      </w:r>
      <w:r>
        <w:rPr>
          <w:rStyle w:val="VerbatimChar"/>
        </w:rPr>
        <w:t xml:space="preserve">allow.new.levels = TRUE</w:t>
      </w:r>
      <w:r>
        <w:t xml:space="preserve"> </w:t>
      </w:r>
      <w:r>
        <w:t xml:space="preserve">permet de faire des prédictions même pour des combinaisons ville/parc non vues à l’entraînement.</w:t>
      </w:r>
    </w:p>
    <w:p>
      <w:pPr>
        <w:numPr>
          <w:ilvl w:val="0"/>
          <w:numId w:val="1004"/>
        </w:numPr>
      </w:pPr>
      <w:r>
        <w:rPr>
          <w:bCs/>
          <w:b/>
        </w:rPr>
        <w:t xml:space="preserve">Sauvegarde des résultats</w:t>
      </w:r>
      <w:r>
        <w:t xml:space="preserve"> </w:t>
      </w:r>
      <w:r>
        <w:t xml:space="preserve">: L’exportation des prédictions en CSV facilite leur utilisation ultérieure.</w:t>
      </w:r>
    </w:p>
    <w:bookmarkEnd w:id="26"/>
    <w:bookmarkStart w:id="27" w:name="points-faibles"/>
    <w:p>
      <w:pPr>
        <w:pStyle w:val="Heading3"/>
      </w:pPr>
      <w:r>
        <w:t xml:space="preserve">Points Faibles</w:t>
      </w:r>
    </w:p>
    <w:p>
      <w:pPr>
        <w:numPr>
          <w:ilvl w:val="0"/>
          <w:numId w:val="1005"/>
        </w:numPr>
      </w:pPr>
      <w:r>
        <w:rPr>
          <w:bCs/>
          <w:b/>
        </w:rPr>
        <w:t xml:space="preserve">Packages redondants</w:t>
      </w:r>
      <w:r>
        <w:t xml:space="preserve"> </w:t>
      </w:r>
      <w:r>
        <w:t xml:space="preserve">: Plusieurs packages sont chargés mais non utilisés (ex: {readxl}, {forcats}, {lubridate}, {patchwork}). Cela alourdit le script sans bénéfice.</w:t>
      </w:r>
    </w:p>
    <w:p>
      <w:pPr>
        <w:numPr>
          <w:ilvl w:val="0"/>
          <w:numId w:val="1005"/>
        </w:numPr>
      </w:pPr>
      <w:r>
        <w:rPr>
          <w:bCs/>
          <w:b/>
        </w:rPr>
        <w:t xml:space="preserve">Package {itsadug} et {mgcv}</w:t>
      </w:r>
      <w:r>
        <w:t xml:space="preserve"> </w:t>
      </w:r>
      <w:r>
        <w:t xml:space="preserve">: Ces packages sont chargés mais aucun GAM n’est ajusté, suggérant une exploration abandonnée.</w:t>
      </w:r>
    </w:p>
    <w:p>
      <w:pPr>
        <w:numPr>
          <w:ilvl w:val="0"/>
          <w:numId w:val="1005"/>
        </w:numPr>
      </w:pPr>
      <w:r>
        <w:rPr>
          <w:bCs/>
          <w:b/>
        </w:rPr>
        <w:t xml:space="preserve">Absence de set.seed()</w:t>
      </w:r>
      <w:r>
        <w:t xml:space="preserve"> </w:t>
      </w:r>
      <w:r>
        <w:t xml:space="preserve">: Pour une reproductibilité parfaite des résultats, un</w:t>
      </w:r>
      <w:r>
        <w:t xml:space="preserve"> </w:t>
      </w:r>
      <w:r>
        <w:rPr>
          <w:rStyle w:val="VerbatimChar"/>
        </w:rPr>
        <w:t xml:space="preserve">set.seed()</w:t>
      </w:r>
      <w:r>
        <w:t xml:space="preserve"> </w:t>
      </w:r>
      <w:r>
        <w:t xml:space="preserve">aurait dû être inclus (bien que lmer soit déterministe, certaines fonctions de bootstrap ou de permutation ne le sont pas).</w:t>
      </w:r>
    </w:p>
    <w:bookmarkEnd w:id="27"/>
    <w:bookmarkStart w:id="28" w:name="extrait-de-code-notable"/>
    <w:p>
      <w:pPr>
        <w:pStyle w:val="Heading3"/>
      </w:pPr>
      <w:r>
        <w:t xml:space="preserve">Extrait de Code Notable</w:t>
      </w:r>
    </w:p>
    <w:p>
      <w:pPr>
        <w:pStyle w:val="SourceCode"/>
      </w:pPr>
      <w:r>
        <w:rPr>
          <w:rStyle w:val="CommentTok"/>
        </w:rPr>
        <w:t xml:space="preserve"># Excellente pratique : standardisation cohérente entre train et test</w:t>
      </w:r>
      <w:r>
        <w:br/>
      </w:r>
      <w:r>
        <w:rPr>
          <w:rStyle w:val="NormalTok"/>
        </w:rPr>
        <w:t xml:space="preserve">dataset[vars_cont] </w:t>
      </w:r>
      <w:r>
        <w:rPr>
          <w:rStyle w:val="OtherTok"/>
        </w:rPr>
        <w:t xml:space="preserve">&lt;-</w:t>
      </w:r>
      <w:r>
        <w:rPr>
          <w:rStyle w:val="NormalTok"/>
        </w:rPr>
        <w:t xml:space="preserve"> </w:t>
      </w:r>
      <w:r>
        <w:rPr>
          <w:rStyle w:val="FunctionTok"/>
        </w:rPr>
        <w:t xml:space="preserve">scale</w:t>
      </w:r>
      <w:r>
        <w:rPr>
          <w:rStyle w:val="NormalTok"/>
        </w:rPr>
        <w:t xml:space="preserve">(dataset[vars_cont],</w:t>
      </w:r>
      <w:r>
        <w:br/>
      </w:r>
      <w:r>
        <w:rPr>
          <w:rStyle w:val="NormalTok"/>
        </w:rPr>
        <w:t xml:space="preserve">                            </w:t>
      </w:r>
      <w:r>
        <w:rPr>
          <w:rStyle w:val="AttributeTok"/>
        </w:rPr>
        <w:t xml:space="preserve">center =</w:t>
      </w:r>
      <w:r>
        <w:rPr>
          <w:rStyle w:val="NormalTok"/>
        </w:rPr>
        <w:t xml:space="preserve"> scale_center,</w:t>
      </w:r>
      <w:r>
        <w:br/>
      </w:r>
      <w:r>
        <w:rPr>
          <w:rStyle w:val="NormalTok"/>
        </w:rPr>
        <w:t xml:space="preserve">                            </w:t>
      </w:r>
      <w:r>
        <w:rPr>
          <w:rStyle w:val="AttributeTok"/>
        </w:rPr>
        <w:t xml:space="preserve">scale  =</w:t>
      </w:r>
      <w:r>
        <w:rPr>
          <w:rStyle w:val="NormalTok"/>
        </w:rPr>
        <w:t xml:space="preserve"> scale_scale)</w:t>
      </w:r>
      <w:r>
        <w:br/>
      </w:r>
      <w:r>
        <w:br/>
      </w:r>
      <w:r>
        <w:rPr>
          <w:rStyle w:val="NormalTok"/>
        </w:rPr>
        <w:t xml:space="preserve">to_pred[vars_cont] </w:t>
      </w:r>
      <w:r>
        <w:rPr>
          <w:rStyle w:val="OtherTok"/>
        </w:rPr>
        <w:t xml:space="preserve">&lt;-</w:t>
      </w:r>
      <w:r>
        <w:rPr>
          <w:rStyle w:val="NormalTok"/>
        </w:rPr>
        <w:t xml:space="preserve"> </w:t>
      </w:r>
      <w:r>
        <w:rPr>
          <w:rStyle w:val="FunctionTok"/>
        </w:rPr>
        <w:t xml:space="preserve">scale</w:t>
      </w:r>
      <w:r>
        <w:rPr>
          <w:rStyle w:val="NormalTok"/>
        </w:rPr>
        <w:t xml:space="preserve">(to_pred[vars_cont],</w:t>
      </w:r>
      <w:r>
        <w:br/>
      </w:r>
      <w:r>
        <w:rPr>
          <w:rStyle w:val="NormalTok"/>
        </w:rPr>
        <w:t xml:space="preserve">                            </w:t>
      </w:r>
      <w:r>
        <w:rPr>
          <w:rStyle w:val="AttributeTok"/>
        </w:rPr>
        <w:t xml:space="preserve">center =</w:t>
      </w:r>
      <w:r>
        <w:rPr>
          <w:rStyle w:val="NormalTok"/>
        </w:rPr>
        <w:t xml:space="preserve"> scale_center,</w:t>
      </w:r>
      <w:r>
        <w:br/>
      </w:r>
      <w:r>
        <w:rPr>
          <w:rStyle w:val="NormalTok"/>
        </w:rPr>
        <w:t xml:space="preserve">                            </w:t>
      </w:r>
      <w:r>
        <w:rPr>
          <w:rStyle w:val="AttributeTok"/>
        </w:rPr>
        <w:t xml:space="preserve">scale  =</w:t>
      </w:r>
      <w:r>
        <w:rPr>
          <w:rStyle w:val="NormalTok"/>
        </w:rPr>
        <w:t xml:space="preserve"> scale_scale)</w:t>
      </w:r>
    </w:p>
    <w:p>
      <w:r>
        <w:pict>
          <v:rect style="width:0;height:1.5pt" o:hralign="center" o:hrstd="t" o:hr="t"/>
        </w:pict>
      </w:r>
    </w:p>
    <w:bookmarkEnd w:id="28"/>
    <w:bookmarkEnd w:id="29"/>
    <w:bookmarkStart w:id="30" w:name="références-citées"/>
    <w:p>
      <w:pPr>
        <w:pStyle w:val="Heading2"/>
      </w:pPr>
      <w:r>
        <w:t xml:space="preserve">5. Références Citées</w:t>
      </w:r>
    </w:p>
    <w:p>
      <w:pPr>
        <w:numPr>
          <w:ilvl w:val="0"/>
          <w:numId w:val="1006"/>
        </w:numPr>
        <w:pStyle w:val="Compact"/>
      </w:pPr>
      <w:r>
        <w:t xml:space="preserve">Burnham, K. P., &amp; Anderson, D. R. (2002).</w:t>
      </w:r>
      <w:r>
        <w:t xml:space="preserve"> </w:t>
      </w:r>
      <w:r>
        <w:rPr>
          <w:iCs/>
          <w:i/>
        </w:rPr>
        <w:t xml:space="preserve">Model Selection and Multimodel Inference</w:t>
      </w:r>
      <w:r>
        <w:t xml:space="preserve"> </w:t>
      </w:r>
      <w:r>
        <w:t xml:space="preserve">(2nd ed.). Springer.</w:t>
      </w:r>
    </w:p>
    <w:p>
      <w:pPr>
        <w:numPr>
          <w:ilvl w:val="0"/>
          <w:numId w:val="1006"/>
        </w:numPr>
        <w:pStyle w:val="Compact"/>
      </w:pPr>
      <w:r>
        <w:t xml:space="preserve">Kuhn, M., &amp; Johnson, K. (2013).</w:t>
      </w:r>
      <w:r>
        <w:t xml:space="preserve"> </w:t>
      </w:r>
      <w:r>
        <w:rPr>
          <w:iCs/>
          <w:i/>
        </w:rPr>
        <w:t xml:space="preserve">Applied Predictive Modeling</w:t>
      </w:r>
      <w:r>
        <w:t xml:space="preserve">. Springer.</w:t>
      </w:r>
    </w:p>
    <w:p>
      <w:pPr>
        <w:numPr>
          <w:ilvl w:val="0"/>
          <w:numId w:val="1006"/>
        </w:numPr>
        <w:pStyle w:val="Compact"/>
      </w:pPr>
      <w:r>
        <w:t xml:space="preserve">Legendre, P., &amp; Legendre, L. (2012).</w:t>
      </w:r>
      <w:r>
        <w:t xml:space="preserve"> </w:t>
      </w:r>
      <w:r>
        <w:rPr>
          <w:iCs/>
          <w:i/>
        </w:rPr>
        <w:t xml:space="preserve">Numerical Ecology</w:t>
      </w:r>
      <w:r>
        <w:t xml:space="preserve"> </w:t>
      </w:r>
      <w:r>
        <w:t xml:space="preserve">(3rd ed.). Elsevier.</w:t>
      </w:r>
    </w:p>
    <w:p>
      <w:pPr>
        <w:numPr>
          <w:ilvl w:val="0"/>
          <w:numId w:val="1006"/>
        </w:numPr>
        <w:pStyle w:val="Compact"/>
      </w:pPr>
      <w:r>
        <w:t xml:space="preserve">Zuur, A. F., Ieno, E. N., &amp; Elphick, C. S. (2010). A protocol for data exploration to avoid common statistical problems.</w:t>
      </w:r>
      <w:r>
        <w:t xml:space="preserve"> </w:t>
      </w:r>
      <w:r>
        <w:rPr>
          <w:iCs/>
          <w:i/>
        </w:rPr>
        <w:t xml:space="preserve">Methods in Ecology and Evolution</w:t>
      </w:r>
      <w:r>
        <w:t xml:space="preserve">, 1(1), 3-14.</w:t>
      </w:r>
    </w:p>
    <w:p>
      <w:pPr>
        <w:numPr>
          <w:ilvl w:val="0"/>
          <w:numId w:val="1006"/>
        </w:numPr>
        <w:pStyle w:val="Compact"/>
      </w:pPr>
      <w:r>
        <w:t xml:space="preserve">Zuur, A. F., Ieno, E. N., Walker, N., Saveliev, A. A., &amp; Smith, G. M. (2009).</w:t>
      </w:r>
      <w:r>
        <w:t xml:space="preserve"> </w:t>
      </w:r>
      <w:r>
        <w:rPr>
          <w:iCs/>
          <w:i/>
        </w:rPr>
        <w:t xml:space="preserve">Mixed Effects Models and Extensions in Ecology with R</w:t>
      </w:r>
      <w:r>
        <w:t xml:space="preserve">. Springer.</w:t>
      </w:r>
    </w:p>
    <w:p>
      <w:r>
        <w:pict>
          <v:rect style="width:0;height:1.5pt" o:hralign="center" o:hrstd="t" o:hr="t"/>
        </w:pict>
      </w:r>
    </w:p>
    <w:bookmarkEnd w:id="30"/>
    <w:bookmarkStart w:id="31" w:name="note-finale"/>
    <w:p>
      <w:pPr>
        <w:pStyle w:val="Heading2"/>
      </w:pPr>
      <w:r>
        <w:t xml:space="preserve">Note Finale</w:t>
      </w:r>
    </w:p>
    <w:p>
      <w:pPr>
        <w:pStyle w:val="FirstParagraph"/>
      </w:pPr>
      <w:r>
        <w:rPr>
          <w:bCs/>
          <w:b/>
        </w:rPr>
        <w:t xml:space="preserve">Note globale : 7.5/10</w:t>
      </w:r>
    </w:p>
    <w:p>
      <w:pPr>
        <w:pStyle w:val="BodyText"/>
      </w:pPr>
      <w:r>
        <w:t xml:space="preserve">Cette soumission présente un travail solide avec une excellente qualité de documentation. L’approche méthodologique est correcte mais conservatrice. L’absence de validation croisée et l’exploration limitée des alternatives méthodologiques sont les principales lacunes.</w:t>
      </w:r>
    </w:p>
    <w:p>
      <w:r>
        <w:pict>
          <v:rect style="width:0;height:1.5pt" o:hralign="center" o:hrstd="t" o:hr="t"/>
        </w:pict>
      </w:r>
    </w:p>
    <w:bookmarkEnd w:id="31"/>
    <w:bookmarkStart w:id="32" w:name="détection-ia"/>
    <w:p>
      <w:pPr>
        <w:pStyle w:val="Heading2"/>
      </w:pPr>
      <w:r>
        <w:t xml:space="preserve">Détection IA</w:t>
      </w:r>
    </w:p>
    <w:p>
      <w:pPr>
        <w:pStyle w:val="FirstParagraph"/>
      </w:pPr>
      <w:r>
        <w:rPr>
          <w:bCs/>
          <w:b/>
        </w:rPr>
        <w:t xml:space="preserve">Score : 1</w:t>
      </w:r>
    </w:p>
    <w:p>
      <w:pPr>
        <w:pStyle w:val="BodyText"/>
      </w:pPr>
      <w:r>
        <w:t xml:space="preserve">Le style de commentaires très structuré, la documentation exhaustive et le format très pédagogique suggèrent fortement l’assistance d’une IA. Les sections délimitées par des lignes de commentaires identiques (</w:t>
      </w:r>
      <w:r>
        <w:rPr>
          <w:rStyle w:val="VerbatimChar"/>
        </w:rPr>
        <w:t xml:space="preserve"># ------------------------------------------------------------</w:t>
      </w:r>
      <w:r>
        <w:t xml:space="preserve">) et le niveau de détail des explications sont caractéristiques d’une génération assistée. Toutefois, le travail d’intégration et de vérification a pu être effectué par l’équipe humaine.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2026-01-16T15:52:35Z</dcterms:created>
  <dcterms:modified xsi:type="dcterms:W3CDTF">2026-01-16T15:52:35Z</dcterms:modified>
</cp:coreProperties>
</file>

<file path=docProps/custom.xml><?xml version="1.0" encoding="utf-8"?>
<Properties xmlns="http://schemas.openxmlformats.org/officeDocument/2006/custom-properties" xmlns:vt="http://schemas.openxmlformats.org/officeDocument/2006/docPropsVTypes"/>
</file>