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Évaluation de l'équipe QRJG – Solution 5</w:t>
      </w:r>
    </w:p>
    <w:p>
      <w:pPr>
        <w:pStyle w:val="Heading2"/>
      </w:pPr>
      <w:r>
        <w:t>1. Résumé de l'évaluation</w:t>
      </w:r>
    </w:p>
    <w:p>
      <w:r>
        <w:t>Le script propose une modélisation Random Forest via tidymodels avec imputation et tuning, mais le document PDF associé ne contient pas de rapport scientifique (il reprend l'énoncé). L'absence de résultats interprétés, de diagnostics et de conclusions limite fortement la rigueur scientifique malgré une implémentation technique moderne.</w:t>
      </w:r>
    </w:p>
    <w:p>
      <w:r>
        <w:t>Synthèse des scores : Le script est techniquement solide, mais l'absence de rapport scientifique empêche d'évaluer la pertinence écologique et la validité des conclusions.</w:t>
      </w:r>
    </w:p>
    <w:p>
      <w:pPr>
        <w:pStyle w:val="Heading2"/>
      </w:pPr>
      <w:r>
        <w:t>2. Tableau des scores (Critères C1–C5)</w:t>
      </w:r>
    </w:p>
    <w:tbl>
      <w:tblPr>
        <w:tblW w:type="auto" w:w="0"/>
        <w:tblLook w:firstColumn="1" w:firstRow="1" w:lastColumn="0" w:lastRow="0" w:noHBand="0" w:noVBand="1" w:val="04A0"/>
      </w:tblPr>
      <w:tblGrid>
        <w:gridCol w:w="2880"/>
        <w:gridCol w:w="2880"/>
        <w:gridCol w:w="2880"/>
      </w:tblGrid>
      <w:tr>
        <w:tc>
          <w:tcPr>
            <w:tcW w:type="dxa" w:w="2880"/>
          </w:tcPr>
          <w:p>
            <w:r>
              <w:t>Critère</w:t>
            </w:r>
          </w:p>
        </w:tc>
        <w:tc>
          <w:tcPr>
            <w:tcW w:type="dxa" w:w="2880"/>
          </w:tcPr>
          <w:p>
            <w:r>
              <w:t>Score (1-5)</w:t>
            </w:r>
          </w:p>
        </w:tc>
        <w:tc>
          <w:tcPr>
            <w:tcW w:type="dxa" w:w="2880"/>
          </w:tcPr>
          <w:p>
            <w:r>
              <w:t>Justification</w:t>
            </w:r>
          </w:p>
        </w:tc>
      </w:tr>
      <w:tr>
        <w:tc>
          <w:tcPr>
            <w:tcW w:type="dxa" w:w="2880"/>
          </w:tcPr>
          <w:p>
            <w:r>
              <w:t>C1</w:t>
            </w:r>
          </w:p>
        </w:tc>
        <w:tc>
          <w:tcPr>
            <w:tcW w:type="dxa" w:w="2880"/>
          </w:tcPr>
          <w:p>
            <w:r>
              <w:t>3</w:t>
            </w:r>
          </w:p>
        </w:tc>
        <w:tc>
          <w:tcPr>
            <w:tcW w:type="dxa" w:w="2880"/>
          </w:tcPr>
          <w:p>
            <w:r>
              <w:t>Choix méthodologique pertinent mais sans justification écologique.</w:t>
            </w:r>
          </w:p>
        </w:tc>
      </w:tr>
      <w:tr>
        <w:tc>
          <w:tcPr>
            <w:tcW w:type="dxa" w:w="2880"/>
          </w:tcPr>
          <w:p>
            <w:r>
              <w:t>C2</w:t>
            </w:r>
          </w:p>
        </w:tc>
        <w:tc>
          <w:tcPr>
            <w:tcW w:type="dxa" w:w="2880"/>
          </w:tcPr>
          <w:p>
            <w:r>
              <w:t>4</w:t>
            </w:r>
          </w:p>
        </w:tc>
        <w:tc>
          <w:tcPr>
            <w:tcW w:type="dxa" w:w="2880"/>
          </w:tcPr>
          <w:p>
            <w:r>
              <w:t>Pipeline reproductible avec imputation et workflow tidymodels.</w:t>
            </w:r>
          </w:p>
        </w:tc>
      </w:tr>
      <w:tr>
        <w:tc>
          <w:tcPr>
            <w:tcW w:type="dxa" w:w="2880"/>
          </w:tcPr>
          <w:p>
            <w:r>
              <w:t>C3</w:t>
            </w:r>
          </w:p>
        </w:tc>
        <w:tc>
          <w:tcPr>
            <w:tcW w:type="dxa" w:w="2880"/>
          </w:tcPr>
          <w:p>
            <w:r>
              <w:t>1</w:t>
            </w:r>
          </w:p>
        </w:tc>
        <w:tc>
          <w:tcPr>
            <w:tcW w:type="dxa" w:w="2880"/>
          </w:tcPr>
          <w:p>
            <w:r>
              <w:t>Aucune discussion des limitations ou incertitudes.</w:t>
            </w:r>
          </w:p>
        </w:tc>
      </w:tr>
      <w:tr>
        <w:tc>
          <w:tcPr>
            <w:tcW w:type="dxa" w:w="2880"/>
          </w:tcPr>
          <w:p>
            <w:r>
              <w:t>C4</w:t>
            </w:r>
          </w:p>
        </w:tc>
        <w:tc>
          <w:tcPr>
            <w:tcW w:type="dxa" w:w="2880"/>
          </w:tcPr>
          <w:p>
            <w:r>
              <w:t>2</w:t>
            </w:r>
          </w:p>
        </w:tc>
        <w:tc>
          <w:tcPr>
            <w:tcW w:type="dxa" w:w="2880"/>
          </w:tcPr>
          <w:p>
            <w:r>
              <w:t>Conclusions absentes; seuls des outputs bruts sont produits.</w:t>
            </w:r>
          </w:p>
        </w:tc>
      </w:tr>
      <w:tr>
        <w:tc>
          <w:tcPr>
            <w:tcW w:type="dxa" w:w="2880"/>
          </w:tcPr>
          <w:p>
            <w:r>
              <w:t>C5</w:t>
            </w:r>
          </w:p>
        </w:tc>
        <w:tc>
          <w:tcPr>
            <w:tcW w:type="dxa" w:w="2880"/>
          </w:tcPr>
          <w:p>
            <w:r>
              <w:t>4</w:t>
            </w:r>
          </w:p>
        </w:tc>
        <w:tc>
          <w:tcPr>
            <w:tcW w:type="dxa" w:w="2880"/>
          </w:tcPr>
          <w:p>
            <w:r>
              <w:t>Usage de techniques ML modernes et tuning.</w:t>
            </w:r>
          </w:p>
        </w:tc>
      </w:tr>
    </w:tbl>
    <w:p>
      <w:r>
        <w:t>Note finale (1-10) : 5</w:t>
      </w:r>
    </w:p>
    <w:p>
      <w:r>
        <w:t>Indice IA (1 = IA, 0 = humain) : 1 – Le script est très générique et suit un gabarit typique de génération automatique.</w:t>
      </w:r>
    </w:p>
    <w:p>
      <w:pPr>
        <w:pStyle w:val="Heading2"/>
      </w:pPr>
      <w:r>
        <w:t>3. Commentaires sur la rigueur scientifique</w:t>
      </w:r>
    </w:p>
    <w:p>
      <w:pPr>
        <w:pStyle w:val="ListBullet"/>
      </w:pPr>
      <w:r>
        <w:t>La random forest ignore la structure hiérarchique ville/parc; une validation groupée serait préférable (Roberts et al., 2017).</w:t>
      </w:r>
    </w:p>
    <w:p>
      <w:pPr>
        <w:pStyle w:val="ListBullet"/>
      </w:pPr>
      <w:r>
        <w:t>L'absence d'interprétation et de diagnostics empêche de vérifier la cohérence écologique des prédicteurs (Legendre &amp; Legendre, 2012).</w:t>
      </w:r>
    </w:p>
    <w:p>
      <w:pPr>
        <w:pStyle w:val="ListBullet"/>
      </w:pPr>
      <w:r>
        <w:t>Sans rapport, il est impossible de relier les résultats aux hypothèses biologiques de départ.</w:t>
      </w:r>
    </w:p>
    <w:p>
      <w:pPr>
        <w:pStyle w:val="Heading2"/>
      </w:pPr>
      <w:r>
        <w:t>4. Analyse technique du code R (points forts/faiblesses)</w:t>
      </w:r>
    </w:p>
    <w:p>
      <w:r>
        <w:t>Points forts :</w:t>
      </w:r>
    </w:p>
    <w:p>
      <w:pPr>
        <w:pStyle w:val="ListBullet"/>
      </w:pPr>
      <w:r>
        <w:t>Utilisation d'un workflow tidymodels avec imputation des NA et indicateurs de manquance.</w:t>
      </w:r>
    </w:p>
    <w:p>
      <w:pPr>
        <w:pStyle w:val="ListBullet"/>
      </w:pPr>
      <w:r>
        <w:t>Tuning par validation croisée et extraction de l'importance des variables.</w:t>
      </w:r>
    </w:p>
    <w:p>
      <w:r>
        <w:t>Points faibles :</w:t>
      </w:r>
    </w:p>
    <w:p>
      <w:pPr>
        <w:pStyle w:val="ListBullet"/>
      </w:pPr>
      <w:r>
        <w:t>Absence de validation groupée par ville/parc; risque de fuite d'information.</w:t>
      </w:r>
    </w:p>
    <w:p>
      <w:pPr>
        <w:pStyle w:val="ListBullet"/>
      </w:pPr>
      <w:r>
        <w:t>Le script ne produit pas de synthèse interprétable ni de diagnostic des résidus/erreurs.</w:t>
      </w:r>
    </w:p>
    <w:p>
      <w:pPr>
        <w:pStyle w:val="Heading2"/>
      </w:pPr>
      <w:r>
        <w:t>5. Références citées</w:t>
      </w:r>
    </w:p>
    <w:p>
      <w:pPr>
        <w:pStyle w:val="ListBullet"/>
      </w:pPr>
      <w:r>
        <w:t>Breiman, L. (2001). Random Forests. Machine Learning, 45, 5–32.</w:t>
      </w:r>
    </w:p>
    <w:p>
      <w:pPr>
        <w:pStyle w:val="ListBullet"/>
      </w:pPr>
      <w:r>
        <w:t>Kuhn, M., &amp; Johnson, K. (2013). Applied Predictive Modeling. Springer.</w:t>
      </w:r>
    </w:p>
    <w:p>
      <w:pPr>
        <w:pStyle w:val="ListBullet"/>
      </w:pPr>
      <w:r>
        <w:t>Roberts, D. R., et al. (2017). Cross-validation strategies for data with temporal, spatial, hierarchical, or phylogenetic structure. Ecography, 40, 913–929.</w:t>
      </w:r>
    </w:p>
    <w:p>
      <w:pPr>
        <w:pStyle w:val="ListBullet"/>
      </w:pPr>
      <w:r>
        <w:t>Legendre, P., &amp; Legendre, L. (2012). Numerical Ecology (3rd ed.). Elsevier.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