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Évaluation - Équipe QRJG (Solution 4)</w:t>
      </w:r>
    </w:p>
    <w:p>
      <w:pPr>
        <w:pStyle w:val="Heading2"/>
      </w:pPr>
      <w:r>
        <w:t>1. Résumé de l'évaluation</w:t>
      </w:r>
    </w:p>
    <w:p>
      <w:r>
        <w:t>La solution 4 applique un Mixed Effects Random Forest (MERF) pour intégrer des effets hiérarchiques et fournir des prédictions. Le script est détaillé, mais il supprime les NA sans analyse de biais, et la validation repose sur un simple split train/test sans blocage spatial, ce qui peut surestimer la performance.</w:t>
      </w:r>
    </w:p>
    <w:p>
      <w:pPr>
        <w:pStyle w:val="Heading2"/>
      </w:pPr>
      <w:r>
        <w:t>2. Tableau de score (Critere_evaluation.txt)</w:t>
      </w:r>
    </w:p>
    <w:tbl>
      <w:tblPr>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Score (1-5)</w:t>
            </w:r>
          </w:p>
        </w:tc>
        <w:tc>
          <w:tcPr>
            <w:tcW w:type="dxa" w:w="2880"/>
          </w:tcPr>
          <w:p>
            <w:r>
              <w:t>Justification</w:t>
            </w:r>
          </w:p>
        </w:tc>
      </w:tr>
      <w:tr>
        <w:tc>
          <w:tcPr>
            <w:tcW w:type="dxa" w:w="2880"/>
          </w:tcPr>
          <w:p>
            <w:r>
              <w:t>C1</w:t>
            </w:r>
          </w:p>
        </w:tc>
        <w:tc>
          <w:tcPr>
            <w:tcW w:type="dxa" w:w="2880"/>
          </w:tcPr>
          <w:p>
            <w:r>
              <w:t>3</w:t>
            </w:r>
          </w:p>
        </w:tc>
        <w:tc>
          <w:tcPr>
            <w:tcW w:type="dxa" w:w="2880"/>
          </w:tcPr>
          <w:p>
            <w:r>
              <w:t>Approche MERF pertinente, mais validation et gestion des NA restent limitées.</w:t>
            </w:r>
          </w:p>
        </w:tc>
      </w:tr>
      <w:tr>
        <w:tc>
          <w:tcPr>
            <w:tcW w:type="dxa" w:w="2880"/>
          </w:tcPr>
          <w:p>
            <w:r>
              <w:t>C2</w:t>
            </w:r>
          </w:p>
        </w:tc>
        <w:tc>
          <w:tcPr>
            <w:tcW w:type="dxa" w:w="2880"/>
          </w:tcPr>
          <w:p>
            <w:r>
              <w:t>3</w:t>
            </w:r>
          </w:p>
        </w:tc>
        <w:tc>
          <w:tcPr>
            <w:tcW w:type="dxa" w:w="2880"/>
          </w:tcPr>
          <w:p>
            <w:r>
              <w:t>Script fourni et assez clair, mais dépend de chemins implicites et d’un grand nombre de packages.</w:t>
            </w:r>
          </w:p>
        </w:tc>
      </w:tr>
      <w:tr>
        <w:tc>
          <w:tcPr>
            <w:tcW w:type="dxa" w:w="2880"/>
          </w:tcPr>
          <w:p>
            <w:r>
              <w:t>C3</w:t>
            </w:r>
          </w:p>
        </w:tc>
        <w:tc>
          <w:tcPr>
            <w:tcW w:type="dxa" w:w="2880"/>
          </w:tcPr>
          <w:p>
            <w:r>
              <w:t>2</w:t>
            </w:r>
          </w:p>
        </w:tc>
        <w:tc>
          <w:tcPr>
            <w:tcW w:type="dxa" w:w="2880"/>
          </w:tcPr>
          <w:p>
            <w:r>
              <w:t>Peu de discussion sur l’incertitude et le risque de surapprentissage.</w:t>
            </w:r>
          </w:p>
        </w:tc>
      </w:tr>
      <w:tr>
        <w:tc>
          <w:tcPr>
            <w:tcW w:type="dxa" w:w="2880"/>
          </w:tcPr>
          <w:p>
            <w:r>
              <w:t>C4</w:t>
            </w:r>
          </w:p>
        </w:tc>
        <w:tc>
          <w:tcPr>
            <w:tcW w:type="dxa" w:w="2880"/>
          </w:tcPr>
          <w:p>
            <w:r>
              <w:t>3</w:t>
            </w:r>
          </w:p>
        </w:tc>
        <w:tc>
          <w:tcPr>
            <w:tcW w:type="dxa" w:w="2880"/>
          </w:tcPr>
          <w:p>
            <w:r>
              <w:t>Interprétations globalement cohérentes, mais le R² observé/prédit n’est pas clairement indépendant.</w:t>
            </w:r>
          </w:p>
        </w:tc>
      </w:tr>
      <w:tr>
        <w:tc>
          <w:tcPr>
            <w:tcW w:type="dxa" w:w="2880"/>
          </w:tcPr>
          <w:p>
            <w:r>
              <w:t>C5</w:t>
            </w:r>
          </w:p>
        </w:tc>
        <w:tc>
          <w:tcPr>
            <w:tcW w:type="dxa" w:w="2880"/>
          </w:tcPr>
          <w:p>
            <w:r>
              <w:t>4</w:t>
            </w:r>
          </w:p>
        </w:tc>
        <w:tc>
          <w:tcPr>
            <w:tcW w:type="dxa" w:w="2880"/>
          </w:tcPr>
          <w:p>
            <w:r>
              <w:t>MERF et importance des variables représentent des pratiques modernes pour données hiérarchiques.</w:t>
            </w:r>
          </w:p>
        </w:tc>
      </w:tr>
    </w:tbl>
    <w:p>
      <w:r>
        <w:t>Résumé des scores: Les scores reflètent une bonne ambition méthodologique, mais un protocole de validation perfectible.</w:t>
      </w:r>
    </w:p>
    <w:p>
      <w:r>
        <w:t>Note finale (1-10): 6/10</w:t>
      </w:r>
    </w:p>
    <w:p>
      <w:pPr>
        <w:pStyle w:val="Heading2"/>
      </w:pPr>
      <w:r>
        <w:t>3. Commentaires détaillés sur la rigueur scientifique</w:t>
      </w:r>
    </w:p>
    <w:p>
      <w:pPr>
        <w:pStyle w:val="ListBullet"/>
      </w:pPr>
      <w:r>
        <w:t>La prise en compte d’effets aléatoires via MERF est adaptée à la structure ville/parc.</w:t>
      </w:r>
    </w:p>
    <w:p>
      <w:pPr>
        <w:pStyle w:val="ListBullet"/>
      </w:pPr>
      <w:r>
        <w:t>La performance est évaluée sur un split simple; un blocage par ville/parc serait plus rigoureux.</w:t>
      </w:r>
    </w:p>
    <w:p>
      <w:pPr>
        <w:pStyle w:val="ListBullet"/>
      </w:pPr>
      <w:r>
        <w:t>La corrélation observé/prédit est probablement calculée sur l’entraînement, ce qui surestime le R².</w:t>
      </w:r>
    </w:p>
    <w:p>
      <w:pPr>
        <w:pStyle w:val="Heading2"/>
      </w:pPr>
      <w:r>
        <w:t>4. Analyse technique du code R</w:t>
      </w:r>
    </w:p>
    <w:p>
      <w:pPr>
        <w:pStyle w:val="ListBullet"/>
      </w:pPr>
      <w:r>
        <w:t>Les données sont lues depuis des chemins implicites (dataset.csv), ce qui réduit la portabilité.</w:t>
      </w:r>
    </w:p>
    <w:p>
      <w:pPr>
        <w:pStyle w:val="ListBullet"/>
      </w:pPr>
      <w:r>
        <w:t>La suppression des NA par drop_na peut introduire un biais si les valeurs manquantes ne sont pas aléatoires.</w:t>
      </w:r>
    </w:p>
    <w:p>
      <w:pPr>
        <w:pStyle w:val="ListBullet"/>
      </w:pPr>
      <w:r>
        <w:t>La prédiction pour nouveaux parcs fixe les effets aléatoires à zéro, ce qui devrait être explicité.</w:t>
      </w:r>
    </w:p>
    <w:p>
      <w:pPr>
        <w:pStyle w:val="Heading2"/>
      </w:pPr>
      <w:r>
        <w:t>5. Références citées</w:t>
      </w:r>
    </w:p>
    <w:p>
      <w:pPr>
        <w:pStyle w:val="ListBullet"/>
      </w:pPr>
      <w:r>
        <w:t>Hajjem, A., Bellavance, F., &amp; Larocque, D. (2011). Mixed effects random forest for clustered data.</w:t>
      </w:r>
    </w:p>
    <w:p>
      <w:pPr>
        <w:pStyle w:val="ListBullet"/>
      </w:pPr>
      <w:r>
        <w:t>Breiman, L. (2001). Random Forests.</w:t>
      </w:r>
    </w:p>
    <w:p>
      <w:pPr>
        <w:pStyle w:val="ListBullet"/>
      </w:pPr>
      <w:r>
        <w:t>Legendre, P., &amp; Legendre, L. (2012). Numerical Ecology.</w:t>
      </w:r>
    </w:p>
    <w:p>
      <w:pPr>
        <w:pStyle w:val="Heading2"/>
      </w:pPr>
      <w:r>
        <w:t>6. Indicateur IA/Humain</w:t>
      </w:r>
    </w:p>
    <w:p>
      <w:r>
        <w:t>0 — Le rapport et le script semblent issus d’un travail humain avec choix méthodologiques propres.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