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Évaluation de l'équipe QRJG – Solution 4</w:t>
      </w:r>
    </w:p>
    <w:p>
      <w:pPr>
        <w:pStyle w:val="Heading2"/>
      </w:pPr>
      <w:r>
        <w:t>1. Résumé de l'évaluation</w:t>
      </w:r>
    </w:p>
    <w:p>
      <w:r>
        <w:t>La solution mobilise un modèle MERF (Mixed Effects Random Forest) pour intégrer la structure hiérarchique ville/parc et produire des prédictions. L'approche est avancée mais la description méthodologique reste succincte, et les indicateurs de performance rapportés dans le texte ne correspondent pas exactement au code (R² d'entraînement vs validation).</w:t>
      </w:r>
    </w:p>
    <w:p>
      <w:r>
        <w:t>Synthèse des scores : Les scores reflètent l'intérêt de la méthode MERF, contrebalancé par un manque de validation rigoureuse et d'analyse critique des incertitudes.</w:t>
      </w:r>
    </w:p>
    <w:p>
      <w:pPr>
        <w:pStyle w:val="Heading2"/>
      </w:pPr>
      <w:r>
        <w:t>2. Tableau des scores (Critères C1–C5)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Critère</w:t>
            </w:r>
          </w:p>
        </w:tc>
        <w:tc>
          <w:tcPr>
            <w:tcW w:type="dxa" w:w="2880"/>
          </w:tcPr>
          <w:p>
            <w:r>
              <w:t>Score (1-5)</w:t>
            </w:r>
          </w:p>
        </w:tc>
        <w:tc>
          <w:tcPr>
            <w:tcW w:type="dxa" w:w="2880"/>
          </w:tcPr>
          <w:p>
            <w:r>
              <w:t>Justification</w:t>
            </w:r>
          </w:p>
        </w:tc>
      </w:tr>
      <w:tr>
        <w:tc>
          <w:tcPr>
            <w:tcW w:type="dxa" w:w="2880"/>
          </w:tcPr>
          <w:p>
            <w:r>
              <w:t>C1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Méthode sophistiquée mais justification et diagnostics insuffisants.</w:t>
            </w:r>
          </w:p>
        </w:tc>
      </w:tr>
      <w:tr>
        <w:tc>
          <w:tcPr>
            <w:tcW w:type="dxa" w:w="2880"/>
          </w:tcPr>
          <w:p>
            <w:r>
              <w:t>C2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Script opérationnel, mais dépendances spécialisées et absence de documentation des paramètres.</w:t>
            </w:r>
          </w:p>
        </w:tc>
      </w:tr>
      <w:tr>
        <w:tc>
          <w:tcPr>
            <w:tcW w:type="dxa" w:w="2880"/>
          </w:tcPr>
          <w:p>
            <w:r>
              <w:t>C3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Limites non discutées; surévaluation possible des performances.</w:t>
            </w:r>
          </w:p>
        </w:tc>
      </w:tr>
      <w:tr>
        <w:tc>
          <w:tcPr>
            <w:tcW w:type="dxa" w:w="2880"/>
          </w:tcPr>
          <w:p>
            <w:r>
              <w:t>C4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Conclusions cohérentes mais appui empirique limité.</w:t>
            </w:r>
          </w:p>
        </w:tc>
      </w:tr>
      <w:tr>
        <w:tc>
          <w:tcPr>
            <w:tcW w:type="dxa" w:w="2880"/>
          </w:tcPr>
          <w:p>
            <w:r>
              <w:t>C5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Utilisation d'un MERF moderne adaptée aux données hiérarchiques.</w:t>
            </w:r>
          </w:p>
        </w:tc>
      </w:tr>
    </w:tbl>
    <w:p>
      <w:r>
        <w:t>Note finale (1-10) : 6</w:t>
      </w:r>
    </w:p>
    <w:p>
      <w:r>
        <w:t>Indice IA (1 = IA, 0 = humain) : 0 – Rapport court et factuel, cohérent avec une synthèse humaine sans marqueurs forts d'IA.</w:t>
      </w:r>
    </w:p>
    <w:p>
      <w:pPr>
        <w:pStyle w:val="Heading2"/>
      </w:pPr>
      <w:r>
        <w:t>3. Commentaires sur la rigueur scientifique</w:t>
      </w:r>
    </w:p>
    <w:p>
      <w:pPr>
        <w:pStyle w:val="ListBullet"/>
      </w:pPr>
      <w:r>
        <w:t>Le MERF est pertinent pour des données hiérarchiques, mais il nécessite une validation rigoureuse et des diagnostics d'erreur hors échantillon (Hajjem et al., 2014).</w:t>
      </w:r>
    </w:p>
    <w:p>
      <w:pPr>
        <w:pStyle w:val="ListBullet"/>
      </w:pPr>
      <w:r>
        <w:t>Le R² calculé sur les données d'entraînement (observé vs prédit) est optimiste et ne doit pas être interprété comme performance prédictive (Hastie et al., 2009).</w:t>
      </w:r>
    </w:p>
    <w:p>
      <w:pPr>
        <w:pStyle w:val="ListBullet"/>
      </w:pPr>
      <w:r>
        <w:t>La suppression des NA sans justification peut biaiser les résultats (Legendre &amp; Legendre, 2012).</w:t>
      </w:r>
    </w:p>
    <w:p>
      <w:pPr>
        <w:pStyle w:val="Heading2"/>
      </w:pPr>
      <w:r>
        <w:t>4. Analyse technique du code R (points forts/faiblesses)</w:t>
      </w:r>
    </w:p>
    <w:p>
      <w:r>
        <w:t>Points forts :</w:t>
      </w:r>
    </w:p>
    <w:p>
      <w:pPr>
        <w:pStyle w:val="ListBullet"/>
      </w:pPr>
      <w:r>
        <w:t>Implémentation claire d'un MERF avec séparation train/test et calcul d'un RMSE.</w:t>
      </w:r>
    </w:p>
    <w:p>
      <w:pPr>
        <w:pStyle w:val="ListBullet"/>
      </w:pPr>
      <w:r>
        <w:t>Prédiction explicite pour les 10 individus manquants.</w:t>
      </w:r>
    </w:p>
    <w:p>
      <w:r>
        <w:t>Points faibles :</w:t>
      </w:r>
    </w:p>
    <w:p>
      <w:pPr>
        <w:pStyle w:val="ListBullet"/>
      </w:pPr>
      <w:r>
        <w:t>Incohérence entre le texte (validation croisée) et le code (split unique).</w:t>
      </w:r>
    </w:p>
    <w:p>
      <w:pPr>
        <w:pStyle w:val="ListBullet"/>
      </w:pPr>
      <w:r>
        <w:t>R² rapporté sur l'entraînement plutôt que sur un jeu indépendant.</w:t>
      </w:r>
    </w:p>
    <w:p>
      <w:pPr>
        <w:pStyle w:val="ListBullet"/>
      </w:pPr>
      <w:r>
        <w:t>Paramètres MERF (mtry, ntree, iter) non justifiés et absence d'analyse de sensibilité.</w:t>
      </w:r>
    </w:p>
    <w:p>
      <w:pPr>
        <w:pStyle w:val="Heading2"/>
      </w:pPr>
      <w:r>
        <w:t>5. Références citées</w:t>
      </w:r>
    </w:p>
    <w:p>
      <w:pPr>
        <w:pStyle w:val="ListBullet"/>
      </w:pPr>
      <w:r>
        <w:t>Hajjem, A., Bellavance, F., &amp; Larocque, D. (2014). Mixed-effects random forest for clustered data. Journal of Statistical Computation and Simulation, 84, 1313–1328.</w:t>
      </w:r>
    </w:p>
    <w:p>
      <w:pPr>
        <w:pStyle w:val="ListBullet"/>
      </w:pPr>
      <w:r>
        <w:t>Breiman, L. (2001). Random Forests. Machine Learning, 45, 5–32.</w:t>
      </w:r>
    </w:p>
    <w:p>
      <w:pPr>
        <w:pStyle w:val="ListBullet"/>
      </w:pPr>
      <w:r>
        <w:t>Hastie, T., Tibshirani, R., &amp; Friedman, J. (2009). The Elements of Statistical Learning (2nd ed.). Springer.</w:t>
      </w:r>
    </w:p>
    <w:p>
      <w:pPr>
        <w:pStyle w:val="ListBullet"/>
      </w:pPr>
      <w:r>
        <w:t>Legendre, P., &amp; Legendre, L. (2012). Numerical Ecology (3rd ed.). Elsevier.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