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rapport-dévaluation---équipe-05s0"/>
    <w:p>
      <w:pPr>
        <w:pStyle w:val="Heading1"/>
      </w:pPr>
      <w:r>
        <w:t xml:space="preserve">Rapport d’Évaluation - Équipe 05S0</w:t>
      </w:r>
    </w:p>
    <w:bookmarkStart w:id="20" w:name="résumé-de-lévaluation"/>
    <w:p>
      <w:pPr>
        <w:pStyle w:val="Heading2"/>
      </w:pPr>
      <w:r>
        <w:t xml:space="preserve">1. Résumé de l’Évaluation</w:t>
      </w:r>
    </w:p>
    <w:p>
      <w:pPr>
        <w:pStyle w:val="FirstParagraph"/>
      </w:pPr>
      <w:r>
        <w:t xml:space="preserve">L’équipe 05S0 a soumis un rapport d’analyse portant sur la santé des oiseaux urbains (index de santé des Charles-Martin Pêcheurs). L’approche méthodologique repose sur l’algorithme de sélection de caractéristiques Boruta suivi d’un modèle Random Forest pour la prédiction.</w:t>
      </w:r>
    </w:p>
    <w:p>
      <w:pPr>
        <w:pStyle w:val="BodyText"/>
      </w:pPr>
      <w:r>
        <w:rPr>
          <w:bCs/>
          <w:b/>
        </w:rPr>
        <w:t xml:space="preserve">Point critique majeur</w:t>
      </w:r>
      <w:r>
        <w:t xml:space="preserve"> </w:t>
      </w:r>
      <w:r>
        <w:t xml:space="preserve">: Aucun script R n’a été fourni avec la soumission, ce qui rend impossible la vérification technique et la reproductibilité de l’analyse.</w:t>
      </w:r>
    </w:p>
    <w:p>
      <w:r>
        <w:pict>
          <v:rect style="width:0;height:1.5pt" o:hralign="center" o:hrstd="t" o:hr="t"/>
        </w:pict>
      </w:r>
    </w:p>
    <w:bookmarkEnd w:id="20"/>
    <w:bookmarkStart w:id="21" w:name="tableau-des-scores-critères-c1-c5"/>
    <w:p>
      <w:pPr>
        <w:pStyle w:val="Heading2"/>
      </w:pPr>
      <w:r>
        <w:t xml:space="preserve">2. Tableau des Scores (Critères C1-C5)</w:t>
      </w:r>
    </w:p>
    <w:tbl>
      <w:tblPr>
        <w:tblStyle w:val="Table"/>
        <w:tblW w:type="pct" w:w="5000"/>
        <w:tblLook w:firstRow="1" w:lastRow="0" w:firstColumn="0" w:lastColumn="0" w:noHBand="0" w:noVBand="0" w:val="0020"/>
        <w:jc w:val="start"/>
      </w:tblPr>
      <w:tblGrid>
        <w:gridCol w:w="2457"/>
        <w:gridCol w:w="1911"/>
        <w:gridCol w:w="3550"/>
      </w:tblGrid>
      <w:tr>
        <w:trPr>
          <w:tblHeader w:val="true"/>
        </w:trPr>
        <w:tc>
          <w:tcPr/>
          <w:p>
            <w:pPr>
              <w:pStyle w:val="Compact"/>
              <w:jc w:val="left"/>
            </w:pPr>
            <w:r>
              <w:t xml:space="preserve">Critère</w:t>
            </w:r>
          </w:p>
        </w:tc>
        <w:tc>
          <w:tcPr/>
          <w:p>
            <w:pPr>
              <w:pStyle w:val="Compact"/>
              <w:jc w:val="left"/>
            </w:pPr>
            <w:r>
              <w:t xml:space="preserve">Score</w:t>
            </w:r>
          </w:p>
        </w:tc>
        <w:tc>
          <w:tcPr/>
          <w:p>
            <w:pPr>
              <w:pStyle w:val="Compact"/>
              <w:jc w:val="left"/>
            </w:pPr>
            <w:r>
              <w:t xml:space="preserve">Description</w:t>
            </w:r>
          </w:p>
        </w:tc>
      </w:tr>
      <w:tr>
        <w:tc>
          <w:tcPr/>
          <w:p>
            <w:pPr>
              <w:pStyle w:val="Compact"/>
              <w:jc w:val="left"/>
            </w:pPr>
            <w:r>
              <w:rPr>
                <w:bCs/>
                <w:b/>
              </w:rPr>
              <w:t xml:space="preserve">C1</w:t>
            </w:r>
            <w:r>
              <w:t xml:space="preserve"> </w:t>
            </w:r>
            <w:r>
              <w:t xml:space="preserve">- Analyse techniquement correcte et choix justifiés</w:t>
            </w:r>
          </w:p>
        </w:tc>
        <w:tc>
          <w:tcPr/>
          <w:p>
            <w:pPr>
              <w:pStyle w:val="Compact"/>
              <w:jc w:val="left"/>
            </w:pPr>
            <w:r>
              <w:t xml:space="preserve">2</w:t>
            </w:r>
          </w:p>
        </w:tc>
        <w:tc>
          <w:tcPr/>
          <w:p>
            <w:pPr>
              <w:pStyle w:val="Compact"/>
              <w:jc w:val="left"/>
            </w:pPr>
            <w:r>
              <w:t xml:space="preserve">L’approche Boruta + Random Forest est pertinente, mais l’absence de script empêche la validation technique. Le pseudo-R² de 0.281 est faible et soulève des questions sur la qualité du modèle.</w:t>
            </w:r>
          </w:p>
        </w:tc>
      </w:tr>
      <w:tr>
        <w:tc>
          <w:tcPr/>
          <w:p>
            <w:pPr>
              <w:pStyle w:val="Compact"/>
              <w:jc w:val="left"/>
            </w:pPr>
            <w:r>
              <w:rPr>
                <w:bCs/>
                <w:b/>
              </w:rPr>
              <w:t xml:space="preserve">C2</w:t>
            </w:r>
            <w:r>
              <w:t xml:space="preserve"> </w:t>
            </w:r>
            <w:r>
              <w:t xml:space="preserve">- Code reproductible et lisible</w:t>
            </w:r>
          </w:p>
        </w:tc>
        <w:tc>
          <w:tcPr/>
          <w:p>
            <w:pPr>
              <w:pStyle w:val="Compact"/>
              <w:jc w:val="left"/>
            </w:pPr>
            <w:r>
              <w:t xml:space="preserve">1</w:t>
            </w:r>
          </w:p>
        </w:tc>
        <w:tc>
          <w:tcPr/>
          <w:p>
            <w:pPr>
              <w:pStyle w:val="Compact"/>
              <w:jc w:val="left"/>
            </w:pPr>
            <w:r>
              <w:rPr>
                <w:bCs/>
                <w:b/>
              </w:rPr>
              <w:t xml:space="preserve">Aucun script R n’a été soumis.</w:t>
            </w:r>
            <w:r>
              <w:t xml:space="preserve"> </w:t>
            </w:r>
            <w:r>
              <w:t xml:space="preserve">Il est impossible de reproduire les analyses.</w:t>
            </w:r>
          </w:p>
        </w:tc>
      </w:tr>
      <w:tr>
        <w:tc>
          <w:tcPr/>
          <w:p>
            <w:pPr>
              <w:pStyle w:val="Compact"/>
              <w:jc w:val="left"/>
            </w:pPr>
            <w:r>
              <w:rPr>
                <w:bCs/>
                <w:b/>
              </w:rPr>
              <w:t xml:space="preserve">C3</w:t>
            </w:r>
            <w:r>
              <w:t xml:space="preserve"> </w:t>
            </w:r>
            <w:r>
              <w:t xml:space="preserve">- Transparence sur les incertitudes et limitations</w:t>
            </w:r>
          </w:p>
        </w:tc>
        <w:tc>
          <w:tcPr/>
          <w:p>
            <w:pPr>
              <w:pStyle w:val="Compact"/>
              <w:jc w:val="left"/>
            </w:pPr>
            <w:r>
              <w:t xml:space="preserve">2</w:t>
            </w:r>
          </w:p>
        </w:tc>
        <w:tc>
          <w:tcPr/>
          <w:p>
            <w:pPr>
              <w:pStyle w:val="Compact"/>
              <w:jc w:val="left"/>
            </w:pPr>
            <w:r>
              <w:t xml:space="preserve">Les limitations du modèle ne sont pas discutées. Aucune mention de l’autocorrélation spatiale, des valeurs manquantes, ni de la validation croisée utilisée (quels paramètres? quelle proportion train/test?).</w:t>
            </w:r>
          </w:p>
        </w:tc>
      </w:tr>
      <w:tr>
        <w:tc>
          <w:tcPr/>
          <w:p>
            <w:pPr>
              <w:pStyle w:val="Compact"/>
              <w:jc w:val="left"/>
            </w:pPr>
            <w:r>
              <w:rPr>
                <w:bCs/>
                <w:b/>
              </w:rPr>
              <w:t xml:space="preserve">C4</w:t>
            </w:r>
            <w:r>
              <w:t xml:space="preserve"> </w:t>
            </w:r>
            <w:r>
              <w:t xml:space="preserve">- Interprétations et conclusions claires et supportées</w:t>
            </w:r>
          </w:p>
        </w:tc>
        <w:tc>
          <w:tcPr/>
          <w:p>
            <w:pPr>
              <w:pStyle w:val="Compact"/>
              <w:jc w:val="left"/>
            </w:pPr>
            <w:r>
              <w:t xml:space="preserve">3</w:t>
            </w:r>
          </w:p>
        </w:tc>
        <w:tc>
          <w:tcPr/>
          <w:p>
            <w:pPr>
              <w:pStyle w:val="Compact"/>
              <w:jc w:val="left"/>
            </w:pPr>
            <w:r>
              <w:t xml:space="preserve">Les résultats sont présentés clairement sous forme de tableau. Toutefois, la conclusion</w:t>
            </w:r>
            <w:r>
              <w:t xml:space="preserve"> </w:t>
            </w:r>
            <w:r>
              <w:t xml:space="preserve">“</w:t>
            </w:r>
            <w:r>
              <w:t xml:space="preserve">tous les oiseaux sont en santé</w:t>
            </w:r>
            <w:r>
              <w:t xml:space="preserve">”</w:t>
            </w:r>
            <w:r>
              <w:t xml:space="preserve"> </w:t>
            </w:r>
            <w:r>
              <w:t xml:space="preserve">basée uniquement sur des valeurs positives de l’index est une sur-interprétation sans discussion du contexte écologique.</w:t>
            </w:r>
          </w:p>
        </w:tc>
      </w:tr>
      <w:tr>
        <w:tc>
          <w:tcPr/>
          <w:p>
            <w:pPr>
              <w:pStyle w:val="Compact"/>
              <w:jc w:val="left"/>
            </w:pPr>
            <w:r>
              <w:rPr>
                <w:bCs/>
                <w:b/>
              </w:rPr>
              <w:t xml:space="preserve">C5</w:t>
            </w:r>
            <w:r>
              <w:t xml:space="preserve"> </w:t>
            </w:r>
            <w:r>
              <w:t xml:space="preserve">- Analyse à la fine pointe de la technologie</w:t>
            </w:r>
          </w:p>
        </w:tc>
        <w:tc>
          <w:tcPr/>
          <w:p>
            <w:pPr>
              <w:pStyle w:val="Compact"/>
              <w:jc w:val="left"/>
            </w:pPr>
            <w:r>
              <w:t xml:space="preserve">3</w:t>
            </w:r>
          </w:p>
        </w:tc>
        <w:tc>
          <w:tcPr/>
          <w:p>
            <w:pPr>
              <w:pStyle w:val="Compact"/>
              <w:jc w:val="left"/>
            </w:pPr>
            <w:r>
              <w:t xml:space="preserve">L’utilisation de Boruta pour la sélection de variables et Random Forest est appropriée et moderne. Cependant, l’absence de prise en compte de la structure hiérarchique des données (parcs imbriqués dans les villes) est une lacune importante.</w:t>
            </w:r>
          </w:p>
        </w:tc>
      </w:tr>
    </w:tbl>
    <w:p>
      <w:pPr>
        <w:pStyle w:val="BodyText"/>
      </w:pPr>
      <w:r>
        <w:rPr>
          <w:bCs/>
          <w:b/>
        </w:rPr>
        <w:t xml:space="preserve">Score moyen pondéré</w:t>
      </w:r>
      <w:r>
        <w:t xml:space="preserve"> </w:t>
      </w:r>
      <w:r>
        <w:t xml:space="preserve">: 2.2/5</w:t>
      </w:r>
    </w:p>
    <w:p>
      <w:r>
        <w:pict>
          <v:rect style="width:0;height:1.5pt" o:hralign="center" o:hrstd="t" o:hr="t"/>
        </w:pict>
      </w:r>
    </w:p>
    <w:bookmarkEnd w:id="21"/>
    <w:bookmarkStart w:id="24" w:name="X9cccc80af8e55f5976fbafc0af97f5a1a472834"/>
    <w:p>
      <w:pPr>
        <w:pStyle w:val="Heading2"/>
      </w:pPr>
      <w:r>
        <w:t xml:space="preserve">3. Commentaires Détaillés sur la Rigueur Scientifique</w:t>
      </w:r>
    </w:p>
    <w:bookmarkStart w:id="22" w:name="points-positifs"/>
    <w:p>
      <w:pPr>
        <w:pStyle w:val="Heading3"/>
      </w:pPr>
      <w:r>
        <w:t xml:space="preserve">Points Positifs</w:t>
      </w:r>
    </w:p>
    <w:p>
      <w:pPr>
        <w:numPr>
          <w:ilvl w:val="0"/>
          <w:numId w:val="1001"/>
        </w:numPr>
        <w:pStyle w:val="Compact"/>
      </w:pPr>
      <w:r>
        <w:t xml:space="preserve">L’utilisation de Boruta pour la sélection de variables est une approche méthodologiquement solide permettant d’identifier les prédicteurs importants de manière non biaisée (Kursa &amp; Rudnicki, 2010).</w:t>
      </w:r>
    </w:p>
    <w:p>
      <w:pPr>
        <w:numPr>
          <w:ilvl w:val="0"/>
          <w:numId w:val="1001"/>
        </w:numPr>
        <w:pStyle w:val="Compact"/>
      </w:pPr>
      <w:r>
        <w:t xml:space="preserve">La validation croisée mentionnée est une bonne pratique pour évaluer la performance prédictive.</w:t>
      </w:r>
    </w:p>
    <w:p>
      <w:pPr>
        <w:numPr>
          <w:ilvl w:val="0"/>
          <w:numId w:val="1001"/>
        </w:numPr>
        <w:pStyle w:val="Compact"/>
      </w:pPr>
      <w:r>
        <w:t xml:space="preserve">La présentation des résultats sous forme de tableau est claire et facilite l’interprétation.</w:t>
      </w:r>
    </w:p>
    <w:bookmarkEnd w:id="22"/>
    <w:bookmarkStart w:id="23" w:name="points-à-améliorer"/>
    <w:p>
      <w:pPr>
        <w:pStyle w:val="Heading3"/>
      </w:pPr>
      <w:r>
        <w:t xml:space="preserve">Points à Améliorer</w:t>
      </w:r>
    </w:p>
    <w:p>
      <w:pPr>
        <w:numPr>
          <w:ilvl w:val="0"/>
          <w:numId w:val="1002"/>
        </w:numPr>
      </w:pPr>
      <w:r>
        <w:rPr>
          <w:bCs/>
          <w:b/>
        </w:rPr>
        <w:t xml:space="preserve">Structure spatiale non prise en compte</w:t>
      </w:r>
      <w:r>
        <w:t xml:space="preserve"> </w:t>
      </w:r>
      <w:r>
        <w:t xml:space="preserve">: Les données présentent une structure hiérarchique (oiseaux dans parcs, parcs dans villes). L’utilisation d’un Random Forest classique ignore l’autocorrélation spatiale potentielle et la pseudo-réplication inhérente à ce design. Une approche MERF (Mixed Effects Random Forest) ou un modèle mixte aurait été plus appropriée (Hajjem et al., 2014).</w:t>
      </w:r>
    </w:p>
    <w:p>
      <w:pPr>
        <w:numPr>
          <w:ilvl w:val="0"/>
          <w:numId w:val="1002"/>
        </w:numPr>
      </w:pPr>
      <w:r>
        <w:rPr>
          <w:bCs/>
          <w:b/>
        </w:rPr>
        <w:t xml:space="preserve">Pseudo-R² très faible</w:t>
      </w:r>
      <w:r>
        <w:t xml:space="preserve"> </w:t>
      </w:r>
      <w:r>
        <w:t xml:space="preserve">: Un pseudo-R² de 0.281 indique que le modèle n’explique qu’environ 28% de la variance de l’index de santé. Cette performance modeste aurait dû être discutée et les implications pour les prédictions évaluées.</w:t>
      </w:r>
    </w:p>
    <w:p>
      <w:pPr>
        <w:numPr>
          <w:ilvl w:val="0"/>
          <w:numId w:val="1002"/>
        </w:numPr>
      </w:pPr>
      <w:r>
        <w:rPr>
          <w:bCs/>
          <w:b/>
        </w:rPr>
        <w:t xml:space="preserve">Gestion des valeurs manquantes</w:t>
      </w:r>
      <w:r>
        <w:t xml:space="preserve"> </w:t>
      </w:r>
      <w:r>
        <w:t xml:space="preserve">: Aucune mention de la gestion des NA présents dans le jeu de données (visible dans</w:t>
      </w:r>
      <w:r>
        <w:t xml:space="preserve"> </w:t>
      </w:r>
      <w:r>
        <w:rPr>
          <w:rStyle w:val="VerbatimChar"/>
        </w:rPr>
        <w:t xml:space="preserve">dataset.csv</w:t>
      </w:r>
      <w:r>
        <w:t xml:space="preserve">).</w:t>
      </w:r>
    </w:p>
    <w:p>
      <w:pPr>
        <w:numPr>
          <w:ilvl w:val="0"/>
          <w:numId w:val="1002"/>
        </w:numPr>
      </w:pPr>
      <w:r>
        <w:rPr>
          <w:bCs/>
          <w:b/>
        </w:rPr>
        <w:t xml:space="preserve">Conclusion sur-interprétée</w:t>
      </w:r>
      <w:r>
        <w:t xml:space="preserve"> </w:t>
      </w:r>
      <w:r>
        <w:t xml:space="preserve">: Affirmer que</w:t>
      </w:r>
      <w:r>
        <w:t xml:space="preserve"> </w:t>
      </w:r>
      <w:r>
        <w:t xml:space="preserve">“</w:t>
      </w:r>
      <w:r>
        <w:t xml:space="preserve">tous les oiseaux sont en santé</w:t>
      </w:r>
      <w:r>
        <w:t xml:space="preserve">”</w:t>
      </w:r>
      <w:r>
        <w:t xml:space="preserve"> </w:t>
      </w:r>
      <w:r>
        <w:t xml:space="preserve">parce que l’index prédit est positif est une interprétation simpliste qui nécessiterait une mise en contexte avec les valeurs observées dans le jeu d’entraînement (qui varient de -25 à +58).</w:t>
      </w:r>
    </w:p>
    <w:p>
      <w:r>
        <w:pict>
          <v:rect style="width:0;height:1.5pt" o:hralign="center" o:hrstd="t" o:hr="t"/>
        </w:pict>
      </w:r>
    </w:p>
    <w:bookmarkEnd w:id="23"/>
    <w:bookmarkEnd w:id="24"/>
    <w:bookmarkStart w:id="28" w:name="analyse-technique-du-code-r"/>
    <w:p>
      <w:pPr>
        <w:pStyle w:val="Heading2"/>
      </w:pPr>
      <w:r>
        <w:t xml:space="preserve">4. Analyse Technique du Code R</w:t>
      </w:r>
    </w:p>
    <w:bookmarkStart w:id="25" w:name="points-forts"/>
    <w:p>
      <w:pPr>
        <w:pStyle w:val="Heading3"/>
      </w:pPr>
      <w:r>
        <w:t xml:space="preserve">Points Forts</w:t>
      </w:r>
    </w:p>
    <w:p>
      <w:pPr>
        <w:numPr>
          <w:ilvl w:val="0"/>
          <w:numId w:val="1003"/>
        </w:numPr>
        <w:pStyle w:val="Compact"/>
      </w:pPr>
      <w:r>
        <w:t xml:space="preserve">Non applicable (aucun code soumis)</w:t>
      </w:r>
    </w:p>
    <w:bookmarkEnd w:id="25"/>
    <w:bookmarkStart w:id="26" w:name="points-faibles"/>
    <w:p>
      <w:pPr>
        <w:pStyle w:val="Heading3"/>
      </w:pPr>
      <w:r>
        <w:t xml:space="preserve">Points Faibles</w:t>
      </w:r>
    </w:p>
    <w:p>
      <w:pPr>
        <w:numPr>
          <w:ilvl w:val="0"/>
          <w:numId w:val="1004"/>
        </w:numPr>
        <w:pStyle w:val="Compact"/>
      </w:pPr>
      <w:r>
        <w:rPr>
          <w:bCs/>
          <w:b/>
        </w:rPr>
        <w:t xml:space="preserve">Absence totale de script R</w:t>
      </w:r>
      <w:r>
        <w:t xml:space="preserve"> </w:t>
      </w:r>
      <w:r>
        <w:t xml:space="preserve">: C’est la principale faiblesse de cette soumission. Sans code, il est impossible de :</w:t>
      </w:r>
    </w:p>
    <w:p>
      <w:pPr>
        <w:numPr>
          <w:ilvl w:val="1"/>
          <w:numId w:val="1005"/>
        </w:numPr>
        <w:pStyle w:val="Compact"/>
      </w:pPr>
      <w:r>
        <w:t xml:space="preserve">Vérifier la syntaxe et la logique</w:t>
      </w:r>
    </w:p>
    <w:p>
      <w:pPr>
        <w:numPr>
          <w:ilvl w:val="1"/>
          <w:numId w:val="1005"/>
        </w:numPr>
        <w:pStyle w:val="Compact"/>
      </w:pPr>
      <w:r>
        <w:t xml:space="preserve">Valider les paramètres utilisés pour Boruta et Random Forest</w:t>
      </w:r>
    </w:p>
    <w:p>
      <w:pPr>
        <w:numPr>
          <w:ilvl w:val="1"/>
          <w:numId w:val="1005"/>
        </w:numPr>
        <w:pStyle w:val="Compact"/>
      </w:pPr>
      <w:r>
        <w:t xml:space="preserve">Reproduire les résultats</w:t>
      </w:r>
    </w:p>
    <w:p>
      <w:pPr>
        <w:numPr>
          <w:ilvl w:val="1"/>
          <w:numId w:val="1005"/>
        </w:numPr>
        <w:pStyle w:val="Compact"/>
      </w:pPr>
      <w:r>
        <w:t xml:space="preserve">Évaluer la gestion des valeurs manquantes</w:t>
      </w:r>
    </w:p>
    <w:p>
      <w:pPr>
        <w:numPr>
          <w:ilvl w:val="1"/>
          <w:numId w:val="1005"/>
        </w:numPr>
        <w:pStyle w:val="Compact"/>
      </w:pPr>
      <w:r>
        <w:t xml:space="preserve">Vérifier la méthode de validation croisée</w:t>
      </w:r>
    </w:p>
    <w:bookmarkEnd w:id="26"/>
    <w:bookmarkStart w:id="27" w:name="recommandations"/>
    <w:p>
      <w:pPr>
        <w:pStyle w:val="Heading3"/>
      </w:pPr>
      <w:r>
        <w:t xml:space="preserve">Recommandations</w:t>
      </w:r>
    </w:p>
    <w:p>
      <w:pPr>
        <w:numPr>
          <w:ilvl w:val="0"/>
          <w:numId w:val="1006"/>
        </w:numPr>
        <w:pStyle w:val="Compact"/>
      </w:pPr>
      <w:r>
        <w:t xml:space="preserve">Toujours fournir le script R complet avec des commentaires explicatifs</w:t>
      </w:r>
    </w:p>
    <w:p>
      <w:pPr>
        <w:numPr>
          <w:ilvl w:val="0"/>
          <w:numId w:val="1006"/>
        </w:numPr>
        <w:pStyle w:val="Compact"/>
      </w:pPr>
      <w:r>
        <w:t xml:space="preserve">Utiliser</w:t>
      </w:r>
      <w:r>
        <w:t xml:space="preserve"> </w:t>
      </w:r>
      <w:r>
        <w:rPr>
          <w:rStyle w:val="VerbatimChar"/>
        </w:rPr>
        <w:t xml:space="preserve">set.seed()</w:t>
      </w:r>
      <w:r>
        <w:t xml:space="preserve"> </w:t>
      </w:r>
      <w:r>
        <w:t xml:space="preserve">pour garantir la reproductibilité</w:t>
      </w:r>
    </w:p>
    <w:p>
      <w:pPr>
        <w:numPr>
          <w:ilvl w:val="0"/>
          <w:numId w:val="1006"/>
        </w:numPr>
        <w:pStyle w:val="Compact"/>
      </w:pPr>
      <w:r>
        <w:t xml:space="preserve">Documenter explicitement les versions des packages utilisés</w:t>
      </w:r>
    </w:p>
    <w:p>
      <w:r>
        <w:pict>
          <v:rect style="width:0;height:1.5pt" o:hralign="center" o:hrstd="t" o:hr="t"/>
        </w:pict>
      </w:r>
    </w:p>
    <w:bookmarkEnd w:id="27"/>
    <w:bookmarkEnd w:id="28"/>
    <w:bookmarkStart w:id="29" w:name="références-citées"/>
    <w:p>
      <w:pPr>
        <w:pStyle w:val="Heading2"/>
      </w:pPr>
      <w:r>
        <w:t xml:space="preserve">5. Références Citées</w:t>
      </w:r>
    </w:p>
    <w:p>
      <w:pPr>
        <w:numPr>
          <w:ilvl w:val="0"/>
          <w:numId w:val="1007"/>
        </w:numPr>
        <w:pStyle w:val="Compact"/>
      </w:pPr>
      <w:r>
        <w:t xml:space="preserve">Hajjem, A., Bellavance, F., &amp; Larocque, D. (2014). Mixed-effects random forest for clustered data.</w:t>
      </w:r>
      <w:r>
        <w:t xml:space="preserve"> </w:t>
      </w:r>
      <w:r>
        <w:rPr>
          <w:iCs/>
          <w:i/>
        </w:rPr>
        <w:t xml:space="preserve">Journal of Statistical Computation and Simulation</w:t>
      </w:r>
      <w:r>
        <w:t xml:space="preserve">, 84(6), 1313-1328.</w:t>
      </w:r>
    </w:p>
    <w:p>
      <w:pPr>
        <w:numPr>
          <w:ilvl w:val="0"/>
          <w:numId w:val="1007"/>
        </w:numPr>
        <w:pStyle w:val="Compact"/>
      </w:pPr>
      <w:r>
        <w:t xml:space="preserve">Kursa, M. B., &amp; Rudnicki, W. R. (2010). Feature selection with the Boruta package.</w:t>
      </w:r>
      <w:r>
        <w:t xml:space="preserve"> </w:t>
      </w:r>
      <w:r>
        <w:rPr>
          <w:iCs/>
          <w:i/>
        </w:rPr>
        <w:t xml:space="preserve">Journal of Statistical Software</w:t>
      </w:r>
      <w:r>
        <w:t xml:space="preserve">, 36(11), 1-13.</w:t>
      </w:r>
    </w:p>
    <w:p>
      <w:pPr>
        <w:numPr>
          <w:ilvl w:val="0"/>
          <w:numId w:val="1007"/>
        </w:numPr>
        <w:pStyle w:val="Compact"/>
      </w:pPr>
      <w:r>
        <w:t xml:space="preserve">Legendre, P., &amp; Legendre, L. (2012).</w:t>
      </w:r>
      <w:r>
        <w:t xml:space="preserve"> </w:t>
      </w:r>
      <w:r>
        <w:rPr>
          <w:iCs/>
          <w:i/>
        </w:rPr>
        <w:t xml:space="preserve">Numerical Ecology</w:t>
      </w:r>
      <w:r>
        <w:t xml:space="preserve"> </w:t>
      </w:r>
      <w:r>
        <w:t xml:space="preserve">(3rd ed.). Elsevier.</w:t>
      </w:r>
    </w:p>
    <w:p>
      <w:r>
        <w:pict>
          <v:rect style="width:0;height:1.5pt" o:hralign="center" o:hrstd="t" o:hr="t"/>
        </w:pict>
      </w:r>
    </w:p>
    <w:bookmarkEnd w:id="29"/>
    <w:bookmarkStart w:id="30" w:name="note-finale"/>
    <w:p>
      <w:pPr>
        <w:pStyle w:val="Heading2"/>
      </w:pPr>
      <w:r>
        <w:t xml:space="preserve">Note Finale</w:t>
      </w:r>
    </w:p>
    <w:p>
      <w:pPr>
        <w:pStyle w:val="FirstParagraph"/>
      </w:pPr>
      <w:r>
        <w:rPr>
          <w:bCs/>
          <w:b/>
        </w:rPr>
        <w:t xml:space="preserve">Note globale : 4/10</w:t>
      </w:r>
    </w:p>
    <w:p>
      <w:pPr>
        <w:pStyle w:val="BodyText"/>
      </w:pPr>
      <w:r>
        <w:t xml:space="preserve">Cette soumission présente une approche méthodologique pertinente mais est gravement limitée par l’absence de script R reproductible. Le rapport manque de rigueur dans la discussion des limitations et des incertitudes du modèle.</w:t>
      </w:r>
    </w:p>
    <w:p>
      <w:r>
        <w:pict>
          <v:rect style="width:0;height:1.5pt" o:hralign="center" o:hrstd="t" o:hr="t"/>
        </w:pict>
      </w:r>
    </w:p>
    <w:bookmarkEnd w:id="30"/>
    <w:bookmarkStart w:id="31" w:name="détection-ia"/>
    <w:p>
      <w:pPr>
        <w:pStyle w:val="Heading2"/>
      </w:pPr>
      <w:r>
        <w:t xml:space="preserve">Détection IA</w:t>
      </w:r>
    </w:p>
    <w:p>
      <w:pPr>
        <w:pStyle w:val="FirstParagraph"/>
      </w:pPr>
      <w:r>
        <w:rPr>
          <w:bCs/>
          <w:b/>
        </w:rPr>
        <w:t xml:space="preserve">Score : 0</w:t>
      </w:r>
    </w:p>
    <w:p>
      <w:pPr>
        <w:pStyle w:val="BodyText"/>
      </w:pPr>
      <w:r>
        <w:t xml:space="preserve">La formulation du rapport semble refléter le travail d’une équipe humaine avec quelques maladresses de rédaction et un vocabulaire moins structuré que ce qu’une IA produirait typiquement. L’absence de script R et la présentation simplifiée suggèrent un travail réalisé manuellement.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2026-01-16T15:52:35Z</dcterms:created>
  <dcterms:modified xsi:type="dcterms:W3CDTF">2026-01-16T15:52:35Z</dcterms:modified>
</cp:coreProperties>
</file>

<file path=docProps/custom.xml><?xml version="1.0" encoding="utf-8"?>
<Properties xmlns="http://schemas.openxmlformats.org/officeDocument/2006/custom-properties" xmlns:vt="http://schemas.openxmlformats.org/officeDocument/2006/docPropsVTypes"/>
</file>