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rapport-dévaluation---équipe-8sae"/>
    <w:p>
      <w:pPr>
        <w:pStyle w:val="Heading1"/>
      </w:pPr>
      <w:r>
        <w:t xml:space="preserve">Rapport d’Évaluation - Équipe 8SAE</w:t>
      </w:r>
    </w:p>
    <w:bookmarkStart w:id="20" w:name="résumé-de-lévaluation"/>
    <w:p>
      <w:pPr>
        <w:pStyle w:val="Heading2"/>
      </w:pPr>
      <w:r>
        <w:t xml:space="preserve">1. Résumé de l’Évaluation</w:t>
      </w:r>
    </w:p>
    <w:p>
      <w:pPr>
        <w:pStyle w:val="FirstParagraph"/>
      </w:pPr>
      <w:r>
        <w:t xml:space="preserve">L’équipe 8SAE a fourni une analyse complète et bien structurée utilisant plusieurs approches méthodologiques : modèles linéaires simples (lm), modèles linéaires mixtes (lmer), modèles additifs généralisés (GAM), et machine learning (Random Forest avec caret). Cette approche multi-modèles permet une comparaison rigoureuse des performances. Le script est bien commenté et suit une progression logique.</w:t>
      </w:r>
    </w:p>
    <w:p>
      <w:r>
        <w:pict>
          <v:rect style="width:0;height:1.5pt" o:hralign="center" o:hrstd="t" o:hr="t"/>
        </w:pict>
      </w:r>
    </w:p>
    <w:bookmarkEnd w:id="20"/>
    <w:bookmarkStart w:id="21" w:name="tableau-des-scores-critères-c1-c5"/>
    <w:p>
      <w:pPr>
        <w:pStyle w:val="Heading2"/>
      </w:pPr>
      <w:r>
        <w:t xml:space="preserve">2. Tableau des Scores (Critères C1-C5)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1911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 </w:t>
            </w:r>
            <w:r>
              <w:t xml:space="preserve">- Analyse techniquement correcte et choix justifiés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Excellente exploration des données avec vérification du VIF pour la multicolinéarité. Comparaison de plusieurs approches méthodologiques. Bonne prise en compte de la structure hiérarchique.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  <w:r>
              <w:t xml:space="preserve"> </w:t>
            </w:r>
            <w:r>
              <w:t xml:space="preserve">- Code reproductible et lisible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très bien commenté avec</w:t>
            </w:r>
            <w:r>
              <w:t xml:space="preserve"> </w:t>
            </w:r>
            <w:r>
              <w:rPr>
                <w:rStyle w:val="VerbatimChar"/>
              </w:rPr>
              <w:t xml:space="preserve">set.seed(123)</w:t>
            </w:r>
            <w:r>
              <w:t xml:space="preserve"> </w:t>
            </w:r>
            <w:r>
              <w:t xml:space="preserve">pour la reproductibilité. Organisation claire en sections numérotées. Les packages sont chargés au début.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  <w:r>
              <w:t xml:space="preserve"> </w:t>
            </w:r>
            <w:r>
              <w:t xml:space="preserve">- Transparence sur les incertitudes et limitations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multicolinéarité est vérifiée (VIF), mais les incertitudes des prédictions ne sont pas quantifiées explicitement. La discussion des limitations pourrait être plus approfondie.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</w:t>
            </w:r>
            <w:r>
              <w:t xml:space="preserve"> </w:t>
            </w:r>
            <w:r>
              <w:t xml:space="preserve">- Interprétations et conclusions claires et supportées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résultats sont bien visualisés avec comparaison performance des modèles. Le graphique observé vs prédit est une bonne pratique.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C5</w:t>
            </w:r>
            <w:r>
              <w:t xml:space="preserve"> </w:t>
            </w:r>
            <w:r>
              <w:t xml:space="preserve">- Analyse à la fine pointe de la 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de GAM avec splines et effets aléatoires, Random Forest avec validation croisée appropriée basée sur les groupes contextuels. Excellente comparaison multi-modèles.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Score moyen pondéré</w:t>
      </w:r>
      <w:r>
        <w:t xml:space="preserve"> </w:t>
      </w:r>
      <w:r>
        <w:t xml:space="preserve">: 4.2/5</w:t>
      </w:r>
    </w:p>
    <w:p>
      <w:r>
        <w:pict>
          <v:rect style="width:0;height:1.5pt" o:hralign="center" o:hrstd="t" o:hr="t"/>
        </w:pict>
      </w:r>
    </w:p>
    <w:bookmarkEnd w:id="21"/>
    <w:bookmarkStart w:id="25" w:name="X9cccc80af8e55f5976fbafc0af97f5a1a472834"/>
    <w:p>
      <w:pPr>
        <w:pStyle w:val="Heading2"/>
      </w:pPr>
      <w:r>
        <w:t xml:space="preserve">3. Commentaires Détaillés sur la Rigueur Scientifique</w:t>
      </w:r>
    </w:p>
    <w:bookmarkStart w:id="22" w:name="points-positifs"/>
    <w:p>
      <w:pPr>
        <w:pStyle w:val="Heading3"/>
      </w:pPr>
      <w:r>
        <w:t xml:space="preserve">Points Positifs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Exploration exhaustive des données</w:t>
      </w:r>
      <w:r>
        <w:t xml:space="preserve"> </w:t>
      </w:r>
      <w:r>
        <w:t xml:space="preserve">: L’analyse commence par une exploration approfondie incluant la distribution des groupes, les NA par ville, et les corrélations entre variables. L’utilisation de</w:t>
      </w:r>
      <w:r>
        <w:t xml:space="preserve"> </w:t>
      </w:r>
      <w:r>
        <w:rPr>
          <w:rStyle w:val="VerbatimChar"/>
        </w:rPr>
        <w:t xml:space="preserve">chart.Correlation()</w:t>
      </w:r>
      <w:r>
        <w:t xml:space="preserve"> </w:t>
      </w:r>
      <w:r>
        <w:t xml:space="preserve">et de visualisations par ville démontre une bonne compréhension des données.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Gestion de la multicolinéarité</w:t>
      </w:r>
      <w:r>
        <w:t xml:space="preserve"> </w:t>
      </w:r>
      <w:r>
        <w:t xml:space="preserve">: Le calcul du VIF et le retrait de</w:t>
      </w:r>
      <w:r>
        <w:t xml:space="preserve"> </w:t>
      </w:r>
      <w:r>
        <w:rPr>
          <w:rStyle w:val="VerbatimChar"/>
        </w:rPr>
        <w:t xml:space="preserve">thrash_can_count</w:t>
      </w:r>
      <w:r>
        <w:t xml:space="preserve"> </w:t>
      </w:r>
      <w:r>
        <w:t xml:space="preserve">quand nécessaire suit les bonnes pratiques (Dormann et al., 2013). Le seuil implicite de VIF &gt; 5-10 est approprié.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Structure hiérarchique correctement modélisée</w:t>
      </w:r>
      <w:r>
        <w:t xml:space="preserve"> </w:t>
      </w:r>
      <w:r>
        <w:t xml:space="preserve">: L’utilisation d’effets aléatoires imbriqués</w:t>
      </w:r>
      <w:r>
        <w:t xml:space="preserve"> </w:t>
      </w:r>
      <w:r>
        <w:rPr>
          <w:rStyle w:val="VerbatimChar"/>
        </w:rPr>
        <w:t xml:space="preserve">(1|city_id/park_id)</w:t>
      </w:r>
      <w:r>
        <w:t xml:space="preserve"> </w:t>
      </w:r>
      <w:r>
        <w:t xml:space="preserve">dans les modèles lmer et GAM est conforme aux recommandations de Legendre &amp; Legendre (2012) pour les données écologiques avec pseudo-réplication spatiale.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Comparaison rigoureuse des modèles</w:t>
      </w:r>
      <w:r>
        <w:t xml:space="preserve"> </w:t>
      </w:r>
      <w:r>
        <w:t xml:space="preserve">: L’utilisation de</w:t>
      </w:r>
      <w:r>
        <w:t xml:space="preserve"> </w:t>
      </w:r>
      <w:r>
        <w:rPr>
          <w:rStyle w:val="VerbatimChar"/>
        </w:rPr>
        <w:t xml:space="preserve">compare_performance()</w:t>
      </w:r>
      <w:r>
        <w:t xml:space="preserve"> </w:t>
      </w:r>
      <w:r>
        <w:t xml:space="preserve">du package {performance} permet une évaluation objective des différentes approches.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Validation croisée stratifiée</w:t>
      </w:r>
      <w:r>
        <w:t xml:space="preserve"> </w:t>
      </w:r>
      <w:r>
        <w:t xml:space="preserve">: Pour le Random Forest, les folds sont créés en fonction de</w:t>
      </w:r>
      <w:r>
        <w:t xml:space="preserve"> </w:t>
      </w:r>
      <w:r>
        <w:rPr>
          <w:rStyle w:val="VerbatimChar"/>
        </w:rPr>
        <w:t xml:space="preserve">context_id</w:t>
      </w:r>
      <w:r>
        <w:t xml:space="preserve"> </w:t>
      </w:r>
      <w:r>
        <w:t xml:space="preserve">(combinaison ville-parc), ce qui évite la fuite de données entre groupes similaires.</w:t>
      </w:r>
    </w:p>
    <w:bookmarkEnd w:id="22"/>
    <w:bookmarkStart w:id="23" w:name="points-à-améliorer"/>
    <w:p>
      <w:pPr>
        <w:pStyle w:val="Heading3"/>
      </w:pPr>
      <w:r>
        <w:t xml:space="preserve">Points à Améliorer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Gestion des NA</w:t>
      </w:r>
      <w:r>
        <w:t xml:space="preserve"> </w:t>
      </w:r>
      <w:r>
        <w:t xml:space="preserve">: Bien que l’utilisation de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 </w:t>
      </w:r>
      <w:r>
        <w:t xml:space="preserve">soit explicite, une analyse de sensibilité ou une imputation multiple aurait pu être considérée, surtout si le mécanisme de données manquantes n’est pas MCAR (Missing Completely At Random).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Interprétation écologique</w:t>
      </w:r>
      <w:r>
        <w:t xml:space="preserve"> </w:t>
      </w:r>
      <w:r>
        <w:t xml:space="preserve">: Le script se concentre sur les aspects techniques mais manque d’interprétation biologique des coefficients et de leur signification pour la santé des oiseaux.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Incertitudes des prédictions</w:t>
      </w:r>
      <w:r>
        <w:t xml:space="preserve"> </w:t>
      </w:r>
      <w:r>
        <w:t xml:space="preserve">: Les prédictions finales sont fournies sans intervalle de confiance, ce qui limite l’évaluation de leur fiabilité.</w:t>
      </w:r>
    </w:p>
    <w:bookmarkEnd w:id="23"/>
    <w:bookmarkStart w:id="24" w:name="note-sur-le-vif"/>
    <w:p>
      <w:pPr>
        <w:pStyle w:val="Heading3"/>
      </w:pPr>
      <w:r>
        <w:t xml:space="preserve">Note sur le VIF</w:t>
      </w:r>
    </w:p>
    <w:p>
      <w:pPr>
        <w:pStyle w:val="FirstParagraph"/>
      </w:pPr>
      <w:r>
        <w:t xml:space="preserve">La vérification initiale du VIF montre une corrélation entre</w:t>
      </w:r>
      <w:r>
        <w:t xml:space="preserve"> </w:t>
      </w:r>
      <w:r>
        <w:rPr>
          <w:rStyle w:val="VerbatimChar"/>
        </w:rPr>
        <w:t xml:space="preserve">thrash_can_count</w:t>
      </w:r>
      <w:r>
        <w:t xml:space="preserve"> </w:t>
      </w:r>
      <w:r>
        <w:t xml:space="preserve">et d’autres variables. Le retrait systématique de cette variable dans les modèles réduits est une approche conservatrice et défendable.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nalyse-technique-du-code-r"/>
    <w:p>
      <w:pPr>
        <w:pStyle w:val="Heading2"/>
      </w:pPr>
      <w:r>
        <w:t xml:space="preserve">4. Analyse Technique du Code R</w:t>
      </w:r>
    </w:p>
    <w:bookmarkStart w:id="26" w:name="points-forts"/>
    <w:p>
      <w:pPr>
        <w:pStyle w:val="Heading3"/>
      </w:pPr>
      <w:r>
        <w:t xml:space="preserve">Points Forts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Structure claire</w:t>
      </w:r>
      <w:r>
        <w:t xml:space="preserve"> </w:t>
      </w:r>
      <w:r>
        <w:t xml:space="preserve">: Le script est organisé en sections numérotées (0. Environnement, 1. Explorer, 2. Modéliser, etc.) facilitant la navigation.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Reproductibilité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set.seed(123)</w:t>
      </w:r>
      <w:r>
        <w:t xml:space="preserve"> </w:t>
      </w:r>
      <w:r>
        <w:t xml:space="preserve">est utilisé, garantissant des résultats reproductibles.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Chargement des packages approprié</w:t>
      </w:r>
      <w:r>
        <w:t xml:space="preserve"> </w:t>
      </w:r>
      <w:r>
        <w:t xml:space="preserve">: Les packages sont chargés en bloc au début, incluant des outils modernes et robustes ({tidyverse}, {lme4}, {mgcv}, {mlr3verse}, {caret}).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Validation des modèles GAM</w:t>
      </w:r>
      <w:r>
        <w:t xml:space="preserve"> </w:t>
      </w:r>
      <w:r>
        <w:t xml:space="preserve">: L’utilisation de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pour vérifier les EDF (effectifs degrees of freedom) est une excellente pratique pour évaluer si les splines sont nécessaires ou si une relation linéaire suffit.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Visualisation des GAM</w:t>
      </w:r>
      <w:r>
        <w:t xml:space="preserve"> </w:t>
      </w:r>
      <w:r>
        <w:t xml:space="preserve">: L’utilisation de</w:t>
      </w:r>
      <w:r>
        <w:t xml:space="preserve"> </w:t>
      </w:r>
      <w:r>
        <w:rPr>
          <w:rStyle w:val="VerbatimChar"/>
        </w:rPr>
        <w:t xml:space="preserve">mgcViz::getViz()</w:t>
      </w:r>
      <w:r>
        <w:t xml:space="preserve"> </w:t>
      </w:r>
      <w:r>
        <w:t xml:space="preserve">pour visualiser les termes du modèle est appropriée.</w:t>
      </w:r>
    </w:p>
    <w:bookmarkEnd w:id="26"/>
    <w:bookmarkStart w:id="27" w:name="points-faibles"/>
    <w:p>
      <w:pPr>
        <w:pStyle w:val="Heading3"/>
      </w:pPr>
      <w:r>
        <w:t xml:space="preserve">Points Faibles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Chemin de fichier relatif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read.csv("dataset.csv")</w:t>
      </w:r>
      <w:r>
        <w:t xml:space="preserve"> </w:t>
      </w:r>
      <w:r>
        <w:t xml:space="preserve">suppose que le fichier est dans le répertoire de travail. Il serait préférable de spécifier un chemin explicite ou d’utiliser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Package non chargé</w:t>
      </w:r>
      <w:r>
        <w:t xml:space="preserve"> </w:t>
      </w:r>
      <w:r>
        <w:t xml:space="preserve">: La fonction</w:t>
      </w:r>
      <w:r>
        <w:t xml:space="preserve"> </w:t>
      </w:r>
      <w:r>
        <w:rPr>
          <w:rStyle w:val="VerbatimChar"/>
        </w:rPr>
        <w:t xml:space="preserve">chart.Correlation()</w:t>
      </w:r>
      <w:r>
        <w:t xml:space="preserve"> </w:t>
      </w:r>
      <w:r>
        <w:t xml:space="preserve">du package {PerformanceAnalytics} est utilisée mais le package n’est pas chargé explicitement dans la section 0.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Avertissement potentiel</w:t>
      </w:r>
      <w:r>
        <w:t xml:space="preserve"> </w:t>
      </w:r>
      <w:r>
        <w:t xml:space="preserve">: Dans le modèle lmer avec toutes les observations sans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 le modèle peut échouer silencieusement ou produire des résultats incomplets avec les NA.</w:t>
      </w:r>
    </w:p>
    <w:bookmarkEnd w:id="27"/>
    <w:bookmarkStart w:id="28" w:name="extraits-de-code-notables"/>
    <w:p>
      <w:pPr>
        <w:pStyle w:val="Heading3"/>
      </w:pPr>
      <w:r>
        <w:t xml:space="preserve">Extraits de Code Notables</w:t>
      </w:r>
    </w:p>
    <w:p>
      <w:pPr>
        <w:pStyle w:val="SourceCode"/>
      </w:pPr>
      <w:r>
        <w:rPr>
          <w:rStyle w:val="CommentTok"/>
        </w:rPr>
        <w:t xml:space="preserve"># Excellent : validation croisée basée sur les groupes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createFolds</w:t>
      </w:r>
      <w:r>
        <w:rPr>
          <w:rStyle w:val="NormalTok"/>
        </w:rPr>
        <w:t xml:space="preserve">(df2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context_id,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list=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rangerm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bird_health_index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df2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context_id,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city_id,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park_id),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method=</w:t>
      </w:r>
      <w:r>
        <w:rPr>
          <w:rStyle w:val="StringTok"/>
        </w:rPr>
        <w:t xml:space="preserve">"cv"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index=</w:t>
      </w:r>
      <w:r>
        <w:rPr>
          <w:rStyle w:val="NormalTok"/>
        </w:rPr>
        <w:t xml:space="preserve">folds, </w:t>
      </w:r>
      <w:r>
        <w:rPr>
          <w:rStyle w:val="AttributeTok"/>
        </w:rPr>
        <w:t xml:space="preserve">verboseIter 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num.trees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importance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"permutation"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Excellent : comparaison formelle des modèles</w:t>
      </w:r>
      <w:r>
        <w:br/>
      </w: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(df.lm, df.lm2, df.mlm, df.mlm2, df.gam, df.gam2)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références-citées"/>
    <w:p>
      <w:pPr>
        <w:pStyle w:val="Heading2"/>
      </w:pPr>
      <w:r>
        <w:t xml:space="preserve">5. Références Citées</w:t>
      </w:r>
    </w:p>
    <w:p>
      <w:pPr>
        <w:numPr>
          <w:ilvl w:val="0"/>
          <w:numId w:val="1005"/>
        </w:numPr>
        <w:pStyle w:val="Compact"/>
      </w:pPr>
      <w:r>
        <w:t xml:space="preserve">Borcard, D., Gillet, F., &amp; Legendre, P. (2018).</w:t>
      </w:r>
      <w:r>
        <w:t xml:space="preserve"> </w:t>
      </w:r>
      <w:r>
        <w:rPr>
          <w:iCs/>
          <w:i/>
        </w:rPr>
        <w:t xml:space="preserve">Numerical Ecology with R</w:t>
      </w:r>
      <w:r>
        <w:t xml:space="preserve"> </w:t>
      </w:r>
      <w:r>
        <w:t xml:space="preserve">(2nd ed.). Springer.</w:t>
      </w:r>
    </w:p>
    <w:p>
      <w:pPr>
        <w:numPr>
          <w:ilvl w:val="0"/>
          <w:numId w:val="1005"/>
        </w:numPr>
        <w:pStyle w:val="Compact"/>
      </w:pPr>
      <w:r>
        <w:t xml:space="preserve">Dormann, C. F., et al. (2013). Collinearity: a review of methods to deal with it and a simulation study evaluating their performance.</w:t>
      </w:r>
      <w:r>
        <w:t xml:space="preserve"> </w:t>
      </w:r>
      <w:r>
        <w:rPr>
          <w:iCs/>
          <w:i/>
        </w:rPr>
        <w:t xml:space="preserve">Ecography</w:t>
      </w:r>
      <w:r>
        <w:t xml:space="preserve">, 36(1), 27-46.</w:t>
      </w:r>
    </w:p>
    <w:p>
      <w:pPr>
        <w:numPr>
          <w:ilvl w:val="0"/>
          <w:numId w:val="1005"/>
        </w:numPr>
        <w:pStyle w:val="Compact"/>
      </w:pPr>
      <w:r>
        <w:t xml:space="preserve">Legendre, P., &amp; Legendre, L. (2012).</w:t>
      </w:r>
      <w:r>
        <w:t xml:space="preserve"> </w:t>
      </w:r>
      <w:r>
        <w:rPr>
          <w:iCs/>
          <w:i/>
        </w:rPr>
        <w:t xml:space="preserve">Numerical Ecology</w:t>
      </w:r>
      <w:r>
        <w:t xml:space="preserve"> </w:t>
      </w:r>
      <w:r>
        <w:t xml:space="preserve">(3rd ed.). Elsevier.</w:t>
      </w:r>
    </w:p>
    <w:p>
      <w:pPr>
        <w:numPr>
          <w:ilvl w:val="0"/>
          <w:numId w:val="1005"/>
        </w:numPr>
        <w:pStyle w:val="Compact"/>
      </w:pPr>
      <w:r>
        <w:t xml:space="preserve">Wood, S. N. (2017).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 </w:t>
      </w:r>
      <w:r>
        <w:t xml:space="preserve">(2nd ed.). CRC Press.</w:t>
      </w:r>
    </w:p>
    <w:p>
      <w:pPr>
        <w:numPr>
          <w:ilvl w:val="0"/>
          <w:numId w:val="1005"/>
        </w:numPr>
        <w:pStyle w:val="Compact"/>
      </w:pPr>
      <w:r>
        <w:t xml:space="preserve">Zuur, A. F., Ieno, E. N., Walker, N., Saveliev, A. A., &amp; Smith, G. M. (2009).</w:t>
      </w:r>
      <w:r>
        <w:t xml:space="preserve"> </w:t>
      </w:r>
      <w:r>
        <w:rPr>
          <w:iCs/>
          <w:i/>
        </w:rPr>
        <w:t xml:space="preserve">Mixed Effects Models and Extensions in Ecology with R</w:t>
      </w:r>
      <w:r>
        <w:t xml:space="preserve">. Springer.</w:t>
      </w:r>
    </w:p>
    <w:p>
      <w:r>
        <w:pict>
          <v:rect style="width:0;height:1.5pt" o:hralign="center" o:hrstd="t" o:hr="t"/>
        </w:pict>
      </w:r>
    </w:p>
    <w:bookmarkEnd w:id="30"/>
    <w:bookmarkStart w:id="31" w:name="note-finale"/>
    <w:p>
      <w:pPr>
        <w:pStyle w:val="Heading2"/>
      </w:pPr>
      <w:r>
        <w:t xml:space="preserve">Note Finale</w:t>
      </w:r>
    </w:p>
    <w:p>
      <w:pPr>
        <w:pStyle w:val="FirstParagraph"/>
      </w:pPr>
      <w:r>
        <w:rPr>
          <w:bCs/>
          <w:b/>
        </w:rPr>
        <w:t xml:space="preserve">Note globale : 8/10</w:t>
      </w:r>
    </w:p>
    <w:p>
      <w:pPr>
        <w:pStyle w:val="BodyText"/>
      </w:pPr>
      <w:r>
        <w:t xml:space="preserve">Cette soumission démontre une excellente maîtrise des méthodes d’écologie numérique. L’approche multi-modèles est rigoureuse, le code est reproductible et bien documenté. Les principales améliorations possibles concernent l’interprétation écologique et la quantification des incertitudes prédictives.</w:t>
      </w:r>
    </w:p>
    <w:p>
      <w:r>
        <w:pict>
          <v:rect style="width:0;height:1.5pt" o:hralign="center" o:hrstd="t" o:hr="t"/>
        </w:pict>
      </w:r>
    </w:p>
    <w:bookmarkEnd w:id="31"/>
    <w:bookmarkStart w:id="32" w:name="détection-ia"/>
    <w:p>
      <w:pPr>
        <w:pStyle w:val="Heading2"/>
      </w:pPr>
      <w:r>
        <w:t xml:space="preserve">Détection IA</w:t>
      </w:r>
    </w:p>
    <w:p>
      <w:pPr>
        <w:pStyle w:val="FirstParagraph"/>
      </w:pPr>
      <w:r>
        <w:rPr>
          <w:bCs/>
          <w:b/>
        </w:rPr>
        <w:t xml:space="preserve">Score : 0</w:t>
      </w:r>
    </w:p>
    <w:p>
      <w:pPr>
        <w:pStyle w:val="BodyText"/>
      </w:pPr>
      <w:r>
        <w:t xml:space="preserve">Le script présente des caractéristiques typiques d’un travail humain : commentaires en français avec style personnel, progression logique mais avec quelques redondances, et utilisation de workflows mixtes (caret et mlr3). La structure montre une réflexion itérative plutôt qu’une génération automatique.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2026-01-16T15:52:35Z</dcterms:created>
  <dcterms:modified xsi:type="dcterms:W3CDTF">2026-01-16T15:52:35Z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