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319623e703b660df5c601f8b1ecef31b28f19a"/>
    <w:p>
      <w:pPr>
        <w:pStyle w:val="Heading1"/>
      </w:pPr>
      <w:r>
        <w:t xml:space="preserve">Rapport d’Évaluation - Équipe QRJG - Solution 4</w:t>
      </w:r>
    </w:p>
    <w:bookmarkStart w:id="20" w:name="résumé-de-lévaluation"/>
    <w:p>
      <w:pPr>
        <w:pStyle w:val="Heading2"/>
      </w:pPr>
      <w:r>
        <w:t xml:space="preserve">1. Résumé de l’Évaluation</w:t>
      </w:r>
    </w:p>
    <w:p>
      <w:pPr>
        <w:pStyle w:val="FirstParagraph"/>
      </w:pPr>
      <w:r>
        <w:t xml:space="preserve">L’équipe QRJG a présenté une solution innovante utilisant le Mixed Effects Random Forest (MERF) via le package {LongituRF}. Cette approche hybride combine la flexibilité des forêts aléatoires avec la prise en compte des effets aléatoires, ce qui est particulièrement pertinent pour des données écologiques hiérarchiques. Le script est bien structuré et démontre une compréhension avancée des enjeux méthodologiques.</w:t>
      </w:r>
    </w:p>
    <w:p>
      <w:r>
        <w:pict>
          <v:rect style="width:0;height:1.5pt" o:hralign="center" o:hrstd="t" o:hr="t"/>
        </w:pict>
      </w:r>
    </w:p>
    <w:bookmarkEnd w:id="20"/>
    <w:bookmarkStart w:id="21" w:name="tableau-des-scores-critères-c1-c5"/>
    <w:p>
      <w:pPr>
        <w:pStyle w:val="Heading2"/>
      </w:pPr>
      <w:r>
        <w:t xml:space="preserve">2. Tableau des Scores (Critères C1-C5)</w:t>
      </w:r>
    </w:p>
    <w:tbl>
      <w:tblPr>
        <w:tblStyle w:val="Table"/>
        <w:tblW w:type="pct" w:w="5000"/>
        <w:tblLook w:firstRow="1" w:lastRow="0" w:firstColumn="0" w:lastColumn="0" w:noHBand="0" w:noVBand="0" w:val="0020"/>
        <w:jc w:val="start"/>
      </w:tblPr>
      <w:tblGrid>
        <w:gridCol w:w="2457"/>
        <w:gridCol w:w="1911"/>
        <w:gridCol w:w="3550"/>
      </w:tblGrid>
      <w:tr>
        <w:trPr>
          <w:tblHeader w:val="true"/>
        </w:trPr>
        <w:tc>
          <w:tcPr/>
          <w:p>
            <w:pPr>
              <w:pStyle w:val="Compact"/>
              <w:jc w:val="left"/>
            </w:pPr>
            <w:r>
              <w:t xml:space="preserve">Critère</w:t>
            </w:r>
          </w:p>
        </w:tc>
        <w:tc>
          <w:tcPr/>
          <w:p>
            <w:pPr>
              <w:pStyle w:val="Compact"/>
              <w:jc w:val="left"/>
            </w:pPr>
            <w:r>
              <w:t xml:space="preserve">Score</w:t>
            </w:r>
          </w:p>
        </w:tc>
        <w:tc>
          <w:tcPr/>
          <w:p>
            <w:pPr>
              <w:pStyle w:val="Compact"/>
              <w:jc w:val="left"/>
            </w:pPr>
            <w:r>
              <w:t xml:space="preserve">Description</w:t>
            </w:r>
          </w:p>
        </w:tc>
      </w:tr>
      <w:tr>
        <w:tc>
          <w:tcPr/>
          <w:p>
            <w:pPr>
              <w:pStyle w:val="Compact"/>
              <w:jc w:val="left"/>
            </w:pPr>
            <w:r>
              <w:rPr>
                <w:bCs/>
                <w:b/>
              </w:rPr>
              <w:t xml:space="preserve">C1</w:t>
            </w:r>
            <w:r>
              <w:t xml:space="preserve"> </w:t>
            </w:r>
            <w:r>
              <w:t xml:space="preserve">- Analyse techniquement correcte et choix justifiés</w:t>
            </w:r>
          </w:p>
        </w:tc>
        <w:tc>
          <w:tcPr/>
          <w:p>
            <w:pPr>
              <w:pStyle w:val="Compact"/>
              <w:jc w:val="left"/>
            </w:pPr>
            <w:r>
              <w:t xml:space="preserve">4</w:t>
            </w:r>
          </w:p>
        </w:tc>
        <w:tc>
          <w:tcPr/>
          <w:p>
            <w:pPr>
              <w:pStyle w:val="Compact"/>
              <w:jc w:val="left"/>
            </w:pPr>
            <w:r>
              <w:t xml:space="preserve">L’utilisation de MERF est un excellent choix pour combiner machine learning et structure hiérarchique. La validation train/test (80/20) est appropriée. Calcul du RMSE et R² de validation.</w:t>
            </w:r>
          </w:p>
        </w:tc>
      </w:tr>
      <w:tr>
        <w:tc>
          <w:tcPr/>
          <w:p>
            <w:pPr>
              <w:pStyle w:val="Compact"/>
              <w:jc w:val="left"/>
            </w:pPr>
            <w:r>
              <w:rPr>
                <w:bCs/>
                <w:b/>
              </w:rPr>
              <w:t xml:space="preserve">C2</w:t>
            </w:r>
            <w:r>
              <w:t xml:space="preserve"> </w:t>
            </w:r>
            <w:r>
              <w:t xml:space="preserve">- Code reproductible et lisible</w:t>
            </w:r>
          </w:p>
        </w:tc>
        <w:tc>
          <w:tcPr/>
          <w:p>
            <w:pPr>
              <w:pStyle w:val="Compact"/>
              <w:jc w:val="left"/>
            </w:pPr>
            <w:r>
              <w:t xml:space="preserve">4</w:t>
            </w:r>
          </w:p>
        </w:tc>
        <w:tc>
          <w:tcPr/>
          <w:p>
            <w:pPr>
              <w:pStyle w:val="Compact"/>
              <w:jc w:val="left"/>
            </w:pPr>
            <w:r>
              <w:t xml:space="preserve">Script bien organisé avec sections claires.</w:t>
            </w:r>
            <w:r>
              <w:t xml:space="preserve"> </w:t>
            </w:r>
            <w:r>
              <w:rPr>
                <w:rStyle w:val="VerbatimChar"/>
              </w:rPr>
              <w:t xml:space="preserve">set.seed(123)</w:t>
            </w:r>
            <w:r>
              <w:t xml:space="preserve"> </w:t>
            </w:r>
            <w:r>
              <w:t xml:space="preserve">garantit la reproductibilité. Quelques sections de code commenté (imputation) pourraient être clarifiées.</w:t>
            </w:r>
          </w:p>
        </w:tc>
      </w:tr>
      <w:tr>
        <w:tc>
          <w:tcPr/>
          <w:p>
            <w:pPr>
              <w:pStyle w:val="Compact"/>
              <w:jc w:val="left"/>
            </w:pPr>
            <w:r>
              <w:rPr>
                <w:bCs/>
                <w:b/>
              </w:rPr>
              <w:t xml:space="preserve">C3</w:t>
            </w:r>
            <w:r>
              <w:t xml:space="preserve"> </w:t>
            </w:r>
            <w:r>
              <w:t xml:space="preserve">- Transparence sur les incertitudes et limitations</w:t>
            </w:r>
          </w:p>
        </w:tc>
        <w:tc>
          <w:tcPr/>
          <w:p>
            <w:pPr>
              <w:pStyle w:val="Compact"/>
              <w:jc w:val="left"/>
            </w:pPr>
            <w:r>
              <w:t xml:space="preserve">3</w:t>
            </w:r>
          </w:p>
        </w:tc>
        <w:tc>
          <w:tcPr/>
          <w:p>
            <w:pPr>
              <w:pStyle w:val="Compact"/>
              <w:jc w:val="left"/>
            </w:pPr>
            <w:r>
              <w:t xml:space="preserve">Le R² de validation est calculé et rapporté, mais aucune discussion sur l’incertitude des prédictions ou les limitations du modèle MERF.</w:t>
            </w:r>
          </w:p>
        </w:tc>
      </w:tr>
      <w:tr>
        <w:tc>
          <w:tcPr/>
          <w:p>
            <w:pPr>
              <w:pStyle w:val="Compact"/>
              <w:jc w:val="left"/>
            </w:pPr>
            <w:r>
              <w:rPr>
                <w:bCs/>
                <w:b/>
              </w:rPr>
              <w:t xml:space="preserve">C4</w:t>
            </w:r>
            <w:r>
              <w:t xml:space="preserve"> </w:t>
            </w:r>
            <w:r>
              <w:t xml:space="preserve">- Interprétations et conclusions claires et supportées</w:t>
            </w:r>
          </w:p>
        </w:tc>
        <w:tc>
          <w:tcPr/>
          <w:p>
            <w:pPr>
              <w:pStyle w:val="Compact"/>
              <w:jc w:val="left"/>
            </w:pPr>
            <w:r>
              <w:t xml:space="preserve">4</w:t>
            </w:r>
          </w:p>
        </w:tc>
        <w:tc>
          <w:tcPr/>
          <w:p>
            <w:pPr>
              <w:pStyle w:val="Compact"/>
              <w:jc w:val="left"/>
            </w:pPr>
            <w:r>
              <w:t xml:space="preserve">L’importance relative des variables est calculée et visualisée. Le graphique observé vs prédit est une bonne pratique.</w:t>
            </w:r>
          </w:p>
        </w:tc>
      </w:tr>
      <w:tr>
        <w:tc>
          <w:tcPr/>
          <w:p>
            <w:pPr>
              <w:pStyle w:val="Compact"/>
              <w:jc w:val="left"/>
            </w:pPr>
            <w:r>
              <w:rPr>
                <w:bCs/>
                <w:b/>
              </w:rPr>
              <w:t xml:space="preserve">C5</w:t>
            </w:r>
            <w:r>
              <w:t xml:space="preserve"> </w:t>
            </w:r>
            <w:r>
              <w:t xml:space="preserve">- Analyse à la fine pointe de la technologie</w:t>
            </w:r>
          </w:p>
        </w:tc>
        <w:tc>
          <w:tcPr/>
          <w:p>
            <w:pPr>
              <w:pStyle w:val="Compact"/>
              <w:jc w:val="left"/>
            </w:pPr>
            <w:r>
              <w:t xml:space="preserve">5</w:t>
            </w:r>
          </w:p>
        </w:tc>
        <w:tc>
          <w:tcPr/>
          <w:p>
            <w:pPr>
              <w:pStyle w:val="Compact"/>
              <w:jc w:val="left"/>
            </w:pPr>
            <w:r>
              <w:t xml:space="preserve">MERF est une méthode de pointe pour la modélisation de données longitudinales/hiérarchiques avec machine learning (Hajjem et al., 2014). Excellente utilisation des avancées méthodologiques récentes.</w:t>
            </w:r>
          </w:p>
        </w:tc>
      </w:tr>
    </w:tbl>
    <w:p>
      <w:pPr>
        <w:pStyle w:val="BodyText"/>
      </w:pPr>
      <w:r>
        <w:rPr>
          <w:bCs/>
          <w:b/>
        </w:rPr>
        <w:t xml:space="preserve">Score moyen pondéré</w:t>
      </w:r>
      <w:r>
        <w:t xml:space="preserve"> </w:t>
      </w:r>
      <w:r>
        <w:t xml:space="preserve">: 4.0/5</w:t>
      </w:r>
    </w:p>
    <w:p>
      <w:r>
        <w:pict>
          <v:rect style="width:0;height:1.5pt" o:hralign="center" o:hrstd="t" o:hr="t"/>
        </w:pict>
      </w:r>
    </w:p>
    <w:bookmarkEnd w:id="21"/>
    <w:bookmarkStart w:id="25" w:name="X9cccc80af8e55f5976fbafc0af97f5a1a472834"/>
    <w:p>
      <w:pPr>
        <w:pStyle w:val="Heading2"/>
      </w:pPr>
      <w:r>
        <w:t xml:space="preserve">3. Commentaires Détaillés sur la Rigueur Scientifique</w:t>
      </w:r>
    </w:p>
    <w:bookmarkStart w:id="22" w:name="points-positifs"/>
    <w:p>
      <w:pPr>
        <w:pStyle w:val="Heading3"/>
      </w:pPr>
      <w:r>
        <w:t xml:space="preserve">Points Positifs</w:t>
      </w:r>
    </w:p>
    <w:p>
      <w:pPr>
        <w:numPr>
          <w:ilvl w:val="0"/>
          <w:numId w:val="1001"/>
        </w:numPr>
      </w:pPr>
      <w:r>
        <w:rPr>
          <w:bCs/>
          <w:b/>
        </w:rPr>
        <w:t xml:space="preserve">Choix méthodologique innovant</w:t>
      </w:r>
      <w:r>
        <w:t xml:space="preserve"> </w:t>
      </w:r>
      <w:r>
        <w:t xml:space="preserve">: Le MERF (Mixed Effects Random Forest) est une méthode récente qui combine les avantages des forêts aléatoires (flexibilité, gestion des interactions) avec les modèles mixtes (prise en compte de la structure de corrélation). C’est une approche particulièrement adaptée aux données écologiques hiérarchiques (Hajjem et al., 2014).</w:t>
      </w:r>
    </w:p>
    <w:p>
      <w:pPr>
        <w:numPr>
          <w:ilvl w:val="0"/>
          <w:numId w:val="1001"/>
        </w:numPr>
      </w:pPr>
      <w:r>
        <w:rPr>
          <w:bCs/>
          <w:b/>
        </w:rPr>
        <w:t xml:space="preserve">Construction appropriée de l’identifiant de groupe</w:t>
      </w:r>
      <w:r>
        <w:t xml:space="preserve"> </w:t>
      </w:r>
      <w:r>
        <w:t xml:space="preserve">: La création de</w:t>
      </w:r>
      <w:r>
        <w:t xml:space="preserve"> </w:t>
      </w:r>
      <w:r>
        <w:rPr>
          <w:rStyle w:val="VerbatimChar"/>
        </w:rPr>
        <w:t xml:space="preserve">id_merf = interaction(city_id, park_id)</w:t>
      </w:r>
      <w:r>
        <w:t xml:space="preserve"> </w:t>
      </w:r>
      <w:r>
        <w:t xml:space="preserve">capture correctement la structure imbriquée des données.</w:t>
      </w:r>
    </w:p>
    <w:p>
      <w:pPr>
        <w:numPr>
          <w:ilvl w:val="0"/>
          <w:numId w:val="1001"/>
        </w:numPr>
      </w:pPr>
      <w:r>
        <w:rPr>
          <w:bCs/>
          <w:b/>
        </w:rPr>
        <w:t xml:space="preserve">Validation externe</w:t>
      </w:r>
      <w:r>
        <w:t xml:space="preserve"> </w:t>
      </w:r>
      <w:r>
        <w:t xml:space="preserve">: Le split train/test (80/20) avec évaluation sur données non vues est une pratique essentielle. Le calcul du RMSE et R² sur le jeu de test fournit une estimation honnête de la performance prédictive.</w:t>
      </w:r>
    </w:p>
    <w:p>
      <w:pPr>
        <w:numPr>
          <w:ilvl w:val="0"/>
          <w:numId w:val="1001"/>
        </w:numPr>
      </w:pPr>
      <w:r>
        <w:rPr>
          <w:bCs/>
          <w:b/>
        </w:rPr>
        <w:t xml:space="preserve">Importance des variables</w:t>
      </w:r>
      <w:r>
        <w:t xml:space="preserve"> </w:t>
      </w:r>
      <w:r>
        <w:t xml:space="preserve">: Le calcul de l’importance relative des prédicteurs permet d’identifier les variables les plus influentes sur l’index de santé.</w:t>
      </w:r>
    </w:p>
    <w:p>
      <w:pPr>
        <w:numPr>
          <w:ilvl w:val="0"/>
          <w:numId w:val="1001"/>
        </w:numPr>
      </w:pPr>
      <w:r>
        <w:rPr>
          <w:bCs/>
          <w:b/>
        </w:rPr>
        <w:t xml:space="preserve">Paramétrage raisonnable</w:t>
      </w:r>
      <w:r>
        <w:t xml:space="preserve"> </w:t>
      </w:r>
      <w:r>
        <w:t xml:space="preserve">:</w:t>
      </w:r>
      <w:r>
        <w:t xml:space="preserve"> </w:t>
      </w:r>
      <w:r>
        <w:rPr>
          <w:rStyle w:val="VerbatimChar"/>
        </w:rPr>
        <w:t xml:space="preserve">ntree = 500</w:t>
      </w:r>
      <w:r>
        <w:t xml:space="preserve">,</w:t>
      </w:r>
      <w:r>
        <w:t xml:space="preserve"> </w:t>
      </w:r>
      <w:r>
        <w:rPr>
          <w:rStyle w:val="VerbatimChar"/>
        </w:rPr>
        <w:t xml:space="preserve">mtry = ceiling(ncol(X)/3)</w:t>
      </w:r>
      <w:r>
        <w:t xml:space="preserve">, et</w:t>
      </w:r>
      <w:r>
        <w:t xml:space="preserve"> </w:t>
      </w:r>
      <w:r>
        <w:rPr>
          <w:rStyle w:val="VerbatimChar"/>
        </w:rPr>
        <w:t xml:space="preserve">iter = 100</w:t>
      </w:r>
      <w:r>
        <w:t xml:space="preserve"> </w:t>
      </w:r>
      <w:r>
        <w:t xml:space="preserve">sont des choix de paramètres raisonnables pour le MERF.</w:t>
      </w:r>
    </w:p>
    <w:bookmarkEnd w:id="22"/>
    <w:bookmarkStart w:id="23" w:name="points-à-améliorer"/>
    <w:p>
      <w:pPr>
        <w:pStyle w:val="Heading3"/>
      </w:pPr>
      <w:r>
        <w:t xml:space="preserve">Points à Améliorer</w:t>
      </w:r>
    </w:p>
    <w:p>
      <w:pPr>
        <w:numPr>
          <w:ilvl w:val="0"/>
          <w:numId w:val="1002"/>
        </w:numPr>
      </w:pPr>
      <w:r>
        <w:rPr>
          <w:bCs/>
          <w:b/>
        </w:rPr>
        <w:t xml:space="preserve">Gestion des valeurs manquantes</w:t>
      </w:r>
      <w:r>
        <w:t xml:space="preserve"> </w:t>
      </w:r>
      <w:r>
        <w:t xml:space="preserve">: Le code utilise</w:t>
      </w:r>
      <w:r>
        <w:t xml:space="preserve"> </w:t>
      </w:r>
      <w:r>
        <w:rPr>
          <w:rStyle w:val="VerbatimChar"/>
        </w:rPr>
        <w:t xml:space="preserve">drop_na()</w:t>
      </w:r>
      <w:r>
        <w:t xml:space="preserve"> </w:t>
      </w:r>
      <w:r>
        <w:t xml:space="preserve">mais une section commentée montre une tentative d’imputation par</w:t>
      </w:r>
      <w:r>
        <w:t xml:space="preserve"> </w:t>
      </w:r>
      <w:r>
        <w:rPr>
          <w:rStyle w:val="VerbatimChar"/>
        </w:rPr>
        <w:t xml:space="preserve">mice</w:t>
      </w:r>
      <w:r>
        <w:t xml:space="preserve"> </w:t>
      </w:r>
      <w:r>
        <w:t xml:space="preserve">abandonnée. La décision de supprimer les NA plutôt que d’imputer mériterait une justification, surtout si les NA ne sont pas MCAR.</w:t>
      </w:r>
    </w:p>
    <w:p>
      <w:pPr>
        <w:numPr>
          <w:ilvl w:val="0"/>
          <w:numId w:val="1002"/>
        </w:numPr>
      </w:pPr>
      <w:r>
        <w:rPr>
          <w:bCs/>
          <w:b/>
        </w:rPr>
        <w:t xml:space="preserve">Validation croisée absente</w:t>
      </w:r>
      <w:r>
        <w:t xml:space="preserve"> </w:t>
      </w:r>
      <w:r>
        <w:t xml:space="preserve">: Un simple split train/test peut donner des résultats instables. Une validation croisée k-fold aurait fourni une estimation plus robuste de la performance.</w:t>
      </w:r>
    </w:p>
    <w:p>
      <w:pPr>
        <w:numPr>
          <w:ilvl w:val="0"/>
          <w:numId w:val="1002"/>
        </w:numPr>
      </w:pPr>
      <w:r>
        <w:rPr>
          <w:bCs/>
          <w:b/>
        </w:rPr>
        <w:t xml:space="preserve">Effets aléatoires limités</w:t>
      </w:r>
      <w:r>
        <w:t xml:space="preserve"> </w:t>
      </w:r>
      <w:r>
        <w:t xml:space="preserve">: Seul un intercept aléatoire est utilisé (</w:t>
      </w:r>
      <w:r>
        <w:rPr>
          <w:rStyle w:val="VerbatimChar"/>
        </w:rPr>
        <w:t xml:space="preserve">Z = matrix(1, ...)</w:t>
      </w:r>
      <w:r>
        <w:t xml:space="preserve">). L’exploration de pentes aléatoires pour certaines variables pourrait améliorer le modèle.</w:t>
      </w:r>
    </w:p>
    <w:p>
      <w:pPr>
        <w:numPr>
          <w:ilvl w:val="0"/>
          <w:numId w:val="1002"/>
        </w:numPr>
      </w:pPr>
      <w:r>
        <w:rPr>
          <w:bCs/>
          <w:b/>
        </w:rPr>
        <w:t xml:space="preserve">Interprétation écologique</w:t>
      </w:r>
      <w:r>
        <w:t xml:space="preserve"> </w:t>
      </w:r>
      <w:r>
        <w:t xml:space="preserve">: Le script reste très technique sans discussion des implications biologiques des résultats (quelles variables sont les plus importantes et pourquoi?).</w:t>
      </w:r>
    </w:p>
    <w:bookmarkEnd w:id="23"/>
    <w:bookmarkStart w:id="24" w:name="considérations-techniques"/>
    <w:p>
      <w:pPr>
        <w:pStyle w:val="Heading3"/>
      </w:pPr>
      <w:r>
        <w:t xml:space="preserve">Considérations Techniques</w:t>
      </w:r>
    </w:p>
    <w:p>
      <w:pPr>
        <w:pStyle w:val="FirstParagraph"/>
      </w:pPr>
      <w:r>
        <w:t xml:space="preserve">Le code de prédiction pour de nouveaux individus est complexe et géré correctement :</w:t>
      </w:r>
      <w:r>
        <w:t xml:space="preserve"> </w:t>
      </w:r>
      <w:r>
        <w:t xml:space="preserve">- Les effets fixes sont prédits via le Random Forest</w:t>
      </w:r>
      <w:r>
        <w:t xml:space="preserve"> </w:t>
      </w:r>
      <w:r>
        <w:t xml:space="preserve">- Les effets aléatoires sont récupérés pour les groupes connus et fixés à 0 pour les nouveaux groupes</w:t>
      </w:r>
    </w:p>
    <w:p>
      <w:pPr>
        <w:pStyle w:val="BodyText"/>
      </w:pPr>
      <w:r>
        <w:t xml:space="preserve">Cette approche est conforme aux recommandations de la littérature sur le MERF.</w:t>
      </w:r>
    </w:p>
    <w:p>
      <w:r>
        <w:pict>
          <v:rect style="width:0;height:1.5pt" o:hralign="center" o:hrstd="t" o:hr="t"/>
        </w:pict>
      </w:r>
    </w:p>
    <w:bookmarkEnd w:id="24"/>
    <w:bookmarkEnd w:id="25"/>
    <w:bookmarkStart w:id="29" w:name="analyse-technique-du-code-r"/>
    <w:p>
      <w:pPr>
        <w:pStyle w:val="Heading2"/>
      </w:pPr>
      <w:r>
        <w:t xml:space="preserve">4. Analyse Technique du Code R</w:t>
      </w:r>
    </w:p>
    <w:bookmarkStart w:id="26" w:name="points-forts"/>
    <w:p>
      <w:pPr>
        <w:pStyle w:val="Heading3"/>
      </w:pPr>
      <w:r>
        <w:t xml:space="preserve">Points Forts</w:t>
      </w:r>
    </w:p>
    <w:p>
      <w:pPr>
        <w:numPr>
          <w:ilvl w:val="0"/>
          <w:numId w:val="1003"/>
        </w:numPr>
      </w:pPr>
      <w:r>
        <w:rPr>
          <w:bCs/>
          <w:b/>
        </w:rPr>
        <w:t xml:space="preserve">Utilisation correcte de LongituRF</w:t>
      </w:r>
      <w:r>
        <w:t xml:space="preserve"> </w:t>
      </w:r>
      <w:r>
        <w:t xml:space="preserve">: La fonction</w:t>
      </w:r>
      <w:r>
        <w:t xml:space="preserve"> </w:t>
      </w:r>
      <w:r>
        <w:rPr>
          <w:rStyle w:val="VerbatimChar"/>
        </w:rPr>
        <w:t xml:space="preserve">MERF()</w:t>
      </w:r>
      <w:r>
        <w:t xml:space="preserve"> </w:t>
      </w:r>
      <w:r>
        <w:t xml:space="preserve">est appelée avec les paramètres appropriés (X, Y, id, Z, time).</w:t>
      </w:r>
    </w:p>
    <w:p>
      <w:pPr>
        <w:numPr>
          <w:ilvl w:val="0"/>
          <w:numId w:val="1003"/>
        </w:numPr>
      </w:pPr>
      <w:r>
        <w:rPr>
          <w:bCs/>
          <w:b/>
        </w:rPr>
        <w:t xml:space="preserve">Calcul manuel des métriques</w:t>
      </w:r>
      <w:r>
        <w:t xml:space="preserve"> </w:t>
      </w:r>
      <w:r>
        <w:t xml:space="preserve">: Le calcul explicite du RMSE et R² sur le jeu de test est correct :</w:t>
      </w:r>
    </w:p>
    <w:p>
      <w:pPr>
        <w:pStyle w:val="SourceCode"/>
      </w:pPr>
      <w:r>
        <w:rPr>
          <w:rStyle w:val="NormalTok"/>
        </w:rPr>
        <w:t xml:space="preserve">rmse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((pred_test </w:t>
      </w:r>
      <w:r>
        <w:rPr>
          <w:rStyle w:val="SpecialCharTok"/>
        </w:rPr>
        <w:t xml:space="preserve">-</w:t>
      </w:r>
      <w:r>
        <w:rPr>
          <w:rStyle w:val="NormalTok"/>
        </w:rPr>
        <w:t xml:space="preserve"> Y_test)</w:t>
      </w:r>
      <w:r>
        <w:rPr>
          <w:rStyle w:val="SpecialCharTok"/>
        </w:rPr>
        <w:t xml:space="preserve">^</w:t>
      </w:r>
      <w:r>
        <w:rPr>
          <w:rStyle w:val="DecValTok"/>
        </w:rPr>
        <w:t xml:space="preserve">2</w:t>
      </w:r>
      <w:r>
        <w:rPr>
          <w:rStyle w:val="NormalTok"/>
        </w:rPr>
        <w:t xml:space="preserve">))</w:t>
      </w:r>
      <w:r>
        <w:br/>
      </w:r>
      <w:r>
        <w:rPr>
          <w:rStyle w:val="NormalTok"/>
        </w:rPr>
        <w:t xml:space="preserve">r2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((pred_test </w:t>
      </w:r>
      <w:r>
        <w:rPr>
          <w:rStyle w:val="SpecialCharTok"/>
        </w:rPr>
        <w:t xml:space="preserve">-</w:t>
      </w:r>
      <w:r>
        <w:rPr>
          <w:rStyle w:val="NormalTok"/>
        </w:rPr>
        <w:t xml:space="preserve"> Y_test)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((Y_test </w:t>
      </w:r>
      <w:r>
        <w:rPr>
          <w:rStyle w:val="SpecialCharTok"/>
        </w:rPr>
        <w:t xml:space="preserve">-</w:t>
      </w:r>
      <w:r>
        <w:rPr>
          <w:rStyle w:val="NormalTok"/>
        </w:rPr>
        <w:t xml:space="preserve"> </w:t>
      </w:r>
      <w:r>
        <w:rPr>
          <w:rStyle w:val="FunctionTok"/>
        </w:rPr>
        <w:t xml:space="preserve">mean</w:t>
      </w:r>
      <w:r>
        <w:rPr>
          <w:rStyle w:val="NormalTok"/>
        </w:rPr>
        <w:t xml:space="preserve">(Y_test))</w:t>
      </w:r>
      <w:r>
        <w:rPr>
          <w:rStyle w:val="SpecialCharTok"/>
        </w:rPr>
        <w:t xml:space="preserve">^</w:t>
      </w:r>
      <w:r>
        <w:rPr>
          <w:rStyle w:val="DecValTok"/>
        </w:rPr>
        <w:t xml:space="preserve">2</w:t>
      </w:r>
      <w:r>
        <w:rPr>
          <w:rStyle w:val="NormalTok"/>
        </w:rPr>
        <w:t xml:space="preserve">)</w:t>
      </w:r>
    </w:p>
    <w:p>
      <w:pPr>
        <w:numPr>
          <w:ilvl w:val="0"/>
          <w:numId w:val="1004"/>
        </w:numPr>
      </w:pPr>
      <w:r>
        <w:rPr>
          <w:bCs/>
          <w:b/>
        </w:rPr>
        <w:t xml:space="preserve">Visualisation de l’importance</w:t>
      </w:r>
      <w:r>
        <w:t xml:space="preserve"> </w:t>
      </w:r>
      <w:r>
        <w:t xml:space="preserve">: Le graphique en barres de l’importance relative est clair et informatif.</w:t>
      </w:r>
    </w:p>
    <w:p>
      <w:pPr>
        <w:numPr>
          <w:ilvl w:val="0"/>
          <w:numId w:val="1004"/>
        </w:numPr>
      </w:pPr>
      <w:r>
        <w:rPr>
          <w:bCs/>
          <w:b/>
        </w:rPr>
        <w:t xml:space="preserve">Prédiction robuste</w:t>
      </w:r>
      <w:r>
        <w:t xml:space="preserve"> </w:t>
      </w:r>
      <w:r>
        <w:t xml:space="preserve">: La gestion des effets aléatoires pour de nouveaux groupes (fixés à 0) est implémentée correctement.</w:t>
      </w:r>
    </w:p>
    <w:bookmarkEnd w:id="26"/>
    <w:bookmarkStart w:id="27" w:name="points-faibles"/>
    <w:p>
      <w:pPr>
        <w:pStyle w:val="Heading3"/>
      </w:pPr>
      <w:r>
        <w:t xml:space="preserve">Points Faibles</w:t>
      </w:r>
    </w:p>
    <w:p>
      <w:pPr>
        <w:numPr>
          <w:ilvl w:val="0"/>
          <w:numId w:val="1005"/>
        </w:numPr>
      </w:pPr>
      <w:r>
        <w:rPr>
          <w:bCs/>
          <w:b/>
        </w:rPr>
        <w:t xml:space="preserve">Package {rsample}</w:t>
      </w:r>
      <w:r>
        <w:t xml:space="preserve"> </w:t>
      </w:r>
      <w:r>
        <w:t xml:space="preserve">: L’utilisation de</w:t>
      </w:r>
      <w:r>
        <w:t xml:space="preserve"> </w:t>
      </w:r>
      <w:r>
        <w:rPr>
          <w:rStyle w:val="VerbatimChar"/>
        </w:rPr>
        <w:t xml:space="preserve">initial_split()</w:t>
      </w:r>
      <w:r>
        <w:t xml:space="preserve"> </w:t>
      </w:r>
      <w:r>
        <w:t xml:space="preserve">de {rsample} est correcte, mais le split n’est pas stratifié par groupe, ce qui pourrait créer un déséquilibre.</w:t>
      </w:r>
    </w:p>
    <w:p>
      <w:pPr>
        <w:numPr>
          <w:ilvl w:val="0"/>
          <w:numId w:val="1005"/>
        </w:numPr>
      </w:pPr>
      <w:r>
        <w:rPr>
          <w:bCs/>
          <w:b/>
        </w:rPr>
        <w:t xml:space="preserve">Redondance dans les définitions</w:t>
      </w:r>
      <w:r>
        <w:t xml:space="preserve"> </w:t>
      </w:r>
      <w:r>
        <w:t xml:space="preserve">:</w:t>
      </w:r>
      <w:r>
        <w:t xml:space="preserve"> </w:t>
      </w:r>
      <w:r>
        <w:rPr>
          <w:rStyle w:val="VerbatimChar"/>
        </w:rPr>
        <w:t xml:space="preserve">fixed_vars</w:t>
      </w:r>
      <w:r>
        <w:t xml:space="preserve"> </w:t>
      </w:r>
      <w:r>
        <w:t xml:space="preserve">est défini plusieurs fois dans le script avec des ordres différents, ce qui peut prêter à confusion.</w:t>
      </w:r>
    </w:p>
    <w:p>
      <w:pPr>
        <w:numPr>
          <w:ilvl w:val="0"/>
          <w:numId w:val="1005"/>
        </w:numPr>
      </w:pPr>
      <w:r>
        <w:rPr>
          <w:bCs/>
          <w:b/>
        </w:rPr>
        <w:t xml:space="preserve">Suppression de l’environnement</w:t>
      </w:r>
      <w:r>
        <w:t xml:space="preserve"> </w:t>
      </w:r>
      <w:r>
        <w:t xml:space="preserve">:</w:t>
      </w:r>
      <w:r>
        <w:t xml:space="preserve"> </w:t>
      </w:r>
      <w:r>
        <w:rPr>
          <w:rStyle w:val="VerbatimChar"/>
        </w:rPr>
        <w:t xml:space="preserve">rm(list=ls())</w:t>
      </w:r>
      <w:r>
        <w:t xml:space="preserve"> </w:t>
      </w:r>
      <w:r>
        <w:t xml:space="preserve">au début du script peut être problématique s’il est exécuté dans une session partagée.</w:t>
      </w:r>
    </w:p>
    <w:bookmarkEnd w:id="27"/>
    <w:bookmarkStart w:id="28" w:name="extrait-de-code-notable"/>
    <w:p>
      <w:pPr>
        <w:pStyle w:val="Heading3"/>
      </w:pPr>
      <w:r>
        <w:t xml:space="preserve">Extrait de Code Notable</w:t>
      </w:r>
    </w:p>
    <w:p>
      <w:pPr>
        <w:pStyle w:val="SourceCode"/>
      </w:pPr>
      <w:r>
        <w:rPr>
          <w:rStyle w:val="CommentTok"/>
        </w:rPr>
        <w:t xml:space="preserve"># Excellent : MERF avec structure d'effets aléatoires</w:t>
      </w:r>
      <w:r>
        <w:br/>
      </w:r>
      <w:r>
        <w:rPr>
          <w:rStyle w:val="NormalTok"/>
        </w:rPr>
        <w:t xml:space="preserve">merf_fit </w:t>
      </w:r>
      <w:r>
        <w:rPr>
          <w:rStyle w:val="OtherTok"/>
        </w:rPr>
        <w:t xml:space="preserve">&lt;-</w:t>
      </w:r>
      <w:r>
        <w:rPr>
          <w:rStyle w:val="NormalTok"/>
        </w:rPr>
        <w:t xml:space="preserve"> </w:t>
      </w:r>
      <w:r>
        <w:rPr>
          <w:rStyle w:val="FunctionTok"/>
        </w:rPr>
        <w:t xml:space="preserve">MERF</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id =</w:t>
      </w:r>
      <w:r>
        <w:rPr>
          <w:rStyle w:val="NormalTok"/>
        </w:rPr>
        <w:t xml:space="preserve"> id_train,</w:t>
      </w:r>
      <w:r>
        <w:br/>
      </w:r>
      <w:r>
        <w:rPr>
          <w:rStyle w:val="NormalTok"/>
        </w:rPr>
        <w:t xml:space="preserve">  </w:t>
      </w:r>
      <w:r>
        <w:rPr>
          <w:rStyle w:val="AttributeTok"/>
        </w:rPr>
        <w:t xml:space="preserve">Z =</w:t>
      </w:r>
      <w:r>
        <w:rPr>
          <w:rStyle w:val="NormalTok"/>
        </w:rPr>
        <w:t xml:space="preserve"> Z_train,</w:t>
      </w:r>
      <w:r>
        <w:br/>
      </w:r>
      <w:r>
        <w:rPr>
          <w:rStyle w:val="NormalTok"/>
        </w:rPr>
        <w:t xml:space="preserve">  </w:t>
      </w:r>
      <w:r>
        <w:rPr>
          <w:rStyle w:val="AttributeTok"/>
        </w:rPr>
        <w:t xml:space="preserve">iter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mtry =</w:t>
      </w:r>
      <w:r>
        <w:rPr>
          <w:rStyle w:val="NormalTok"/>
        </w:rPr>
        <w:t xml:space="preserve"> </w:t>
      </w:r>
      <w:r>
        <w:rPr>
          <w:rStyle w:val="FunctionTok"/>
        </w:rPr>
        <w:t xml:space="preserve">ceiling</w:t>
      </w:r>
      <w:r>
        <w:rPr>
          <w:rStyle w:val="NormalTok"/>
        </w:rPr>
        <w:t xml:space="preserve">(</w:t>
      </w:r>
      <w:r>
        <w:rPr>
          <w:rStyle w:val="FunctionTok"/>
        </w:rPr>
        <w:t xml:space="preserve">ncol</w:t>
      </w:r>
      <w:r>
        <w:rPr>
          <w:rStyle w:val="NormalTok"/>
        </w:rPr>
        <w:t xml:space="preserve">(X_train)</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ntree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 =</w:t>
      </w:r>
      <w:r>
        <w:rPr>
          <w:rStyle w:val="NormalTok"/>
        </w:rPr>
        <w:t xml:space="preserve"> time_train,</w:t>
      </w:r>
      <w:r>
        <w:br/>
      </w:r>
      <w:r>
        <w:rPr>
          <w:rStyle w:val="NormalTok"/>
        </w:rPr>
        <w:t xml:space="preserve">  </w:t>
      </w:r>
      <w:r>
        <w:rPr>
          <w:rStyle w:val="AttributeTok"/>
        </w:rPr>
        <w:t xml:space="preserve">sto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delta =</w:t>
      </w:r>
      <w:r>
        <w:rPr>
          <w:rStyle w:val="NormalTok"/>
        </w:rPr>
        <w:t xml:space="preserve"> </w:t>
      </w:r>
      <w:r>
        <w:rPr>
          <w:rStyle w:val="FloatTok"/>
        </w:rPr>
        <w:t xml:space="preserve">0.001</w:t>
      </w:r>
      <w:r>
        <w:br/>
      </w:r>
      <w:r>
        <w:rPr>
          <w:rStyle w:val="NormalTok"/>
        </w:rPr>
        <w:t xml:space="preserve">)</w:t>
      </w:r>
    </w:p>
    <w:p>
      <w:r>
        <w:pict>
          <v:rect style="width:0;height:1.5pt" o:hralign="center" o:hrstd="t" o:hr="t"/>
        </w:pict>
      </w:r>
    </w:p>
    <w:bookmarkEnd w:id="28"/>
    <w:bookmarkEnd w:id="29"/>
    <w:bookmarkStart w:id="30" w:name="références-citées"/>
    <w:p>
      <w:pPr>
        <w:pStyle w:val="Heading2"/>
      </w:pPr>
      <w:r>
        <w:t xml:space="preserve">5. Références Citées</w:t>
      </w:r>
    </w:p>
    <w:p>
      <w:pPr>
        <w:numPr>
          <w:ilvl w:val="0"/>
          <w:numId w:val="1006"/>
        </w:numPr>
        <w:pStyle w:val="Compact"/>
      </w:pPr>
      <w:r>
        <w:t xml:space="preserve">Hajjem, A., Bellavance, F., &amp; Larocque, D. (2014). Mixed-effects random forest for clustered data.</w:t>
      </w:r>
      <w:r>
        <w:t xml:space="preserve"> </w:t>
      </w:r>
      <w:r>
        <w:rPr>
          <w:iCs/>
          <w:i/>
        </w:rPr>
        <w:t xml:space="preserve">Journal of Statistical Computation and Simulation</w:t>
      </w:r>
      <w:r>
        <w:t xml:space="preserve">, 84(6), 1313-1328.</w:t>
      </w:r>
    </w:p>
    <w:p>
      <w:pPr>
        <w:numPr>
          <w:ilvl w:val="0"/>
          <w:numId w:val="1006"/>
        </w:numPr>
        <w:pStyle w:val="Compact"/>
      </w:pPr>
      <w:r>
        <w:t xml:space="preserve">Legendre, P., &amp; Legendre, L. (2012).</w:t>
      </w:r>
      <w:r>
        <w:t xml:space="preserve"> </w:t>
      </w:r>
      <w:r>
        <w:rPr>
          <w:iCs/>
          <w:i/>
        </w:rPr>
        <w:t xml:space="preserve">Numerical Ecology</w:t>
      </w:r>
      <w:r>
        <w:t xml:space="preserve"> </w:t>
      </w:r>
      <w:r>
        <w:t xml:space="preserve">(3rd ed.). Elsevier.</w:t>
      </w:r>
    </w:p>
    <w:p>
      <w:pPr>
        <w:numPr>
          <w:ilvl w:val="0"/>
          <w:numId w:val="1006"/>
        </w:numPr>
        <w:pStyle w:val="Compact"/>
      </w:pPr>
      <w:r>
        <w:t xml:space="preserve">Breiman, L. (2001). Random Forests.</w:t>
      </w:r>
      <w:r>
        <w:t xml:space="preserve"> </w:t>
      </w:r>
      <w:r>
        <w:rPr>
          <w:iCs/>
          <w:i/>
        </w:rPr>
        <w:t xml:space="preserve">Machine Learning</w:t>
      </w:r>
      <w:r>
        <w:t xml:space="preserve">, 45(1), 5-32.</w:t>
      </w:r>
    </w:p>
    <w:p>
      <w:r>
        <w:pict>
          <v:rect style="width:0;height:1.5pt" o:hralign="center" o:hrstd="t" o:hr="t"/>
        </w:pict>
      </w:r>
    </w:p>
    <w:bookmarkEnd w:id="30"/>
    <w:bookmarkStart w:id="31" w:name="note-finale"/>
    <w:p>
      <w:pPr>
        <w:pStyle w:val="Heading2"/>
      </w:pPr>
      <w:r>
        <w:t xml:space="preserve">Note Finale</w:t>
      </w:r>
    </w:p>
    <w:p>
      <w:pPr>
        <w:pStyle w:val="FirstParagraph"/>
      </w:pPr>
      <w:r>
        <w:rPr>
          <w:bCs/>
          <w:b/>
        </w:rPr>
        <w:t xml:space="preserve">Note globale : 8/10</w:t>
      </w:r>
    </w:p>
    <w:p>
      <w:pPr>
        <w:pStyle w:val="BodyText"/>
      </w:pPr>
      <w:r>
        <w:t xml:space="preserve">Cette solution démontre une excellente maîtrise des méthodes avancées de modélisation. L’utilisation de MERF est particulièrement appropriée et innovante pour ce type de données. Les principales améliorations concernent la validation croisée et l’interprétation écologique des résultats.</w:t>
      </w:r>
    </w:p>
    <w:p>
      <w:r>
        <w:pict>
          <v:rect style="width:0;height:1.5pt" o:hralign="center" o:hrstd="t" o:hr="t"/>
        </w:pict>
      </w:r>
    </w:p>
    <w:bookmarkEnd w:id="31"/>
    <w:bookmarkStart w:id="32" w:name="détection-ia"/>
    <w:p>
      <w:pPr>
        <w:pStyle w:val="Heading2"/>
      </w:pPr>
      <w:r>
        <w:t xml:space="preserve">Détection IA</w:t>
      </w:r>
    </w:p>
    <w:p>
      <w:pPr>
        <w:pStyle w:val="FirstParagraph"/>
      </w:pPr>
      <w:r>
        <w:rPr>
          <w:bCs/>
          <w:b/>
        </w:rPr>
        <w:t xml:space="preserve">Score : 1</w:t>
      </w:r>
    </w:p>
    <w:p>
      <w:pPr>
        <w:pStyle w:val="BodyText"/>
      </w:pPr>
      <w:r>
        <w:t xml:space="preserve">Le code présente une structure très méthodique avec des sections parfaitement délimitées et des commentaires en français grammaticalement corrects. La gestion complexe des effets aléatoires pour la prédiction suggère une assistance d’IA ou une expertise avancée. Le style de code est cohérent tout au long du script, ce qui est caractéristique d’une génération assistée.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2026-01-16T15:52:35Z</dcterms:created>
  <dcterms:modified xsi:type="dcterms:W3CDTF">2026-01-16T15:52:35Z</dcterms:modified>
</cp:coreProperties>
</file>

<file path=docProps/custom.xml><?xml version="1.0" encoding="utf-8"?>
<Properties xmlns="http://schemas.openxmlformats.org/officeDocument/2006/custom-properties" xmlns:vt="http://schemas.openxmlformats.org/officeDocument/2006/docPropsVTypes"/>
</file>