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Évaluation de l'équipe 8SAE – Solution 1</w:t>
      </w:r>
    </w:p>
    <w:p>
      <w:pPr>
        <w:pStyle w:val="Heading2"/>
      </w:pPr>
      <w:r>
        <w:t>1. Résumé de l'évaluation</w:t>
      </w:r>
    </w:p>
    <w:p>
      <w:r>
        <w:t>Le travail propose une exploration riche et compare plusieurs approches (lm, lmer, GAM, Random Forest) avant de produire des prédictions. La démarche est globalement solide et mobilise des techniques modernes. Quelques lacunes subsistent : usage imprécis des diagnostics (VIF pour « autocorrélation »), absence de traitement des valeurs manquantes autre que l'exclusion, et script incomplet au niveau des dépendances (caret/PerformanceAnalytics non chargés).</w:t>
      </w:r>
    </w:p>
    <w:p>
      <w:r>
        <w:t>Synthèse des scores : Les scores reflètent une analyse techniquement robuste mais perfectible sur la transparence des limites et la reproductibilité complète du script.</w:t>
      </w:r>
    </w:p>
    <w:p>
      <w:pPr>
        <w:pStyle w:val="Heading2"/>
      </w:pPr>
      <w:r>
        <w:t>2. Tableau des scores (Critères C1–C5)</w:t>
      </w:r>
    </w:p>
    <w:tbl>
      <w:tblPr>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Score (1-5)</w:t>
            </w:r>
          </w:p>
        </w:tc>
        <w:tc>
          <w:tcPr>
            <w:tcW w:type="dxa" w:w="2880"/>
          </w:tcPr>
          <w:p>
            <w:r>
              <w:t>Justification</w:t>
            </w:r>
          </w:p>
        </w:tc>
      </w:tr>
      <w:tr>
        <w:tc>
          <w:tcPr>
            <w:tcW w:type="dxa" w:w="2880"/>
          </w:tcPr>
          <w:p>
            <w:r>
              <w:t>C1</w:t>
            </w:r>
          </w:p>
        </w:tc>
        <w:tc>
          <w:tcPr>
            <w:tcW w:type="dxa" w:w="2880"/>
          </w:tcPr>
          <w:p>
            <w:r>
              <w:t>4</w:t>
            </w:r>
          </w:p>
        </w:tc>
        <w:tc>
          <w:tcPr>
            <w:tcW w:type="dxa" w:w="2880"/>
          </w:tcPr>
          <w:p>
            <w:r>
              <w:t>Modélisation multi-approches pertinente, sélection des prédicteurs raisonnable.</w:t>
            </w:r>
          </w:p>
        </w:tc>
      </w:tr>
      <w:tr>
        <w:tc>
          <w:tcPr>
            <w:tcW w:type="dxa" w:w="2880"/>
          </w:tcPr>
          <w:p>
            <w:r>
              <w:t>C2</w:t>
            </w:r>
          </w:p>
        </w:tc>
        <w:tc>
          <w:tcPr>
            <w:tcW w:type="dxa" w:w="2880"/>
          </w:tcPr>
          <w:p>
            <w:r>
              <w:t>3</w:t>
            </w:r>
          </w:p>
        </w:tc>
        <w:tc>
          <w:tcPr>
            <w:tcW w:type="dxa" w:w="2880"/>
          </w:tcPr>
          <w:p>
            <w:r>
              <w:t>Script largement reproductible, mais dépendances manquantes et étapes interactives.</w:t>
            </w:r>
          </w:p>
        </w:tc>
      </w:tr>
      <w:tr>
        <w:tc>
          <w:tcPr>
            <w:tcW w:type="dxa" w:w="2880"/>
          </w:tcPr>
          <w:p>
            <w:r>
              <w:t>C3</w:t>
            </w:r>
          </w:p>
        </w:tc>
        <w:tc>
          <w:tcPr>
            <w:tcW w:type="dxa" w:w="2880"/>
          </w:tcPr>
          <w:p>
            <w:r>
              <w:t>3</w:t>
            </w:r>
          </w:p>
        </w:tc>
        <w:tc>
          <w:tcPr>
            <w:tcW w:type="dxa" w:w="2880"/>
          </w:tcPr>
          <w:p>
            <w:r>
              <w:t>Quelques limites évoquées mais pas de discussion structurée des incertitudes.</w:t>
            </w:r>
          </w:p>
        </w:tc>
      </w:tr>
      <w:tr>
        <w:tc>
          <w:tcPr>
            <w:tcW w:type="dxa" w:w="2880"/>
          </w:tcPr>
          <w:p>
            <w:r>
              <w:t>C4</w:t>
            </w:r>
          </w:p>
        </w:tc>
        <w:tc>
          <w:tcPr>
            <w:tcW w:type="dxa" w:w="2880"/>
          </w:tcPr>
          <w:p>
            <w:r>
              <w:t>4</w:t>
            </w:r>
          </w:p>
        </w:tc>
        <w:tc>
          <w:tcPr>
            <w:tcW w:type="dxa" w:w="2880"/>
          </w:tcPr>
          <w:p>
            <w:r>
              <w:t>Conclusions alignées avec les analyses et les performances rapportées.</w:t>
            </w:r>
          </w:p>
        </w:tc>
      </w:tr>
      <w:tr>
        <w:tc>
          <w:tcPr>
            <w:tcW w:type="dxa" w:w="2880"/>
          </w:tcPr>
          <w:p>
            <w:r>
              <w:t>C5</w:t>
            </w:r>
          </w:p>
        </w:tc>
        <w:tc>
          <w:tcPr>
            <w:tcW w:type="dxa" w:w="2880"/>
          </w:tcPr>
          <w:p>
            <w:r>
              <w:t>4</w:t>
            </w:r>
          </w:p>
        </w:tc>
        <w:tc>
          <w:tcPr>
            <w:tcW w:type="dxa" w:w="2880"/>
          </w:tcPr>
          <w:p>
            <w:r>
              <w:t>Usage de GAM et RF avec validation croisée.</w:t>
            </w:r>
          </w:p>
        </w:tc>
      </w:tr>
    </w:tbl>
    <w:p>
      <w:r>
        <w:t>Note finale (1-10) : 7</w:t>
      </w:r>
    </w:p>
    <w:p>
      <w:r>
        <w:t>Indice IA (1 = IA, 0 = humain) : 0 – Style analytique cohérent avec un travail d'équipe et des choix méthodologiques explicités.</w:t>
      </w:r>
    </w:p>
    <w:p>
      <w:pPr>
        <w:pStyle w:val="Heading2"/>
      </w:pPr>
      <w:r>
        <w:t>3. Commentaires sur la rigueur scientifique</w:t>
      </w:r>
    </w:p>
    <w:p>
      <w:pPr>
        <w:pStyle w:val="ListBullet"/>
      </w:pPr>
      <w:r>
        <w:t>L'utilisation de modèles mixtes et GAM est appropriée pour des effets hiérarchiques et non linéaires (Zuur et al., 2009; Wood, 2017).</w:t>
      </w:r>
    </w:p>
    <w:p>
      <w:pPr>
        <w:pStyle w:val="ListBullet"/>
      </w:pPr>
      <w:r>
        <w:t>La suppression des NA sans analyse de mécanisme de manquance peut biaiser les estimations; une discussion est attendue (Legendre &amp; Legendre, 2012).</w:t>
      </w:r>
    </w:p>
    <w:p>
      <w:pPr>
        <w:pStyle w:val="ListBullet"/>
      </w:pPr>
      <w:r>
        <w:t>La validation croisée pour le Random Forest est pertinente mais n'intègre pas explicitement la dépendance spatiale ville/parc, ce qui peut surestimer la performance (Roberts et al., 2017).</w:t>
      </w:r>
    </w:p>
    <w:p>
      <w:pPr>
        <w:pStyle w:val="Heading2"/>
      </w:pPr>
      <w:r>
        <w:t>4. Analyse technique du code R (points forts/faiblesses)</w:t>
      </w:r>
    </w:p>
    <w:p>
      <w:r>
        <w:t>Points forts :</w:t>
      </w:r>
    </w:p>
    <w:p>
      <w:pPr>
        <w:pStyle w:val="ListBullet"/>
      </w:pPr>
      <w:r>
        <w:t>Pipeline complet de l'exploration à la prédiction, avec comparaison de plusieurs familles de modèles.</w:t>
      </w:r>
    </w:p>
    <w:p>
      <w:pPr>
        <w:pStyle w:val="ListBullet"/>
      </w:pPr>
      <w:r>
        <w:t>Diagnostics GAM (gam.check) et comparaison de performance entre modèles.</w:t>
      </w:r>
    </w:p>
    <w:p>
      <w:pPr>
        <w:pStyle w:val="ListBullet"/>
      </w:pPr>
      <w:r>
        <w:t>Validation croisée et estimation de l'importance des prédicteurs pour le modèle ML.</w:t>
      </w:r>
    </w:p>
    <w:p>
      <w:r>
        <w:t>Points faibles :</w:t>
      </w:r>
    </w:p>
    <w:p>
      <w:pPr>
        <w:pStyle w:val="ListBullet"/>
      </w:pPr>
      <w:r>
        <w:t>Fonctions chart.Correlation, createFolds et train utilisées sans chargement explicite des packages nécessaires.</w:t>
      </w:r>
    </w:p>
    <w:p>
      <w:pPr>
        <w:pStyle w:val="ListBullet"/>
      </w:pPr>
      <w:r>
        <w:t>Terminologie impropre : VIF évalue la colinéarité, pas l'autocorrélation.</w:t>
      </w:r>
    </w:p>
    <w:p>
      <w:pPr>
        <w:pStyle w:val="ListBullet"/>
      </w:pPr>
      <w:r>
        <w:t>Les objets de prédiction ne sont pas explicitement harmonisés en facteurs pour city_id/park_id.</w:t>
      </w:r>
    </w:p>
    <w:p>
      <w:pPr>
        <w:pStyle w:val="Heading2"/>
      </w:pPr>
      <w:r>
        <w:t>5. Références citées</w:t>
      </w:r>
    </w:p>
    <w:p>
      <w:pPr>
        <w:pStyle w:val="ListBullet"/>
      </w:pPr>
      <w:r>
        <w:t>Wood, S. N. (2017). Generalized Additive Models: An Introduction with R (2nd ed.). CRC Press.</w:t>
      </w:r>
    </w:p>
    <w:p>
      <w:pPr>
        <w:pStyle w:val="ListBullet"/>
      </w:pPr>
      <w:r>
        <w:t>Zuur, A. F., Ieno, E. N., Walker, N., Saveliev, A. A., &amp; Smith, G. M. (2009). Mixed Effects Models and Extensions in Ecology with R. Springer.</w:t>
      </w:r>
    </w:p>
    <w:p>
      <w:pPr>
        <w:pStyle w:val="ListBullet"/>
      </w:pPr>
      <w:r>
        <w:t>Breiman, L. (2001). Random Forests. Machine Learning, 45, 5–32.</w:t>
      </w:r>
    </w:p>
    <w:p>
      <w:pPr>
        <w:pStyle w:val="ListBullet"/>
      </w:pPr>
      <w:r>
        <w:t>Roberts, D. R., et al. (2017). Cross-validation strategies for data with temporal, spatial, hierarchical, or phylogenetic structure. Ecography, 40, 913–929.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