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Évaluation de l'équipe OJ9L – Solution 1</w:t>
      </w:r>
    </w:p>
    <w:p>
      <w:pPr>
        <w:pStyle w:val="Heading2"/>
      </w:pPr>
      <w:r>
        <w:t>1. Résumé de l'évaluation</w:t>
      </w:r>
    </w:p>
    <w:p>
      <w:r>
        <w:t>Le rapport et le script présentent une analyse structurée par modèle linéaire mixte avec standardisation des prédicteurs et prise en compte de la hiérarchie ville/parc. La démarche est cohérente et reproductible, mais repose sur un modèle linéaire unique sans exploration approfondie des non-linéarités ou alternatives, et la sélection finale n'est pas automatisée malgré la comparaison AIC.</w:t>
      </w:r>
    </w:p>
    <w:p>
      <w:r>
        <w:t>Synthèse des scores : Les scores valorisent la rigueur et la clarté du modèle mixte, tout en notant un manque d'exploration méthodologique et de discussion des incertitudes.</w:t>
      </w:r>
    </w:p>
    <w:p>
      <w:pPr>
        <w:pStyle w:val="Heading2"/>
      </w:pPr>
      <w:r>
        <w:t>2. Tableau des scores (Critères C1–C5)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Critère</w:t>
            </w:r>
          </w:p>
        </w:tc>
        <w:tc>
          <w:tcPr>
            <w:tcW w:type="dxa" w:w="2880"/>
          </w:tcPr>
          <w:p>
            <w:r>
              <w:t>Score (1-5)</w:t>
            </w:r>
          </w:p>
        </w:tc>
        <w:tc>
          <w:tcPr>
            <w:tcW w:type="dxa" w:w="2880"/>
          </w:tcPr>
          <w:p>
            <w:r>
              <w:t>Justification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Modèle mixte pertinent et préparation des données bien motivée.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Script détaillé, commenté et globalement reproductible.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Limites mentionnées implicitement mais peu discutées.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Conclusions étayées par les coefficients et diagnostics.</w:t>
            </w:r>
          </w:p>
        </w:tc>
      </w:tr>
      <w:tr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Approche solide mais relativement classique.</w:t>
            </w:r>
          </w:p>
        </w:tc>
      </w:tr>
    </w:tbl>
    <w:p>
      <w:r>
        <w:t>Note finale (1-10) : 7</w:t>
      </w:r>
    </w:p>
    <w:p>
      <w:r>
        <w:t>Indice IA (1 = IA, 0 = humain) : 0 – Rédaction structurée et cohérente avec un travail de cours; pas d'indices clairs d'automatisation.</w:t>
      </w:r>
    </w:p>
    <w:p>
      <w:pPr>
        <w:pStyle w:val="Heading2"/>
      </w:pPr>
      <w:r>
        <w:t>3. Commentaires sur la rigueur scientifique</w:t>
      </w:r>
    </w:p>
    <w:p>
      <w:pPr>
        <w:pStyle w:val="ListBullet"/>
      </w:pPr>
      <w:r>
        <w:t>Le modèle mixte avec parc imbriqué dans la ville est approprié pour la structure hiérarchique (Zuur et al., 2009).</w:t>
      </w:r>
    </w:p>
    <w:p>
      <w:pPr>
        <w:pStyle w:val="ListBullet"/>
      </w:pPr>
      <w:r>
        <w:t>La standardisation est bien justifiée, mais l'impact des valeurs manquantes n'est pas évalué (Legendre &amp; Legendre, 2012).</w:t>
      </w:r>
    </w:p>
    <w:p>
      <w:pPr>
        <w:pStyle w:val="ListBullet"/>
      </w:pPr>
      <w:r>
        <w:t>Aucune alternative non linéaire n'est testée; des relations seuils ou saturations pourraient être explorées (Wood, 2017).</w:t>
      </w:r>
    </w:p>
    <w:p>
      <w:pPr>
        <w:pStyle w:val="Heading2"/>
      </w:pPr>
      <w:r>
        <w:t>4. Analyse technique du code R (points forts/faiblesses)</w:t>
      </w:r>
    </w:p>
    <w:p>
      <w:r>
        <w:t>Points forts :</w:t>
      </w:r>
    </w:p>
    <w:p>
      <w:pPr>
        <w:pStyle w:val="ListBullet"/>
      </w:pPr>
      <w:r>
        <w:t>Script très commenté et séquencé, facilitant la reproductibilité.</w:t>
      </w:r>
    </w:p>
    <w:p>
      <w:pPr>
        <w:pStyle w:val="ListBullet"/>
      </w:pPr>
      <w:r>
        <w:t>Standardisation avec paramètres appris sur le jeu d'entraînement.</w:t>
      </w:r>
    </w:p>
    <w:p>
      <w:pPr>
        <w:pStyle w:val="ListBullet"/>
      </w:pPr>
      <w:r>
        <w:t>Diagnostics de modèle (check_model) et visualisations des résidus.</w:t>
      </w:r>
    </w:p>
    <w:p>
      <w:r>
        <w:t>Points faibles :</w:t>
      </w:r>
    </w:p>
    <w:p>
      <w:pPr>
        <w:pStyle w:val="ListBullet"/>
      </w:pPr>
      <w:r>
        <w:t>Modèle final fixé au modèle complet même si l'AIC favorise éventuellement un modèle réduit.</w:t>
      </w:r>
    </w:p>
    <w:p>
      <w:pPr>
        <w:pStyle w:val="ListBullet"/>
      </w:pPr>
      <w:r>
        <w:t>Nombreux packages chargés mais non utilisés, ce qui complique la reproductibilité.</w:t>
      </w:r>
    </w:p>
    <w:p>
      <w:pPr>
        <w:pStyle w:val="ListBullet"/>
      </w:pPr>
      <w:r>
        <w:t>Suppression des NA sans analyse de sensibilité.</w:t>
      </w:r>
    </w:p>
    <w:p>
      <w:pPr>
        <w:pStyle w:val="Heading2"/>
      </w:pPr>
      <w:r>
        <w:t>5. Références citées</w:t>
      </w:r>
    </w:p>
    <w:p>
      <w:pPr>
        <w:pStyle w:val="ListBullet"/>
      </w:pPr>
      <w:r>
        <w:t>Zuur, A. F., Ieno, E. N., Walker, N., Saveliev, A. A., &amp; Smith, G. M. (2009). Mixed Effects Models and Extensions in Ecology with R. Springer.</w:t>
      </w:r>
    </w:p>
    <w:p>
      <w:pPr>
        <w:pStyle w:val="ListBullet"/>
      </w:pPr>
      <w:r>
        <w:t>Legendre, P., &amp; Legendre, L. (2012). Numerical Ecology (3rd ed.). Elsevier.</w:t>
      </w:r>
    </w:p>
    <w:p>
      <w:pPr>
        <w:pStyle w:val="ListBullet"/>
      </w:pPr>
      <w:r>
        <w:t>Wood, S. N. (2017). Generalized Additive Models: An Introduction with R (2nd ed.). CRC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