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Évaluation de l'équipe V7ZL – Solution 1</w:t>
      </w:r>
    </w:p>
    <w:p>
      <w:pPr>
        <w:pStyle w:val="Heading2"/>
      </w:pPr>
      <w:r>
        <w:t>1. Résumé de l'évaluation</w:t>
      </w:r>
    </w:p>
    <w:p>
      <w:r>
        <w:t>Le rapport décrit une sélection de variables par corrélation et un GLMM avec effets aléatoires. Toutefois, aucun script n'est fourni et les détails de modélisation demeurent incomplets, ce qui empêche de vérifier la reproductibilité et la validité des prédictions.</w:t>
      </w:r>
    </w:p>
    <w:p>
      <w:r>
        <w:t>Synthèse des scores : Les scores reflètent le manque de transparence méthodologique et l'absence de code, malgré une intention d'utiliser un GLMM adapté.</w:t>
      </w:r>
    </w:p>
    <w:p>
      <w:pPr>
        <w:pStyle w:val="Heading2"/>
      </w:pPr>
      <w:r>
        <w:t>2. Tableau des scores (Critères C1–C5)</w:t>
      </w:r>
    </w:p>
    <w:tbl>
      <w:tblPr>
        <w:tblW w:type="auto" w:w="0"/>
        <w:tblLook w:firstColumn="1" w:firstRow="1" w:lastColumn="0" w:lastRow="0" w:noHBand="0" w:noVBand="1" w:val="04A0"/>
      </w:tblPr>
      <w:tblGrid>
        <w:gridCol w:w="2880"/>
        <w:gridCol w:w="2880"/>
        <w:gridCol w:w="2880"/>
      </w:tblGrid>
      <w:tr>
        <w:tc>
          <w:tcPr>
            <w:tcW w:type="dxa" w:w="2880"/>
          </w:tcPr>
          <w:p>
            <w:r>
              <w:t>Critère</w:t>
            </w:r>
          </w:p>
        </w:tc>
        <w:tc>
          <w:tcPr>
            <w:tcW w:type="dxa" w:w="2880"/>
          </w:tcPr>
          <w:p>
            <w:r>
              <w:t>Score (1-5)</w:t>
            </w:r>
          </w:p>
        </w:tc>
        <w:tc>
          <w:tcPr>
            <w:tcW w:type="dxa" w:w="2880"/>
          </w:tcPr>
          <w:p>
            <w:r>
              <w:t>Justification</w:t>
            </w:r>
          </w:p>
        </w:tc>
      </w:tr>
      <w:tr>
        <w:tc>
          <w:tcPr>
            <w:tcW w:type="dxa" w:w="2880"/>
          </w:tcPr>
          <w:p>
            <w:r>
              <w:t>C1</w:t>
            </w:r>
          </w:p>
        </w:tc>
        <w:tc>
          <w:tcPr>
            <w:tcW w:type="dxa" w:w="2880"/>
          </w:tcPr>
          <w:p>
            <w:r>
              <w:t>2</w:t>
            </w:r>
          </w:p>
        </w:tc>
        <w:tc>
          <w:tcPr>
            <w:tcW w:type="dxa" w:w="2880"/>
          </w:tcPr>
          <w:p>
            <w:r>
              <w:t>Choix de GLMM plausible mais justification et diagnostics absents.</w:t>
            </w:r>
          </w:p>
        </w:tc>
      </w:tr>
      <w:tr>
        <w:tc>
          <w:tcPr>
            <w:tcW w:type="dxa" w:w="2880"/>
          </w:tcPr>
          <w:p>
            <w:r>
              <w:t>C2</w:t>
            </w:r>
          </w:p>
        </w:tc>
        <w:tc>
          <w:tcPr>
            <w:tcW w:type="dxa" w:w="2880"/>
          </w:tcPr>
          <w:p>
            <w:r>
              <w:t>1</w:t>
            </w:r>
          </w:p>
        </w:tc>
        <w:tc>
          <w:tcPr>
            <w:tcW w:type="dxa" w:w="2880"/>
          </w:tcPr>
          <w:p>
            <w:r>
              <w:t>Aucun code fourni; reproduction impossible.</w:t>
            </w:r>
          </w:p>
        </w:tc>
      </w:tr>
      <w:tr>
        <w:tc>
          <w:tcPr>
            <w:tcW w:type="dxa" w:w="2880"/>
          </w:tcPr>
          <w:p>
            <w:r>
              <w:t>C3</w:t>
            </w:r>
          </w:p>
        </w:tc>
        <w:tc>
          <w:tcPr>
            <w:tcW w:type="dxa" w:w="2880"/>
          </w:tcPr>
          <w:p>
            <w:r>
              <w:t>2</w:t>
            </w:r>
          </w:p>
        </w:tc>
        <w:tc>
          <w:tcPr>
            <w:tcW w:type="dxa" w:w="2880"/>
          </w:tcPr>
          <w:p>
            <w:r>
              <w:t>Mention de parcimonie mais pas d'analyse d'incertitude.</w:t>
            </w:r>
          </w:p>
        </w:tc>
      </w:tr>
      <w:tr>
        <w:tc>
          <w:tcPr>
            <w:tcW w:type="dxa" w:w="2880"/>
          </w:tcPr>
          <w:p>
            <w:r>
              <w:t>C4</w:t>
            </w:r>
          </w:p>
        </w:tc>
        <w:tc>
          <w:tcPr>
            <w:tcW w:type="dxa" w:w="2880"/>
          </w:tcPr>
          <w:p>
            <w:r>
              <w:t>3</w:t>
            </w:r>
          </w:p>
        </w:tc>
        <w:tc>
          <w:tcPr>
            <w:tcW w:type="dxa" w:w="2880"/>
          </w:tcPr>
          <w:p>
            <w:r>
              <w:t>Conclusions descriptives mais support quantitatif limité.</w:t>
            </w:r>
          </w:p>
        </w:tc>
      </w:tr>
      <w:tr>
        <w:tc>
          <w:tcPr>
            <w:tcW w:type="dxa" w:w="2880"/>
          </w:tcPr>
          <w:p>
            <w:r>
              <w:t>C5</w:t>
            </w:r>
          </w:p>
        </w:tc>
        <w:tc>
          <w:tcPr>
            <w:tcW w:type="dxa" w:w="2880"/>
          </w:tcPr>
          <w:p>
            <w:r>
              <w:t>2</w:t>
            </w:r>
          </w:p>
        </w:tc>
        <w:tc>
          <w:tcPr>
            <w:tcW w:type="dxa" w:w="2880"/>
          </w:tcPr>
          <w:p>
            <w:r>
              <w:t>Méthode classique sans éléments avancés documentés.</w:t>
            </w:r>
          </w:p>
        </w:tc>
      </w:tr>
    </w:tbl>
    <w:p>
      <w:r>
        <w:t>Note finale (1-10) : 4</w:t>
      </w:r>
    </w:p>
    <w:p>
      <w:r>
        <w:t>Indice IA (1 = IA, 0 = humain) : 0 – Rédaction fluide et contextualisée, sans marqueur clair d'automatisation.</w:t>
      </w:r>
    </w:p>
    <w:p>
      <w:pPr>
        <w:pStyle w:val="Heading2"/>
      </w:pPr>
      <w:r>
        <w:t>3. Commentaires sur la rigueur scientifique</w:t>
      </w:r>
    </w:p>
    <w:p>
      <w:pPr>
        <w:pStyle w:val="ListBullet"/>
      </w:pPr>
      <w:r>
        <w:t>La sélection des variables par simple corrélation peut conduire à des biais de sélection et n'évalue pas les effets combinés (Legendre &amp; Legendre, 2012).</w:t>
      </w:r>
    </w:p>
    <w:p>
      <w:pPr>
        <w:pStyle w:val="ListBullet"/>
      </w:pPr>
      <w:r>
        <w:t>Le choix entre effets aléatoires ville ou parc devrait être justifié par un modèle comparatif explicite (Zuur et al., 2009).</w:t>
      </w:r>
    </w:p>
    <w:p>
      <w:pPr>
        <w:pStyle w:val="ListBullet"/>
      </w:pPr>
      <w:r>
        <w:t>Les diagnostics de résidus et la gestion des NA ne sont pas décrits, limitant la robustesse des conclusions.</w:t>
      </w:r>
    </w:p>
    <w:p>
      <w:pPr>
        <w:pStyle w:val="Heading2"/>
      </w:pPr>
      <w:r>
        <w:t>4. Analyse technique du code R (points forts/faiblesses)</w:t>
      </w:r>
    </w:p>
    <w:p>
      <w:r>
        <w:t>Points forts :</w:t>
      </w:r>
    </w:p>
    <w:p>
      <w:pPr>
        <w:pStyle w:val="ListBullet"/>
      </w:pPr>
      <w:r>
        <w:t>Aucun script fourni; impossible d'identifier des forces techniques.</w:t>
      </w:r>
    </w:p>
    <w:p>
      <w:r>
        <w:t>Points faibles :</w:t>
      </w:r>
    </w:p>
    <w:p>
      <w:pPr>
        <w:pStyle w:val="ListBullet"/>
      </w:pPr>
      <w:r>
        <w:t>Absence complète de code et de paramètres d'analyse.</w:t>
      </w:r>
    </w:p>
    <w:p>
      <w:pPr>
        <w:pStyle w:val="ListBullet"/>
      </w:pPr>
      <w:r>
        <w:t>Impossible de vérifier l'implémentation du GLMM ou des prédictions.</w:t>
      </w:r>
    </w:p>
    <w:p>
      <w:pPr>
        <w:pStyle w:val="Heading2"/>
      </w:pPr>
      <w:r>
        <w:t>5. Références citées</w:t>
      </w:r>
    </w:p>
    <w:p>
      <w:pPr>
        <w:pStyle w:val="ListBullet"/>
      </w:pPr>
      <w:r>
        <w:t>Zuur, A. F., Ieno, E. N., Walker, N., Saveliev, A. A., &amp; Smith, G. M. (2009). Mixed Effects Models and Extensions in Ecology with R. Springer.</w:t>
      </w:r>
    </w:p>
    <w:p>
      <w:pPr>
        <w:pStyle w:val="ListBullet"/>
      </w:pPr>
      <w:r>
        <w:t>Legendre, P., &amp; Legendre, L. (2012). Numerical Ecology (3rd ed.). Elsevier.</w:t>
      </w:r>
    </w:p>
    <w:p>
      <w:pPr>
        <w:pStyle w:val="ListBullet"/>
      </w:pPr>
      <w:r>
        <w:t>Burnham, K. P., &amp; Anderson, D. R. (2002). Model Selection and Multimodel Inference. Springer.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