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d'évaluation - 8SAE</w:t>
      </w:r>
    </w:p>
    <w:p>
      <w:pPr>
        <w:pStyle w:val="Heading2"/>
      </w:pPr>
      <w:r>
        <w:t>1. Résumé de l'évaluation</w:t>
      </w:r>
    </w:p>
    <w:p>
      <w:r>
        <w:t>Le rapport est complet et articule clairement l'exploration, les modèles classiques (lm, lmer, GAM) et un modèle d'apprentissage (ranger). L'approche est cohérente avec la structure hiérarchique, mais certaines interprétations et dépendances logicielles manquent de rigueur.</w:t>
      </w:r>
    </w:p>
    <w:p>
      <w:pPr>
        <w:pStyle w:val="Heading2"/>
      </w:pPr>
      <w:r>
        <w:t>2. Tableau de score (Critere_evaluation.txt)</w:t>
      </w:r>
    </w:p>
    <w:tbl>
      <w:tblPr>
        <w:tblW w:type="auto" w:w="0"/>
        <w:tblLook w:firstColumn="1" w:firstRow="1" w:lastColumn="0" w:lastRow="0" w:noHBand="0" w:noVBand="1" w:val="04A0"/>
      </w:tblPr>
      <w:tblGrid>
        <w:gridCol w:w="2880"/>
        <w:gridCol w:w="2880"/>
        <w:gridCol w:w="2880"/>
      </w:tblGrid>
      <w:tr>
        <w:tc>
          <w:tcPr>
            <w:tcW w:type="dxa" w:w="2880"/>
          </w:tcPr>
          <w:p>
            <w:r>
              <w:t>Critère</w:t>
            </w:r>
          </w:p>
        </w:tc>
        <w:tc>
          <w:tcPr>
            <w:tcW w:type="dxa" w:w="2880"/>
          </w:tcPr>
          <w:p>
            <w:r>
              <w:t>Score (1-5)</w:t>
            </w:r>
          </w:p>
        </w:tc>
        <w:tc>
          <w:tcPr>
            <w:tcW w:type="dxa" w:w="2880"/>
          </w:tcPr>
          <w:p>
            <w:r>
              <w:t>Justification courte</w:t>
            </w:r>
          </w:p>
        </w:tc>
      </w:tr>
      <w:tr>
        <w:tc>
          <w:tcPr>
            <w:tcW w:type="dxa" w:w="2880"/>
          </w:tcPr>
          <w:p>
            <w:r>
              <w:t>C1 - Rigueur technique</w:t>
            </w:r>
          </w:p>
        </w:tc>
        <w:tc>
          <w:tcPr>
            <w:tcW w:type="dxa" w:w="2880"/>
          </w:tcPr>
          <w:p>
            <w:r>
              <w:t>3</w:t>
            </w:r>
          </w:p>
        </w:tc>
        <w:tc>
          <w:tcPr>
            <w:tcW w:type="dxa" w:w="2880"/>
          </w:tcPr>
          <w:p>
            <w:r>
              <w:t>Bon choix de modèles, mais confusion colinéarité/autocorrélation.</w:t>
            </w:r>
          </w:p>
        </w:tc>
      </w:tr>
      <w:tr>
        <w:tc>
          <w:tcPr>
            <w:tcW w:type="dxa" w:w="2880"/>
          </w:tcPr>
          <w:p>
            <w:r>
              <w:t>C2 - Reproductibilité/Clarté du code</w:t>
            </w:r>
          </w:p>
        </w:tc>
        <w:tc>
          <w:tcPr>
            <w:tcW w:type="dxa" w:w="2880"/>
          </w:tcPr>
          <w:p>
            <w:r>
              <w:t>3</w:t>
            </w:r>
          </w:p>
        </w:tc>
        <w:tc>
          <w:tcPr>
            <w:tcW w:type="dxa" w:w="2880"/>
          </w:tcPr>
          <w:p>
            <w:r>
              <w:t>Script détaillé mais packages requis incomplets.</w:t>
            </w:r>
          </w:p>
        </w:tc>
      </w:tr>
      <w:tr>
        <w:tc>
          <w:tcPr>
            <w:tcW w:type="dxa" w:w="2880"/>
          </w:tcPr>
          <w:p>
            <w:r>
              <w:t>C3 - Transparence sur incertitudes</w:t>
            </w:r>
          </w:p>
        </w:tc>
        <w:tc>
          <w:tcPr>
            <w:tcW w:type="dxa" w:w="2880"/>
          </w:tcPr>
          <w:p>
            <w:r>
              <w:t>3</w:t>
            </w:r>
          </w:p>
        </w:tc>
        <w:tc>
          <w:tcPr>
            <w:tcW w:type="dxa" w:w="2880"/>
          </w:tcPr>
          <w:p>
            <w:r>
              <w:t>Quelques limites mentionnées mais peu de diagnostics.</w:t>
            </w:r>
          </w:p>
        </w:tc>
      </w:tr>
      <w:tr>
        <w:tc>
          <w:tcPr>
            <w:tcW w:type="dxa" w:w="2880"/>
          </w:tcPr>
          <w:p>
            <w:r>
              <w:t>C4 - Conclusions supportées</w:t>
            </w:r>
          </w:p>
        </w:tc>
        <w:tc>
          <w:tcPr>
            <w:tcW w:type="dxa" w:w="2880"/>
          </w:tcPr>
          <w:p>
            <w:r>
              <w:t>4</w:t>
            </w:r>
          </w:p>
        </w:tc>
        <w:tc>
          <w:tcPr>
            <w:tcW w:type="dxa" w:w="2880"/>
          </w:tcPr>
          <w:p>
            <w:r>
              <w:t>Les conclusions suivent les résultats des modèles.</w:t>
            </w:r>
          </w:p>
        </w:tc>
      </w:tr>
      <w:tr>
        <w:tc>
          <w:tcPr>
            <w:tcW w:type="dxa" w:w="2880"/>
          </w:tcPr>
          <w:p>
            <w:r>
              <w:t>C5 - Modernité des méthodes</w:t>
            </w:r>
          </w:p>
        </w:tc>
        <w:tc>
          <w:tcPr>
            <w:tcW w:type="dxa" w:w="2880"/>
          </w:tcPr>
          <w:p>
            <w:r>
              <w:t>4</w:t>
            </w:r>
          </w:p>
        </w:tc>
        <w:tc>
          <w:tcPr>
            <w:tcW w:type="dxa" w:w="2880"/>
          </w:tcPr>
          <w:p>
            <w:r>
              <w:t>Usage pertinent de GAM et random forest.</w:t>
            </w:r>
          </w:p>
        </w:tc>
      </w:tr>
    </w:tbl>
    <w:p/>
    <w:p>
      <w:pPr>
        <w:pStyle w:val="Heading2"/>
      </w:pPr>
      <w:r>
        <w:t>3. Commentaires détaillés sur la rigueur scientifique</w:t>
      </w:r>
    </w:p>
    <w:p>
      <w:r>
        <w:t>L'usage des VIF est correct pour la colinéarité, mais il ne mesure pas l'autocorrélation; cela peut mener à une interprétation erronée (Dormann et al., 2013).</w:t>
      </w:r>
    </w:p>
    <w:p>
      <w:r>
        <w:t>La sélection GAM par AIC est pertinente, mais aucune évaluation d'autocorrélation spatiale résiduelle n'est fournie alors que la structure ville/parc est centrale (Zuur et al., 2009).</w:t>
      </w:r>
    </w:p>
    <w:p>
      <w:pPr>
        <w:pStyle w:val="Heading2"/>
      </w:pPr>
      <w:r>
        <w:t>4. Analyse technique du code R (points forts/faiblesses)</w:t>
      </w:r>
    </w:p>
    <w:p>
      <w:r>
        <w:t>Le script appelle chart.Correlation (PerformanceAnalytics) et createFolds/train (caret) sans charger les packages correspondants, ce qui bloque l'exécution.</w:t>
      </w:r>
    </w:p>
    <w:p>
      <w:r>
        <w:t>La validation croisée conditionnelle sur city_id/park_id est un point fort, mais l'approche ignore les valeurs manquantes en les supprimant sans discussion de biais potentiels.</w:t>
      </w:r>
    </w:p>
    <w:p>
      <w:pPr>
        <w:pStyle w:val="Heading2"/>
      </w:pPr>
      <w:r>
        <w:t>5. Références citées</w:t>
      </w:r>
    </w:p>
    <w:p>
      <w:pPr>
        <w:pStyle w:val="ListBullet"/>
      </w:pPr>
      <w:r>
        <w:t>Dormann, C. F., et al. (2013). Collinearity: a review of methods to deal with it. Methods in Ecology and Evolution.</w:t>
      </w:r>
    </w:p>
    <w:p>
      <w:pPr>
        <w:pStyle w:val="ListBullet"/>
      </w:pPr>
      <w:r>
        <w:t>Hastie, T., &amp; Tibshirani, R. (1990). Generalized Additive Models. Chapman &amp; Hall.</w:t>
      </w:r>
    </w:p>
    <w:p>
      <w:pPr>
        <w:pStyle w:val="ListBullet"/>
      </w:pPr>
      <w:r>
        <w:t>Zuur, A. F., et al. (2009). Mixed Effects Models and Extensions in Ecology with R. Springer.</w:t>
      </w:r>
    </w:p>
    <w:p/>
    <w:p>
      <w:r>
        <w:t>Note finale (1-10) : 7/10</w:t>
      </w:r>
    </w:p>
    <w:p>
      <w:r>
        <w:t>Indice IA (1 = IA, 0 = humain) :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