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d'évaluation - OJ9L</w:t>
      </w:r>
    </w:p>
    <w:p>
      <w:pPr>
        <w:pStyle w:val="Heading2"/>
      </w:pPr>
      <w:r>
        <w:t>1. Résumé de l'évaluation</w:t>
      </w:r>
    </w:p>
    <w:p>
      <w:r>
        <w:t>Le rapport fournit une démarche claire et structurée, avec standardisation, modèle mixte hiérarchique et diagnostics. Les conclusions sont cohérentes avec les coefficients estimés, même si l'évaluation de la performance prédictive reste limitée.</w:t>
      </w:r>
    </w:p>
    <w:p>
      <w:pPr>
        <w:pStyle w:val="Heading2"/>
      </w:pPr>
      <w:r>
        <w:t>2. Tableau de score (Critere_evaluation.txt)</w:t>
      </w:r>
    </w:p>
    <w:tbl>
      <w:tblPr>
        <w:tblW w:type="auto" w:w="0"/>
        <w:tblLook w:firstColumn="1" w:firstRow="1" w:lastColumn="0" w:lastRow="0" w:noHBand="0" w:noVBand="1" w:val="04A0"/>
      </w:tblPr>
      <w:tblGrid>
        <w:gridCol w:w="2880"/>
        <w:gridCol w:w="2880"/>
        <w:gridCol w:w="2880"/>
      </w:tblGrid>
      <w:tr>
        <w:tc>
          <w:tcPr>
            <w:tcW w:type="dxa" w:w="2880"/>
          </w:tcPr>
          <w:p>
            <w:r>
              <w:t>Critère</w:t>
            </w:r>
          </w:p>
        </w:tc>
        <w:tc>
          <w:tcPr>
            <w:tcW w:type="dxa" w:w="2880"/>
          </w:tcPr>
          <w:p>
            <w:r>
              <w:t>Score (1-5)</w:t>
            </w:r>
          </w:p>
        </w:tc>
        <w:tc>
          <w:tcPr>
            <w:tcW w:type="dxa" w:w="2880"/>
          </w:tcPr>
          <w:p>
            <w:r>
              <w:t>Justification courte</w:t>
            </w:r>
          </w:p>
        </w:tc>
      </w:tr>
      <w:tr>
        <w:tc>
          <w:tcPr>
            <w:tcW w:type="dxa" w:w="2880"/>
          </w:tcPr>
          <w:p>
            <w:r>
              <w:t>C1 - Rigueur technique</w:t>
            </w:r>
          </w:p>
        </w:tc>
        <w:tc>
          <w:tcPr>
            <w:tcW w:type="dxa" w:w="2880"/>
          </w:tcPr>
          <w:p>
            <w:r>
              <w:t>4</w:t>
            </w:r>
          </w:p>
        </w:tc>
        <w:tc>
          <w:tcPr>
            <w:tcW w:type="dxa" w:w="2880"/>
          </w:tcPr>
          <w:p>
            <w:r>
              <w:t>Modèle mixte bien spécifié et diagnostics adéquats.</w:t>
            </w:r>
          </w:p>
        </w:tc>
      </w:tr>
      <w:tr>
        <w:tc>
          <w:tcPr>
            <w:tcW w:type="dxa" w:w="2880"/>
          </w:tcPr>
          <w:p>
            <w:r>
              <w:t>C2 - Reproductibilité/Clarté du code</w:t>
            </w:r>
          </w:p>
        </w:tc>
        <w:tc>
          <w:tcPr>
            <w:tcW w:type="dxa" w:w="2880"/>
          </w:tcPr>
          <w:p>
            <w:r>
              <w:t>4</w:t>
            </w:r>
          </w:p>
        </w:tc>
        <w:tc>
          <w:tcPr>
            <w:tcW w:type="dxa" w:w="2880"/>
          </w:tcPr>
          <w:p>
            <w:r>
              <w:t>Script complet et commenté, étapes explicites.</w:t>
            </w:r>
          </w:p>
        </w:tc>
      </w:tr>
      <w:tr>
        <w:tc>
          <w:tcPr>
            <w:tcW w:type="dxa" w:w="2880"/>
          </w:tcPr>
          <w:p>
            <w:r>
              <w:t>C3 - Transparence sur incertitudes</w:t>
            </w:r>
          </w:p>
        </w:tc>
        <w:tc>
          <w:tcPr>
            <w:tcW w:type="dxa" w:w="2880"/>
          </w:tcPr>
          <w:p>
            <w:r>
              <w:t>3</w:t>
            </w:r>
          </w:p>
        </w:tc>
        <w:tc>
          <w:tcPr>
            <w:tcW w:type="dxa" w:w="2880"/>
          </w:tcPr>
          <w:p>
            <w:r>
              <w:t>Peu de discussion sur l'incertitude des prédictions.</w:t>
            </w:r>
          </w:p>
        </w:tc>
      </w:tr>
      <w:tr>
        <w:tc>
          <w:tcPr>
            <w:tcW w:type="dxa" w:w="2880"/>
          </w:tcPr>
          <w:p>
            <w:r>
              <w:t>C4 - Conclusions supportées</w:t>
            </w:r>
          </w:p>
        </w:tc>
        <w:tc>
          <w:tcPr>
            <w:tcW w:type="dxa" w:w="2880"/>
          </w:tcPr>
          <w:p>
            <w:r>
              <w:t>4</w:t>
            </w:r>
          </w:p>
        </w:tc>
        <w:tc>
          <w:tcPr>
            <w:tcW w:type="dxa" w:w="2880"/>
          </w:tcPr>
          <w:p>
            <w:r>
              <w:t>Interprétations alignées sur les coefficients et p-values.</w:t>
            </w:r>
          </w:p>
        </w:tc>
      </w:tr>
      <w:tr>
        <w:tc>
          <w:tcPr>
            <w:tcW w:type="dxa" w:w="2880"/>
          </w:tcPr>
          <w:p>
            <w:r>
              <w:t>C5 - Modernité des méthodes</w:t>
            </w:r>
          </w:p>
        </w:tc>
        <w:tc>
          <w:tcPr>
            <w:tcW w:type="dxa" w:w="2880"/>
          </w:tcPr>
          <w:p>
            <w:r>
              <w:t>3</w:t>
            </w:r>
          </w:p>
        </w:tc>
        <w:tc>
          <w:tcPr>
            <w:tcW w:type="dxa" w:w="2880"/>
          </w:tcPr>
          <w:p>
            <w:r>
              <w:t>Approche classique robuste mais pas d'approche de validation moderne.</w:t>
            </w:r>
          </w:p>
        </w:tc>
      </w:tr>
    </w:tbl>
    <w:p/>
    <w:p>
      <w:pPr>
        <w:pStyle w:val="Heading2"/>
      </w:pPr>
      <w:r>
        <w:t>3. Commentaires détaillés sur la rigueur scientifique</w:t>
      </w:r>
    </w:p>
    <w:p>
      <w:r>
        <w:t>L'utilisation d'un modèle mixte avec parcs imbriqués dans les villes est appropriée pour les données hiérarchiques (Zuur et al., 2009).</w:t>
      </w:r>
    </w:p>
    <w:p>
      <w:r>
        <w:t>La sélection par AIC entre deux modèles est utile, mais une validation croisée ou un diagnostic de spatialité résiduelle renforcerait la robustesse des conclusions (Legendre &amp; Legendre, 2012).</w:t>
      </w:r>
    </w:p>
    <w:p>
      <w:pPr>
        <w:pStyle w:val="Heading2"/>
      </w:pPr>
      <w:r>
        <w:t>4. Analyse technique du code R (points forts/faiblesses)</w:t>
      </w:r>
    </w:p>
    <w:p>
      <w:r>
        <w:t>Le script standardise correctement les variables continues uniquement à partir du jeu d'entraînement, ce qui évite les fuites d'information.</w:t>
      </w:r>
    </w:p>
    <w:p>
      <w:r>
        <w:t>Les diagnostics de résidus sont présents, mais aucune mesure de performance prédictive (RMSE/R2) n'est reportée pour évaluer la capacité de généralisation.</w:t>
      </w:r>
    </w:p>
    <w:p>
      <w:pPr>
        <w:pStyle w:val="Heading2"/>
      </w:pPr>
      <w:r>
        <w:t>5. Références citées</w:t>
      </w:r>
    </w:p>
    <w:p>
      <w:pPr>
        <w:pStyle w:val="ListBullet"/>
      </w:pPr>
      <w:r>
        <w:t>Legendre, P., &amp; Legendre, L. (2012). Numerical Ecology (3rd ed.). Elsevier.</w:t>
      </w:r>
    </w:p>
    <w:p>
      <w:pPr>
        <w:pStyle w:val="ListBullet"/>
      </w:pPr>
      <w:r>
        <w:t>Zuur, A. F., et al. (2009). Mixed Effects Models and Extensions in Ecology with R. Springer.</w:t>
      </w:r>
    </w:p>
    <w:p/>
    <w:p>
      <w:r>
        <w:t>Note finale (1-10) : 8/10</w:t>
      </w:r>
    </w:p>
    <w:p>
      <w:r>
        <w:t>Indice IA (1 = IA, 0 = humain) :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