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0" w:after="360" w:line="360" w:lineRule="auto"/>
        <w:ind w:firstLine="0"/>
        <w:jc w:val="center"/>
        <w:outlineLvl w:val="0"/>
      </w:pPr>
      <w:r>
        <w:rPr>
          <w:b/>
          <w:i w:val="0"/>
          <w:sz w:val="24"/>
          <w:color w:val="000000"/>
          <w:rFonts w:ascii="Times New Roman" w:hAnsi="Times New Roman" w:cs="Times New Roman"/>
        </w:rPr>
        <w:t>ABSTRAK</w:t>
      </w:r>
    </w:p>
    <w:p>
      <w:pPr>
        <w:spacing w:before="0" w:after="240" w:line="276" w:lineRule="auto"/>
        <w:jc w:val="center"/>
      </w:pPr>
      <w:r>
        <w:rPr>
          <w:b/>
          <w:sz w:val="24"/>
          <w:color w:val="000000"/>
          <w:rFonts w:ascii="Times New Roman" w:hAnsi="Times New Roman" w:cs="Times New Roman"/>
        </w:rPr>
        <w:t>PENGARUH HEDONIC MOTIVATION, DESIRE FOR COMPLETENESS, DAN SPECULATIVE MOTIVE TERHADAP IMPULSIVE BUYING BOOSTER PACK KARTU POKÉMON TCG DENGAN SELF-CONTROL SEBAGAI VARIABEL MODERASI</w:t>
        <w:br/>
        <w:br/>
        <w:t>Arthur Reezan (312023002)</w:t>
        <w:br/>
        <w:t>Program Studi S1 Manajemen, Fakultas Ekonomi dan Bisnis, Universitas Kristen Krida Wacana</w:t>
        <w:br/>
        <w:t>Dosen Pembimbing: Dr. Fredella Colline, S.E., M.M., CFP®, PFM, CHCP-A</w:t>
      </w:r>
    </w:p>
    <w:p>
      <w:pPr>
        <w:spacing w:line="240" w:lineRule="auto" w:before="120" w:after="120"/>
        <w:ind w:firstLine="709"/>
        <w:jc w:val="both"/>
      </w:pPr>
      <w:r>
        <w:rPr>
          <w:sz w:val="24"/>
          <w:color w:val="000000"/>
          <w:rFonts w:ascii="Times New Roman" w:hAnsi="Times New Roman"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diri finansial, serta masukan aplikatif bagi komunitas hobi dan pemangku kebijakan edukasi keuangan generasi muda di Indonesia.</w:t>
      </w:r>
    </w:p>
    <w:p>
      <w:pPr>
        <w:spacing w:line="276" w:lineRule="auto" w:before="120"/>
        <w:ind w:firstLine="0"/>
        <w:jc w:val="left"/>
      </w:pPr>
      <w:r>
        <w:rPr>
          <w:b/>
          <w:sz w:val="24"/>
          <w:color w:val="000000"/>
          <w:rFonts w:ascii="Times New Roman" w:hAnsi="Times New Roman" w:cs="Times New Roman"/>
        </w:rPr>
        <w:t xml:space="preserve">Kata Kunci: </w:t>
      </w:r>
      <w:r>
        <w:rPr>
          <w:i/>
          <w:sz w:val="24"/>
          <w:color w:val="000000"/>
          <w:rFonts w:ascii="Times New Roman" w:hAnsi="Times New Roman" w:cs="Times New Roman"/>
        </w:rPr>
        <w:t>Impulsive Buying, Hedonic Motivation, Desire for Completeness, Speculative Motive, Self-Control, Moderated Regression Analysis, Pokémon TCG, Keuangan Perilaku (Behavioral Finance).</w:t>
      </w:r>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rFonts w:ascii="Times New Roman" w:hAnsi="Times New Roman"/>
      <w:b/>
      <w:color w:val="000000"/>
      <w:sz w:val="2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b/>
      <w:bCs/>
      <w:sz w:val="24"/>
      <w:szCs w:val="28"/>
      <w:color w:val="000000"/>
      <w:rFonts w:ascii="Times New Roman" w:hAnsi="Times New Roman" w:cs="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b/>
      <w:bCs/>
      <w:sz w:val="24"/>
      <w:szCs w:val="26"/>
      <w:color w:val="000000"/>
      <w:rFonts w:ascii="Times New Roman" w:hAnsi="Times New Roman" w:cs="Times New Roman"/>
    </w:rPr>
  </w:style>
  <w:style w:type="paragraph" w:styleId="Heading3">
    <w:name w:val="heading 3"/>
    <w:basedOn w:val="Normal"/>
    <w:next w:val="Normal"/>
    <w:link w:val="Heading3Char"/>
    <w:uiPriority w:val="9"/>
    <w:unhideWhenUsed/>
    <w:qFormat/>
    <w:rsid w:val="00FC693F"/>
    <w:pPr>
      <w:keepNext/>
      <w:keepLines/>
      <w:spacing w:before="120" w:after="60" w:line="360" w:lineRule="auto"/>
      <w:ind w:firstLine="0"/>
      <w:jc w:val="left"/>
      <w:outlineLvl w:val="2"/>
    </w:pPr>
    <w:rPr>
      <w:b/>
      <w:bCs/>
      <w:sz w:val="24"/>
      <w:color w:val="000000"/>
      <w:rFonts w:ascii="Times New Roman" w:hAnsi="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