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0" w:after="360" w:line="360" w:lineRule="auto"/>
        <w:ind w:firstLine="0"/>
        <w:jc w:val="center"/>
        <w:outlineLvl w:val="0"/>
      </w:pPr>
      <w:r>
        <w:rPr>
          <w:b/>
          <w:i w:val="0"/>
          <w:sz w:val="24"/>
          <w:color w:val="000000"/>
          <w:rFonts w:ascii="Times New Roman" w:hAnsi="Times New Roman" w:cs="Times New Roman"/>
        </w:rPr>
        <w:t>ABSTRACT</w:t>
      </w:r>
    </w:p>
    <w:p>
      <w:pPr>
        <w:spacing w:before="0" w:after="240" w:line="276" w:lineRule="auto"/>
        <w:jc w:val="center"/>
      </w:pPr>
      <w:r>
        <w:rPr>
          <w:b/>
          <w:sz w:val="24"/>
          <w:color w:val="000000"/>
          <w:rFonts w:ascii="Times New Roman" w:hAnsi="Times New Roman" w:cs="Times New Roman"/>
        </w:rPr>
        <w:t>THE EFFECT OF HEDONIC MOTIVATION, DESIRE FOR COMPLETENESS, AND SPECULATIVE MOTIVE ON IMPULSIVE BUYING OF POKÉMON TCG BOOSTER PACKS WITH SELF-CONTROL AS A MODERATING VARIABLE</w:t>
        <w:br/>
        <w:br/>
        <w:t>Arthur Reezan (312023002)</w:t>
        <w:br/>
        <w:t>Undergraduate Program in Management, Faculty of Economics and Business, UKRIDA</w:t>
        <w:br/>
        <w:t>Thesis Advisor: Dr. Fredella Colline, S.E., M.M., CFP®, PFM, CHCP-A</w:t>
      </w:r>
    </w:p>
    <w:p>
      <w:pPr>
        <w:spacing w:line="240" w:lineRule="auto" w:before="120" w:after="120"/>
        <w:ind w:firstLine="709"/>
        <w:jc w:val="both"/>
      </w:pPr>
      <w:r>
        <w:rPr>
          <w:i/>
          <w:sz w:val="24"/>
          <w:color w:val="000000"/>
          <w:rFonts w:ascii="Times New Roman" w:hAnsi="Times New Roman" w:cs="Times New Roman"/>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pPr>
        <w:spacing w:line="276" w:lineRule="auto" w:before="120"/>
        <w:ind w:firstLine="0"/>
        <w:jc w:val="left"/>
      </w:pPr>
      <w:r>
        <w:rPr>
          <w:b/>
          <w:sz w:val="24"/>
          <w:color w:val="000000"/>
          <w:rFonts w:ascii="Times New Roman" w:hAnsi="Times New Roman" w:cs="Times New Roman"/>
        </w:rPr>
        <w:t xml:space="preserve">Keywords: </w:t>
      </w:r>
      <w:r>
        <w:rPr>
          <w:i/>
          <w:sz w:val="24"/>
          <w:color w:val="000000"/>
          <w:rFonts w:ascii="Times New Roman" w:hAnsi="Times New Roman" w:cs="Times New Roman"/>
        </w:rPr>
        <w:t>Impulsive Buying, Hedonic Motivation, Desire for Completeness, Speculative Motive, Self-Control, Moderated Regression Analysis, Pokémon TCG, Behavioral Finance.</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