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720" w:lineRule="auto" w:line="360"/>
        <w:jc w:val="center"/>
      </w:pPr>
      <w:r>
        <w:rPr>
          <w:rFonts w:ascii="Times New Roman" w:hAnsi="Times New Roman" w:cs="Times New Roman"/>
          <w:rFonts w:ascii="Times New Roman" w:hAnsi="Times New Roman"/>
          <w:b/>
          <w:i w:val="0"/>
          <w:sz w:val="28"/>
        </w:rPr>
        <w:t>PROPOSAL SKRIPSI</w:t>
      </w:r>
    </w:p>
    <w:p>
      <w:pPr>
        <w:spacing w:before="0" w:after="720" w:lineRule="auto" w:line="360"/>
        <w:jc w:val="center"/>
      </w:pPr>
      <w:r>
        <w:rPr>
          <w:rFonts w:ascii="Times New Roman" w:hAnsi="Times New Roman" w:cs="Times New Roman"/>
          <w:rFonts w:ascii="Times New Roman" w:hAnsi="Times New Roman"/>
          <w:b/>
          <w:i w:val="0"/>
          <w:sz w:val="26"/>
        </w:rPr>
        <w:t>PENGARUH PORTOFOLIO KREDIT HIJAU (GREEN FINANCING), NON-PERFORMING LOAN (NPL), DAN CAPITAL ADEQUACY RATIO (CAR) TERHADAP PROFITABILITAS (RETURN ON ASSETS / ROA) PADA BANK KBMI 4 DI INDONESIA PERIODE 2021–2025</w:t>
      </w:r>
    </w:p>
    <w:p>
      <w:pPr>
        <w:spacing w:before="0" w:after="720" w:lineRule="auto" w:line="360"/>
        <w:jc w:val="center"/>
      </w:pPr>
      <w:r>
        <w:rPr>
          <w:rFonts w:ascii="Times New Roman" w:hAnsi="Times New Roman" w:cs="Times New Roman"/>
          <w:rFonts w:ascii="Times New Roman" w:hAnsi="Times New Roman"/>
          <w:b w:val="0"/>
          <w:i w:val="0"/>
          <w:sz w:val="24"/>
        </w:rPr>
        <w:t>Diajukan kepada Program Studi Manajemen</w:t>
        <w:br/>
        <w:t>Untuk Menyusun Skripsi S1</w:t>
      </w:r>
    </w:p>
    <w:p>
      <w:pPr>
        <w:spacing w:before="0" w:after="120" w:lineRule="auto" w:line="360"/>
        <w:jc w:val="center"/>
      </w:pPr>
      <w:r>
        <w:rPr>
          <w:rFonts w:ascii="Times New Roman" w:hAnsi="Times New Roman" w:cs="Times New Roman"/>
          <w:rFonts w:ascii="Times New Roman" w:hAnsi="Times New Roman"/>
          <w:b w:val="0"/>
          <w:i w:val="0"/>
          <w:sz w:val="24"/>
        </w:rPr>
        <w:t>Diajukan Oleh:</w:t>
      </w:r>
    </w:p>
    <w:p>
      <w:pPr>
        <w:spacing w:before="0" w:after="60" w:lineRule="auto" w:line="360"/>
        <w:jc w:val="center"/>
      </w:pPr>
      <w:r>
        <w:rPr>
          <w:rFonts w:ascii="Times New Roman" w:hAnsi="Times New Roman" w:cs="Times New Roman"/>
          <w:rFonts w:ascii="Times New Roman" w:hAnsi="Times New Roman"/>
          <w:b/>
          <w:i w:val="0"/>
          <w:sz w:val="26"/>
        </w:rPr>
        <w:t>Arthur Reezan</w:t>
      </w:r>
    </w:p>
    <w:p>
      <w:pPr>
        <w:spacing w:before="0" w:after="960" w:lineRule="auto" w:line="360"/>
        <w:jc w:val="center"/>
      </w:pPr>
      <w:r>
        <w:rPr>
          <w:rFonts w:ascii="Times New Roman" w:hAnsi="Times New Roman" w:cs="Times New Roman"/>
          <w:rFonts w:ascii="Times New Roman" w:hAnsi="Times New Roman"/>
          <w:b/>
          <w:i w:val="0"/>
          <w:sz w:val="26"/>
        </w:rPr>
        <w:t>(312023002)</w:t>
      </w:r>
    </w:p>
    <w:p>
      <w:pPr>
        <w:spacing w:before="0" w:after="0" w:lineRule="auto" w:line="360"/>
        <w:jc w:val="center"/>
      </w:pPr>
      <w:r>
        <w:rPr>
          <w:rFonts w:ascii="Times New Roman" w:hAnsi="Times New Roman" w:cs="Times New Roman"/>
          <w:rFonts w:ascii="Times New Roman" w:hAnsi="Times New Roman"/>
          <w:b/>
          <w:i w:val="0"/>
          <w:sz w:val="24"/>
        </w:rPr>
        <w:t>FAKULTAS EKONOMI DAN BISNIS</w:t>
        <w:br/>
        <w:t>UNIVERSITAS KRISTEN KRIDA WACANA</w:t>
        <w:br/>
        <w:t>JAKARTA 2026</w:t>
      </w:r>
    </w:p>
    <w:p>
      <w:r>
        <w:br w:type="page"/>
      </w:r>
    </w:p>
    <w:p>
      <w:pPr>
        <w:spacing w:before="0" w:after="240" w:lineRule="auto" w:line="360"/>
        <w:jc w:val="center"/>
      </w:pPr>
      <w:r>
        <w:rPr>
          <w:rFonts w:ascii="Times New Roman" w:hAnsi="Times New Roman" w:cs="Times New Roman"/>
          <w:rFonts w:ascii="Times New Roman" w:hAnsi="Times New Roman"/>
          <w:b/>
          <w:i w:val="0"/>
          <w:sz w:val="24"/>
        </w:rPr>
        <w:t>PERSETUJUAN PROPOSAL SKRIPSI</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spacing w:before="40" w:after="40" w:lineRule="auto" w:line="360"/>
              <w:jc w:val="both"/>
            </w:pPr>
            <w:r>
              <w:rPr>
                <w:rFonts w:ascii="Times New Roman" w:hAnsi="Times New Roman" w:cs="Times New Roman"/>
                <w:rFonts w:ascii="Times New Roman" w:hAnsi="Times New Roman"/>
                <w:b/>
                <w:i w:val="0"/>
                <w:sz w:val="24"/>
              </w:rPr>
              <w:t>Nama</w:t>
            </w:r>
          </w:p>
        </w:tc>
        <w:tc>
          <w:tcPr>
            <w:tcW w:type="dxa" w:w="4135"/>
          </w:tcPr>
          <w:p>
            <w:pPr>
              <w:spacing w:before="40" w:after="40" w:lineRule="auto" w:line="360"/>
              <w:jc w:val="both"/>
            </w:pPr>
            <w:r>
              <w:rPr>
                <w:rFonts w:ascii="Times New Roman" w:hAnsi="Times New Roman" w:cs="Times New Roman"/>
                <w:rFonts w:ascii="Times New Roman" w:hAnsi="Times New Roman"/>
                <w:b w:val="0"/>
                <w:i w:val="0"/>
                <w:sz w:val="24"/>
              </w:rPr>
              <w:t>: Arthur Reezan   (Pria)</w:t>
            </w:r>
          </w:p>
        </w:tc>
      </w:tr>
      <w:tr>
        <w:tc>
          <w:tcPr>
            <w:tcW w:type="dxa" w:w="4135"/>
          </w:tcPr>
          <w:p>
            <w:pPr>
              <w:spacing w:before="40" w:after="40" w:lineRule="auto" w:line="360"/>
              <w:jc w:val="both"/>
            </w:pPr>
            <w:r>
              <w:rPr>
                <w:rFonts w:ascii="Times New Roman" w:hAnsi="Times New Roman" w:cs="Times New Roman"/>
                <w:rFonts w:ascii="Times New Roman" w:hAnsi="Times New Roman"/>
                <w:b/>
                <w:i w:val="0"/>
                <w:sz w:val="24"/>
              </w:rPr>
              <w:t>N.I.M.</w:t>
            </w:r>
          </w:p>
        </w:tc>
        <w:tc>
          <w:tcPr>
            <w:tcW w:type="dxa" w:w="4135"/>
          </w:tcPr>
          <w:p>
            <w:pPr>
              <w:spacing w:before="40" w:after="40" w:lineRule="auto" w:line="360"/>
              <w:jc w:val="both"/>
            </w:pPr>
            <w:r>
              <w:rPr>
                <w:rFonts w:ascii="Times New Roman" w:hAnsi="Times New Roman" w:cs="Times New Roman"/>
                <w:rFonts w:ascii="Times New Roman" w:hAnsi="Times New Roman"/>
                <w:b w:val="0"/>
                <w:i w:val="0"/>
                <w:sz w:val="24"/>
              </w:rPr>
              <w:t>: 312023002</w:t>
            </w:r>
          </w:p>
        </w:tc>
      </w:tr>
      <w:tr>
        <w:tc>
          <w:tcPr>
            <w:tcW w:type="dxa" w:w="4135"/>
          </w:tcPr>
          <w:p>
            <w:pPr>
              <w:spacing w:before="40" w:after="40" w:lineRule="auto" w:line="360"/>
              <w:jc w:val="both"/>
            </w:pPr>
            <w:r>
              <w:rPr>
                <w:rFonts w:ascii="Times New Roman" w:hAnsi="Times New Roman" w:cs="Times New Roman"/>
                <w:rFonts w:ascii="Times New Roman" w:hAnsi="Times New Roman"/>
                <w:b/>
                <w:i w:val="0"/>
                <w:sz w:val="24"/>
              </w:rPr>
              <w:t>Program Studi</w:t>
            </w:r>
          </w:p>
        </w:tc>
        <w:tc>
          <w:tcPr>
            <w:tcW w:type="dxa" w:w="4135"/>
          </w:tcPr>
          <w:p>
            <w:pPr>
              <w:spacing w:before="40" w:after="40" w:lineRule="auto" w:line="360"/>
              <w:jc w:val="both"/>
            </w:pPr>
            <w:r>
              <w:rPr>
                <w:rFonts w:ascii="Times New Roman" w:hAnsi="Times New Roman" w:cs="Times New Roman"/>
                <w:rFonts w:ascii="Times New Roman" w:hAnsi="Times New Roman"/>
                <w:b w:val="0"/>
                <w:i w:val="0"/>
                <w:sz w:val="24"/>
              </w:rPr>
              <w:t>: Program Studi Strata 1 Manajemen</w:t>
            </w:r>
          </w:p>
        </w:tc>
      </w:tr>
      <w:tr>
        <w:tc>
          <w:tcPr>
            <w:tcW w:type="dxa" w:w="4135"/>
          </w:tcPr>
          <w:p>
            <w:pPr>
              <w:spacing w:before="40" w:after="40" w:lineRule="auto" w:line="360"/>
              <w:jc w:val="both"/>
            </w:pPr>
            <w:r>
              <w:rPr>
                <w:rFonts w:ascii="Times New Roman" w:hAnsi="Times New Roman" w:cs="Times New Roman"/>
                <w:rFonts w:ascii="Times New Roman" w:hAnsi="Times New Roman"/>
                <w:b/>
                <w:i w:val="0"/>
                <w:sz w:val="24"/>
              </w:rPr>
              <w:t>Konsentrasi</w:t>
            </w:r>
          </w:p>
        </w:tc>
        <w:tc>
          <w:tcPr>
            <w:tcW w:type="dxa" w:w="4135"/>
          </w:tcPr>
          <w:p>
            <w:pPr>
              <w:spacing w:before="40" w:after="40" w:lineRule="auto" w:line="360"/>
              <w:jc w:val="both"/>
            </w:pPr>
            <w:r>
              <w:rPr>
                <w:rFonts w:ascii="Times New Roman" w:hAnsi="Times New Roman" w:cs="Times New Roman"/>
                <w:rFonts w:ascii="Times New Roman" w:hAnsi="Times New Roman"/>
                <w:b w:val="0"/>
                <w:i w:val="0"/>
                <w:sz w:val="24"/>
              </w:rPr>
              <w:t>: Manajemen Keuangan</w:t>
            </w:r>
          </w:p>
        </w:tc>
      </w:tr>
      <w:tr>
        <w:tc>
          <w:tcPr>
            <w:tcW w:type="dxa" w:w="4135"/>
          </w:tcPr>
          <w:p>
            <w:pPr>
              <w:spacing w:before="40" w:after="40" w:lineRule="auto" w:line="360"/>
              <w:jc w:val="both"/>
            </w:pPr>
            <w:r>
              <w:rPr>
                <w:rFonts w:ascii="Times New Roman" w:hAnsi="Times New Roman" w:cs="Times New Roman"/>
                <w:rFonts w:ascii="Times New Roman" w:hAnsi="Times New Roman"/>
                <w:b/>
                <w:i w:val="0"/>
                <w:sz w:val="24"/>
              </w:rPr>
              <w:t>Judul yang Diajukan</w:t>
            </w:r>
          </w:p>
        </w:tc>
        <w:tc>
          <w:tcPr>
            <w:tcW w:type="dxa" w:w="4135"/>
          </w:tcPr>
          <w:p>
            <w:pPr>
              <w:spacing w:before="40" w:after="40" w:lineRule="auto" w:line="360"/>
              <w:jc w:val="both"/>
            </w:pPr>
            <w:r>
              <w:rPr>
                <w:rFonts w:ascii="Times New Roman" w:hAnsi="Times New Roman" w:cs="Times New Roman"/>
                <w:rFonts w:ascii="Times New Roman" w:hAnsi="Times New Roman"/>
                <w:b w:val="0"/>
                <w:i w:val="0"/>
                <w:sz w:val="24"/>
              </w:rPr>
              <w:t>: PENGARUH PORTOFOLIO KREDIT HIJAU (GREEN FINANCING), NON-PERFORMING LOAN (NPL), DAN CAPITAL ADEQUACY RATIO (CAR) TERHADAP PROFITABILITAS (RETURN ON ASSETS / ROA) PADA BANK KBMI 4 DI INDONESIA PERIODE 2021–2025</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Proposal skripsi ini telah diperiksa dan disetujui untuk dipertahankan di hadapan Tim Penguji Seminar Proposal Skripsi Fakultas Ekonomi dan Bisnis Universitas Kristen Krida Wacana.</w:t>
      </w:r>
    </w:p>
    <w:p>
      <w:pPr>
        <w:spacing w:before="0" w:after="0" w:lineRule="auto" w:line="360"/>
        <w:jc w:val="both"/>
      </w:pPr>
      <w:r/>
    </w:p>
    <w:p>
      <w:pPr>
        <w:spacing w:before="240" w:after="120" w:lineRule="auto" w:line="360"/>
        <w:jc w:val="right"/>
      </w:pPr>
      <w:r>
        <w:rPr>
          <w:rFonts w:ascii="Times New Roman" w:hAnsi="Times New Roman" w:cs="Times New Roman"/>
          <w:rFonts w:ascii="Times New Roman" w:hAnsi="Times New Roman"/>
          <w:b w:val="0"/>
          <w:i w:val="0"/>
          <w:sz w:val="24"/>
        </w:rPr>
        <w:t>Jakarta, ________________ 2026</w:t>
      </w:r>
    </w:p>
    <w:p>
      <w:pPr>
        <w:spacing w:before="0" w:after="240" w:lineRule="auto" w:line="360"/>
        <w:jc w:val="right"/>
      </w:pPr>
      <w:r>
        <w:rPr>
          <w:rFonts w:ascii="Times New Roman" w:hAnsi="Times New Roman" w:cs="Times New Roman"/>
          <w:rFonts w:ascii="Times New Roman" w:hAnsi="Times New Roman"/>
          <w:b w:val="0"/>
          <w:i w:val="0"/>
          <w:sz w:val="24"/>
        </w:rPr>
        <w:t>Menyetujui,</w:t>
      </w: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val="0"/>
                <w:sz w:val="24"/>
              </w:rPr>
              <w:t>Dosen Pembimbing</w:t>
              <w:br/>
              <w:br/>
              <w:br/>
              <w:br/>
              <w:br/>
              <w:t>( Dr. Diana Frederica, S.E., M.Ak., CFP®., CHCP-A )</w:t>
            </w:r>
          </w:p>
        </w:tc>
        <w:tc>
          <w:tcPr>
            <w:tcW w:type="dxa" w:w="4135"/>
          </w:tcPr>
          <w:p>
            <w:pPr>
              <w:jc w:val="center"/>
            </w:pPr>
            <w:r>
              <w:rPr>
                <w:rFonts w:ascii="Times New Roman" w:hAnsi="Times New Roman" w:cs="Times New Roman"/>
                <w:rFonts w:ascii="Times New Roman" w:hAnsi="Times New Roman"/>
                <w:b w:val="0"/>
                <w:i w:val="0"/>
                <w:sz w:val="24"/>
              </w:rPr>
              <w:t>Dosen Pendamping</w:t>
              <w:br/>
              <w:br/>
              <w:br/>
              <w:br/>
              <w:br/>
              <w:t>( ________________________ )</w:t>
            </w:r>
          </w:p>
        </w:tc>
      </w:tr>
    </w:tbl>
    <w:p>
      <w:pPr>
        <w:spacing w:before="0" w:after="0" w:lineRule="auto" w:line="360"/>
        <w:jc w:val="both"/>
      </w:pPr>
      <w:r/>
    </w:p>
    <w:p>
      <w:pPr>
        <w:spacing w:before="0" w:after="120" w:lineRule="auto" w:line="360"/>
        <w:jc w:val="center"/>
      </w:pPr>
      <w:r>
        <w:rPr>
          <w:rFonts w:ascii="Times New Roman" w:hAnsi="Times New Roman" w:cs="Times New Roman"/>
          <w:rFonts w:ascii="Times New Roman" w:hAnsi="Times New Roman"/>
          <w:b w:val="0"/>
          <w:i w:val="0"/>
          <w:sz w:val="24"/>
        </w:rPr>
        <w:t>Mengetahui,</w:t>
        <w:br/>
        <w:t>Ketua Program Studi Manajemen</w:t>
        <w:br/>
        <w:br/>
        <w:br/>
        <w:br/>
        <w:t>( Rita Amelinda, S.E., M.M. )</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ISI</w:t>
      </w:r>
    </w:p>
    <w:p>
      <w:pPr>
        <w:spacing w:before="0" w:after="0" w:lineRule="auto" w:line="360"/>
        <w:jc w:val="both"/>
      </w:pPr>
      <w:r/>
    </w:p>
    <w:p>
      <w:pPr>
        <w:spacing w:before="20" w:after="20" w:lineRule="auto" w:line="360"/>
        <w:jc w:val="both"/>
      </w:pPr>
      <w:r>
        <w:rPr>
          <w:rFonts w:ascii="Times New Roman" w:hAnsi="Times New Roman" w:cs="Times New Roman"/>
          <w:rFonts w:ascii="Times New Roman" w:hAnsi="Times New Roman"/>
          <w:b/>
          <w:i w:val="0"/>
          <w:sz w:val="24"/>
        </w:rPr>
        <w:t>HALAMAN JUDUL PROPOSAL</w:t>
      </w:r>
      <w:r>
        <w:rPr>
          <w:rFonts w:ascii="Times New Roman" w:hAnsi="Times New Roman" w:cs="Times New Roman"/>
          <w:rFonts w:ascii="Times New Roman" w:hAnsi="Times New Roman"/>
          <w:b w:val="0"/>
          <w:i w:val="0"/>
          <w:color w:val="A0A0A0"/>
          <w:sz w:val="20"/>
        </w:rPr>
        <w:t xml:space="preserve"> . . . . . . . . . . . . . . . . . . . . . . . . . .  </w:t>
      </w:r>
      <w:r>
        <w:rPr>
          <w:rFonts w:ascii="Times New Roman" w:hAnsi="Times New Roman" w:cs="Times New Roman"/>
          <w:rFonts w:ascii="Times New Roman" w:hAnsi="Times New Roman"/>
          <w:b/>
          <w:i w:val="0"/>
          <w:sz w:val="24"/>
        </w:rPr>
        <w:t>i</w:t>
      </w:r>
    </w:p>
    <w:p>
      <w:pPr>
        <w:spacing w:before="20" w:after="20" w:lineRule="auto" w:line="360"/>
        <w:jc w:val="both"/>
      </w:pPr>
      <w:r>
        <w:rPr>
          <w:rFonts w:ascii="Times New Roman" w:hAnsi="Times New Roman" w:cs="Times New Roman"/>
          <w:rFonts w:ascii="Times New Roman" w:hAnsi="Times New Roman"/>
          <w:b/>
          <w:i w:val="0"/>
          <w:sz w:val="24"/>
        </w:rPr>
        <w:t>HALAMAN PERSETUJUAN PROPOSAL</w:t>
      </w:r>
      <w:r>
        <w:rPr>
          <w:rFonts w:ascii="Times New Roman" w:hAnsi="Times New Roman" w:cs="Times New Roman"/>
          <w:rFonts w:ascii="Times New Roman" w:hAnsi="Times New Roman"/>
          <w:b w:val="0"/>
          <w:i w:val="0"/>
          <w:color w:val="A0A0A0"/>
          <w:sz w:val="20"/>
        </w:rPr>
        <w:t xml:space="preserve"> . . . . . . . . . . . . . . . . . . . . . .  </w:t>
      </w:r>
      <w:r>
        <w:rPr>
          <w:rFonts w:ascii="Times New Roman" w:hAnsi="Times New Roman" w:cs="Times New Roman"/>
          <w:rFonts w:ascii="Times New Roman" w:hAnsi="Times New Roman"/>
          <w:b/>
          <w:i w:val="0"/>
          <w:sz w:val="24"/>
        </w:rPr>
        <w:t>ii</w:t>
      </w:r>
    </w:p>
    <w:p>
      <w:pPr>
        <w:spacing w:before="20" w:after="20" w:lineRule="auto" w:line="360"/>
        <w:jc w:val="both"/>
      </w:pPr>
      <w:r>
        <w:rPr>
          <w:rFonts w:ascii="Times New Roman" w:hAnsi="Times New Roman" w:cs="Times New Roman"/>
          <w:rFonts w:ascii="Times New Roman" w:hAnsi="Times New Roman"/>
          <w:b/>
          <w:i w:val="0"/>
          <w:sz w:val="24"/>
        </w:rPr>
        <w:t>DAFTAR ISI</w:t>
      </w:r>
      <w:r>
        <w:rPr>
          <w:rFonts w:ascii="Times New Roman" w:hAnsi="Times New Roman" w:cs="Times New Roman"/>
          <w:rFonts w:ascii="Times New Roman" w:hAnsi="Times New Roman"/>
          <w:b w:val="0"/>
          <w:i w:val="0"/>
          <w:color w:val="A0A0A0"/>
          <w:sz w:val="20"/>
        </w:rPr>
        <w:t xml:space="preserve"> . . . . . . . . . . . . . . . . . . . . . . . . . . . . . . .  </w:t>
      </w:r>
      <w:r>
        <w:rPr>
          <w:rFonts w:ascii="Times New Roman" w:hAnsi="Times New Roman" w:cs="Times New Roman"/>
          <w:rFonts w:ascii="Times New Roman" w:hAnsi="Times New Roman"/>
          <w:b/>
          <w:i w:val="0"/>
          <w:sz w:val="24"/>
        </w:rPr>
        <w:t>iii</w:t>
      </w:r>
    </w:p>
    <w:p>
      <w:pPr>
        <w:spacing w:before="20" w:after="20" w:lineRule="auto" w:line="360"/>
        <w:jc w:val="both"/>
      </w:pPr>
      <w:r>
        <w:rPr>
          <w:rFonts w:ascii="Times New Roman" w:hAnsi="Times New Roman" w:cs="Times New Roman"/>
          <w:rFonts w:ascii="Times New Roman" w:hAnsi="Times New Roman"/>
          <w:b/>
          <w:i w:val="0"/>
          <w:sz w:val="24"/>
        </w:rPr>
        <w:t>DAFTAR TABEL</w:t>
      </w:r>
      <w:r>
        <w:rPr>
          <w:rFonts w:ascii="Times New Roman" w:hAnsi="Times New Roman" w:cs="Times New Roman"/>
          <w:rFonts w:ascii="Times New Roman" w:hAnsi="Times New Roman"/>
          <w:b w:val="0"/>
          <w:i w:val="0"/>
          <w:color w:val="A0A0A0"/>
          <w:sz w:val="20"/>
        </w:rPr>
        <w:t xml:space="preserve"> . . . . . . . . . . . . . . . . . . . . . . . . . . . . . .  </w:t>
      </w:r>
      <w:r>
        <w:rPr>
          <w:rFonts w:ascii="Times New Roman" w:hAnsi="Times New Roman" w:cs="Times New Roman"/>
          <w:rFonts w:ascii="Times New Roman" w:hAnsi="Times New Roman"/>
          <w:b/>
          <w:i w:val="0"/>
          <w:sz w:val="24"/>
        </w:rPr>
        <w:t>iv</w:t>
      </w:r>
    </w:p>
    <w:p>
      <w:pPr>
        <w:spacing w:before="20" w:after="20" w:lineRule="auto" w:line="360"/>
        <w:jc w:val="both"/>
      </w:pPr>
      <w:r>
        <w:rPr>
          <w:rFonts w:ascii="Times New Roman" w:hAnsi="Times New Roman" w:cs="Times New Roman"/>
          <w:rFonts w:ascii="Times New Roman" w:hAnsi="Times New Roman"/>
          <w:b/>
          <w:i w:val="0"/>
          <w:sz w:val="24"/>
        </w:rPr>
        <w:t>DAFTAR GAMBAR</w:t>
      </w:r>
      <w:r>
        <w:rPr>
          <w:rFonts w:ascii="Times New Roman" w:hAnsi="Times New Roman" w:cs="Times New Roman"/>
          <w:rFonts w:ascii="Times New Roman" w:hAnsi="Times New Roman"/>
          <w:b w:val="0"/>
          <w:i w:val="0"/>
          <w:color w:val="A0A0A0"/>
          <w:sz w:val="20"/>
        </w:rPr>
        <w:t xml:space="preserve"> . . . . . . . . . . . . . . . . . . . . . . . . . . . . . .  </w:t>
      </w:r>
      <w:r>
        <w:rPr>
          <w:rFonts w:ascii="Times New Roman" w:hAnsi="Times New Roman" w:cs="Times New Roman"/>
          <w:rFonts w:ascii="Times New Roman" w:hAnsi="Times New Roman"/>
          <w:b/>
          <w:i w:val="0"/>
          <w:sz w:val="24"/>
        </w:rPr>
        <w:t>v</w:t>
      </w:r>
    </w:p>
    <w:p>
      <w:pPr>
        <w:spacing w:before="0" w:after="0" w:lineRule="auto" w:line="360"/>
        <w:jc w:val="both"/>
      </w:pPr>
      <w:r/>
    </w:p>
    <w:p>
      <w:pPr>
        <w:spacing w:before="20" w:after="20" w:lineRule="auto" w:line="360"/>
        <w:jc w:val="both"/>
      </w:pPr>
      <w:r>
        <w:rPr>
          <w:rFonts w:ascii="Times New Roman" w:hAnsi="Times New Roman" w:cs="Times New Roman"/>
          <w:rFonts w:ascii="Times New Roman" w:hAnsi="Times New Roman"/>
          <w:b/>
          <w:i w:val="0"/>
          <w:sz w:val="24"/>
        </w:rPr>
        <w:t>BAB 1  PENDAHULUAN</w:t>
      </w:r>
      <w:r>
        <w:rPr>
          <w:rFonts w:ascii="Times New Roman" w:hAnsi="Times New Roman" w:cs="Times New Roman"/>
          <w:rFonts w:ascii="Times New Roman" w:hAnsi="Times New Roman"/>
          <w:b w:val="0"/>
          <w:i w:val="0"/>
          <w:color w:val="A0A0A0"/>
          <w:sz w:val="20"/>
        </w:rPr>
        <w:t xml:space="preserve"> . . . . . . . . . . . . . . . . . . . . . . . . . . . .  </w:t>
      </w:r>
      <w:r>
        <w:rPr>
          <w:rFonts w:ascii="Times New Roman" w:hAnsi="Times New Roman" w:cs="Times New Roman"/>
          <w:rFonts w:ascii="Times New Roman" w:hAnsi="Times New Roman"/>
          <w:b/>
          <w:i w:val="0"/>
          <w:sz w:val="24"/>
        </w:rPr>
        <w:t>1</w:t>
      </w:r>
    </w:p>
    <w:p>
      <w:pPr>
        <w:spacing w:before="20" w:after="20" w:lineRule="auto" w:line="360"/>
        <w:ind w:firstLine="425"/>
        <w:jc w:val="both"/>
      </w:pPr>
      <w:r>
        <w:rPr>
          <w:rFonts w:ascii="Times New Roman" w:hAnsi="Times New Roman" w:cs="Times New Roman"/>
          <w:rFonts w:ascii="Times New Roman" w:hAnsi="Times New Roman"/>
          <w:b w:val="0"/>
          <w:i w:val="0"/>
          <w:sz w:val="24"/>
        </w:rPr>
        <w:t>1.1. Latar Belakang Penelitian</w:t>
      </w:r>
      <w:r>
        <w:rPr>
          <w:rFonts w:ascii="Times New Roman" w:hAnsi="Times New Roman" w:cs="Times New Roman"/>
          <w:rFonts w:ascii="Times New Roman" w:hAnsi="Times New Roman"/>
          <w:b w:val="0"/>
          <w:i w:val="0"/>
          <w:color w:val="A0A0A0"/>
          <w:sz w:val="20"/>
        </w:rPr>
        <w:t xml:space="preserve"> . . . . . . . . . . . . . . . . . . . .  </w:t>
      </w:r>
      <w:r>
        <w:rPr>
          <w:rFonts w:ascii="Times New Roman" w:hAnsi="Times New Roman" w:cs="Times New Roman"/>
          <w:rFonts w:ascii="Times New Roman" w:hAnsi="Times New Roman"/>
          <w:b w:val="0"/>
          <w:i w:val="0"/>
          <w:sz w:val="24"/>
        </w:rPr>
        <w:t>1</w:t>
      </w:r>
    </w:p>
    <w:p>
      <w:pPr>
        <w:spacing w:before="20" w:after="20" w:lineRule="auto" w:line="360"/>
        <w:ind w:firstLine="425"/>
        <w:jc w:val="both"/>
      </w:pPr>
      <w:r>
        <w:rPr>
          <w:rFonts w:ascii="Times New Roman" w:hAnsi="Times New Roman" w:cs="Times New Roman"/>
          <w:rFonts w:ascii="Times New Roman" w:hAnsi="Times New Roman"/>
          <w:b w:val="0"/>
          <w:i w:val="0"/>
          <w:sz w:val="24"/>
        </w:rPr>
        <w:t>1.2. Perumusan Masalah</w:t>
      </w:r>
      <w:r>
        <w:rPr>
          <w:rFonts w:ascii="Times New Roman" w:hAnsi="Times New Roman" w:cs="Times New Roman"/>
          <w:rFonts w:ascii="Times New Roman" w:hAnsi="Times New Roman"/>
          <w:b w:val="0"/>
          <w:i w:val="0"/>
          <w:color w:val="A0A0A0"/>
          <w:sz w:val="20"/>
        </w:rPr>
        <w:t xml:space="preserve"> . . . . . . . . . . . . . . . . . . . . . . . .  </w:t>
      </w:r>
      <w:r>
        <w:rPr>
          <w:rFonts w:ascii="Times New Roman" w:hAnsi="Times New Roman" w:cs="Times New Roman"/>
          <w:rFonts w:ascii="Times New Roman" w:hAnsi="Times New Roman"/>
          <w:b w:val="0"/>
          <w:i w:val="0"/>
          <w:sz w:val="24"/>
        </w:rPr>
        <w:t>7</w:t>
      </w:r>
    </w:p>
    <w:p>
      <w:pPr>
        <w:spacing w:before="20" w:after="20" w:lineRule="auto" w:line="360"/>
        <w:ind w:firstLine="425"/>
        <w:jc w:val="both"/>
      </w:pPr>
      <w:r>
        <w:rPr>
          <w:rFonts w:ascii="Times New Roman" w:hAnsi="Times New Roman" w:cs="Times New Roman"/>
          <w:rFonts w:ascii="Times New Roman" w:hAnsi="Times New Roman"/>
          <w:b w:val="0"/>
          <w:i w:val="0"/>
          <w:sz w:val="24"/>
        </w:rPr>
        <w:t>1.3. Tujuan Penelitian</w:t>
      </w:r>
      <w:r>
        <w:rPr>
          <w:rFonts w:ascii="Times New Roman" w:hAnsi="Times New Roman" w:cs="Times New Roman"/>
          <w:rFonts w:ascii="Times New Roman" w:hAnsi="Times New Roman"/>
          <w:b w:val="0"/>
          <w:i w:val="0"/>
          <w:color w:val="A0A0A0"/>
          <w:sz w:val="20"/>
        </w:rPr>
        <w:t xml:space="preserve"> . . . . . . . . . . . . . . . . . . . . . . . .  </w:t>
      </w:r>
      <w:r>
        <w:rPr>
          <w:rFonts w:ascii="Times New Roman" w:hAnsi="Times New Roman" w:cs="Times New Roman"/>
          <w:rFonts w:ascii="Times New Roman" w:hAnsi="Times New Roman"/>
          <w:b w:val="0"/>
          <w:i w:val="0"/>
          <w:sz w:val="24"/>
        </w:rPr>
        <w:t>8</w:t>
      </w:r>
    </w:p>
    <w:p>
      <w:pPr>
        <w:spacing w:before="20" w:after="20" w:lineRule="auto" w:line="360"/>
        <w:ind w:firstLine="425"/>
        <w:jc w:val="both"/>
      </w:pPr>
      <w:r>
        <w:rPr>
          <w:rFonts w:ascii="Times New Roman" w:hAnsi="Times New Roman" w:cs="Times New Roman"/>
          <w:rFonts w:ascii="Times New Roman" w:hAnsi="Times New Roman"/>
          <w:b w:val="0"/>
          <w:i w:val="0"/>
          <w:sz w:val="24"/>
        </w:rPr>
        <w:t>1.4. Manfaat Penelitian</w:t>
      </w:r>
      <w:r>
        <w:rPr>
          <w:rFonts w:ascii="Times New Roman" w:hAnsi="Times New Roman" w:cs="Times New Roman"/>
          <w:rFonts w:ascii="Times New Roman" w:hAnsi="Times New Roman"/>
          <w:b w:val="0"/>
          <w:i w:val="0"/>
          <w:color w:val="A0A0A0"/>
          <w:sz w:val="20"/>
        </w:rPr>
        <w:t xml:space="preserve"> . . . . . . . . . . . . . . . . . . . . . . . .  </w:t>
      </w:r>
      <w:r>
        <w:rPr>
          <w:rFonts w:ascii="Times New Roman" w:hAnsi="Times New Roman" w:cs="Times New Roman"/>
          <w:rFonts w:ascii="Times New Roman" w:hAnsi="Times New Roman"/>
          <w:b w:val="0"/>
          <w:i w:val="0"/>
          <w:sz w:val="24"/>
        </w:rPr>
        <w:t>9</w:t>
      </w:r>
    </w:p>
    <w:p>
      <w:pPr>
        <w:spacing w:before="20" w:after="20" w:lineRule="auto" w:line="360"/>
        <w:ind w:firstLine="425"/>
        <w:jc w:val="both"/>
      </w:pPr>
      <w:r>
        <w:rPr>
          <w:rFonts w:ascii="Times New Roman" w:hAnsi="Times New Roman" w:cs="Times New Roman"/>
          <w:rFonts w:ascii="Times New Roman" w:hAnsi="Times New Roman"/>
          <w:b w:val="0"/>
          <w:i w:val="0"/>
          <w:sz w:val="24"/>
        </w:rPr>
        <w:t>1.5. Sistematika Penulisan Proposal Skripsi</w:t>
      </w:r>
      <w:r>
        <w:rPr>
          <w:rFonts w:ascii="Times New Roman" w:hAnsi="Times New Roman" w:cs="Times New Roman"/>
          <w:rFonts w:ascii="Times New Roman" w:hAnsi="Times New Roman"/>
          <w:b w:val="0"/>
          <w:i w:val="0"/>
          <w:color w:val="A0A0A0"/>
          <w:sz w:val="20"/>
        </w:rPr>
        <w:t xml:space="preserve"> . . . . . . . . . . . . .  </w:t>
      </w:r>
      <w:r>
        <w:rPr>
          <w:rFonts w:ascii="Times New Roman" w:hAnsi="Times New Roman" w:cs="Times New Roman"/>
          <w:rFonts w:ascii="Times New Roman" w:hAnsi="Times New Roman"/>
          <w:b w:val="0"/>
          <w:i w:val="0"/>
          <w:sz w:val="24"/>
        </w:rPr>
        <w:t>10</w:t>
      </w:r>
    </w:p>
    <w:p>
      <w:pPr>
        <w:spacing w:before="0" w:after="0" w:lineRule="auto" w:line="360"/>
        <w:jc w:val="both"/>
      </w:pPr>
      <w:r/>
    </w:p>
    <w:p>
      <w:pPr>
        <w:spacing w:before="20" w:after="20" w:lineRule="auto" w:line="360"/>
        <w:jc w:val="both"/>
      </w:pPr>
      <w:r>
        <w:rPr>
          <w:rFonts w:ascii="Times New Roman" w:hAnsi="Times New Roman" w:cs="Times New Roman"/>
          <w:rFonts w:ascii="Times New Roman" w:hAnsi="Times New Roman"/>
          <w:b/>
          <w:i w:val="0"/>
          <w:sz w:val="24"/>
        </w:rPr>
        <w:t>BAB 2  TINJAUAN PUSTAKA DAN PENGEMBANGAN HIPOTESIS</w:t>
      </w:r>
      <w:r>
        <w:rPr>
          <w:rFonts w:ascii="Times New Roman" w:hAnsi="Times New Roman" w:cs="Times New Roman"/>
          <w:rFonts w:ascii="Times New Roman" w:hAnsi="Times New Roman"/>
          <w:b w:val="0"/>
          <w:i w:val="0"/>
          <w:color w:val="A0A0A0"/>
          <w:sz w:val="20"/>
        </w:rPr>
        <w:t xml:space="preserve"> . . . . . . . . . . .  </w:t>
      </w:r>
      <w:r>
        <w:rPr>
          <w:rFonts w:ascii="Times New Roman" w:hAnsi="Times New Roman" w:cs="Times New Roman"/>
          <w:rFonts w:ascii="Times New Roman" w:hAnsi="Times New Roman"/>
          <w:b/>
          <w:i w:val="0"/>
          <w:sz w:val="24"/>
        </w:rPr>
        <w:t>12</w:t>
      </w:r>
    </w:p>
    <w:p>
      <w:pPr>
        <w:spacing w:before="20" w:after="20" w:lineRule="auto" w:line="360"/>
        <w:ind w:firstLine="425"/>
        <w:jc w:val="both"/>
      </w:pPr>
      <w:r>
        <w:rPr>
          <w:rFonts w:ascii="Times New Roman" w:hAnsi="Times New Roman" w:cs="Times New Roman"/>
          <w:rFonts w:ascii="Times New Roman" w:hAnsi="Times New Roman"/>
          <w:b w:val="0"/>
          <w:i w:val="0"/>
          <w:sz w:val="24"/>
        </w:rPr>
        <w:t>2.1. Teori-Teori</w:t>
      </w:r>
      <w:r>
        <w:rPr>
          <w:rFonts w:ascii="Times New Roman" w:hAnsi="Times New Roman" w:cs="Times New Roman"/>
          <w:rFonts w:ascii="Times New Roman" w:hAnsi="Times New Roman"/>
          <w:b w:val="0"/>
          <w:i w:val="0"/>
          <w:color w:val="A0A0A0"/>
          <w:sz w:val="20"/>
        </w:rPr>
        <w:t xml:space="preserve"> . . . . . . . . . . . . . . . . . . . . . . . . . . .  </w:t>
      </w:r>
      <w:r>
        <w:rPr>
          <w:rFonts w:ascii="Times New Roman" w:hAnsi="Times New Roman" w:cs="Times New Roman"/>
          <w:rFonts w:ascii="Times New Roman" w:hAnsi="Times New Roman"/>
          <w:b w:val="0"/>
          <w:i w:val="0"/>
          <w:sz w:val="24"/>
        </w:rPr>
        <w:t>12</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2.1.1. Teori Pemangku Kepentingan (Stakeholder Theory)</w:t>
      </w:r>
      <w:r>
        <w:rPr>
          <w:rFonts w:ascii="Times New Roman" w:hAnsi="Times New Roman" w:cs="Times New Roman"/>
          <w:rFonts w:ascii="Times New Roman" w:hAnsi="Times New Roman"/>
          <w:b w:val="0"/>
          <w:i w:val="0"/>
          <w:color w:val="A0A0A0"/>
          <w:sz w:val="20"/>
        </w:rPr>
        <w:t xml:space="preserve"> . . . . .  </w:t>
      </w:r>
      <w:r>
        <w:rPr>
          <w:rFonts w:ascii="Times New Roman" w:hAnsi="Times New Roman" w:cs="Times New Roman"/>
          <w:rFonts w:ascii="Times New Roman" w:hAnsi="Times New Roman"/>
          <w:b w:val="0"/>
          <w:i w:val="0"/>
          <w:sz w:val="24"/>
        </w:rPr>
        <w:t>12</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2.1.2. Teori Legitimasi (Legitimacy Theory)</w:t>
      </w:r>
      <w:r>
        <w:rPr>
          <w:rFonts w:ascii="Times New Roman" w:hAnsi="Times New Roman" w:cs="Times New Roman"/>
          <w:rFonts w:ascii="Times New Roman" w:hAnsi="Times New Roman"/>
          <w:b w:val="0"/>
          <w:i w:val="0"/>
          <w:color w:val="A0A0A0"/>
          <w:sz w:val="20"/>
        </w:rPr>
        <w:t xml:space="preserve"> . . . . . . . . . . .  </w:t>
      </w:r>
      <w:r>
        <w:rPr>
          <w:rFonts w:ascii="Times New Roman" w:hAnsi="Times New Roman" w:cs="Times New Roman"/>
          <w:rFonts w:ascii="Times New Roman" w:hAnsi="Times New Roman"/>
          <w:b w:val="0"/>
          <w:i w:val="0"/>
          <w:sz w:val="24"/>
        </w:rPr>
        <w:t>14</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2.1.3. Teori Intermediasi Finansial</w:t>
      </w:r>
      <w:r>
        <w:rPr>
          <w:rFonts w:ascii="Times New Roman" w:hAnsi="Times New Roman" w:cs="Times New Roman"/>
          <w:rFonts w:ascii="Times New Roman" w:hAnsi="Times New Roman"/>
          <w:b w:val="0"/>
          <w:i w:val="0"/>
          <w:color w:val="A0A0A0"/>
          <w:sz w:val="20"/>
        </w:rPr>
        <w:t xml:space="preserve"> . . . . . . . . . . . . . . .  </w:t>
      </w:r>
      <w:r>
        <w:rPr>
          <w:rFonts w:ascii="Times New Roman" w:hAnsi="Times New Roman" w:cs="Times New Roman"/>
          <w:rFonts w:ascii="Times New Roman" w:hAnsi="Times New Roman"/>
          <w:b w:val="0"/>
          <w:i w:val="0"/>
          <w:sz w:val="24"/>
        </w:rPr>
        <w:t>15</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2.1.4. Teori Sinyal (Signaling Theory)</w:t>
      </w:r>
      <w:r>
        <w:rPr>
          <w:rFonts w:ascii="Times New Roman" w:hAnsi="Times New Roman" w:cs="Times New Roman"/>
          <w:rFonts w:ascii="Times New Roman" w:hAnsi="Times New Roman"/>
          <w:b w:val="0"/>
          <w:i w:val="0"/>
          <w:color w:val="A0A0A0"/>
          <w:sz w:val="20"/>
        </w:rPr>
        <w:t xml:space="preserve"> . . . . . . . . . . . . .  </w:t>
      </w:r>
      <w:r>
        <w:rPr>
          <w:rFonts w:ascii="Times New Roman" w:hAnsi="Times New Roman" w:cs="Times New Roman"/>
          <w:rFonts w:ascii="Times New Roman" w:hAnsi="Times New Roman"/>
          <w:b w:val="0"/>
          <w:i w:val="0"/>
          <w:sz w:val="24"/>
        </w:rPr>
        <w:t>16</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2.1.5. Konsep Profitabilitas Bank dan Return on Assets (ROA)</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val="0"/>
          <w:i w:val="0"/>
          <w:sz w:val="24"/>
        </w:rPr>
        <w:t>17</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2.1.6. Portofolio Kredit Hijau (Green Financing)</w:t>
      </w:r>
      <w:r>
        <w:rPr>
          <w:rFonts w:ascii="Times New Roman" w:hAnsi="Times New Roman" w:cs="Times New Roman"/>
          <w:rFonts w:ascii="Times New Roman" w:hAnsi="Times New Roman"/>
          <w:b w:val="0"/>
          <w:i w:val="0"/>
          <w:color w:val="A0A0A0"/>
          <w:sz w:val="20"/>
        </w:rPr>
        <w:t xml:space="preserve"> . . . . . . . .  </w:t>
      </w:r>
      <w:r>
        <w:rPr>
          <w:rFonts w:ascii="Times New Roman" w:hAnsi="Times New Roman" w:cs="Times New Roman"/>
          <w:rFonts w:ascii="Times New Roman" w:hAnsi="Times New Roman"/>
          <w:b w:val="0"/>
          <w:i w:val="0"/>
          <w:sz w:val="24"/>
        </w:rPr>
        <w:t>18</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2.1.7. Risiko Kredit dan Non-Performing Loan (NPL)</w:t>
      </w:r>
      <w:r>
        <w:rPr>
          <w:rFonts w:ascii="Times New Roman" w:hAnsi="Times New Roman" w:cs="Times New Roman"/>
          <w:rFonts w:ascii="Times New Roman" w:hAnsi="Times New Roman"/>
          <w:b w:val="0"/>
          <w:i w:val="0"/>
          <w:color w:val="A0A0A0"/>
          <w:sz w:val="20"/>
        </w:rPr>
        <w:t xml:space="preserve"> . . . . . . .  </w:t>
      </w:r>
      <w:r>
        <w:rPr>
          <w:rFonts w:ascii="Times New Roman" w:hAnsi="Times New Roman" w:cs="Times New Roman"/>
          <w:rFonts w:ascii="Times New Roman" w:hAnsi="Times New Roman"/>
          <w:b w:val="0"/>
          <w:i w:val="0"/>
          <w:sz w:val="24"/>
        </w:rPr>
        <w:t>20</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2.1.8. Kecukupan Modal dan Capital Adequacy Ratio (CAR)</w:t>
      </w:r>
      <w:r>
        <w:rPr>
          <w:rFonts w:ascii="Times New Roman" w:hAnsi="Times New Roman" w:cs="Times New Roman"/>
          <w:rFonts w:ascii="Times New Roman" w:hAnsi="Times New Roman"/>
          <w:b w:val="0"/>
          <w:i w:val="0"/>
          <w:color w:val="A0A0A0"/>
          <w:sz w:val="20"/>
        </w:rPr>
        <w:t xml:space="preserve"> . . . . .  </w:t>
      </w:r>
      <w:r>
        <w:rPr>
          <w:rFonts w:ascii="Times New Roman" w:hAnsi="Times New Roman" w:cs="Times New Roman"/>
          <w:rFonts w:ascii="Times New Roman" w:hAnsi="Times New Roman"/>
          <w:b w:val="0"/>
          <w:i w:val="0"/>
          <w:sz w:val="24"/>
        </w:rPr>
        <w:t>22</w:t>
      </w:r>
    </w:p>
    <w:p>
      <w:pPr>
        <w:spacing w:before="20" w:after="20" w:lineRule="auto" w:line="360"/>
        <w:ind w:firstLine="425"/>
        <w:jc w:val="both"/>
      </w:pPr>
      <w:r>
        <w:rPr>
          <w:rFonts w:ascii="Times New Roman" w:hAnsi="Times New Roman" w:cs="Times New Roman"/>
          <w:rFonts w:ascii="Times New Roman" w:hAnsi="Times New Roman"/>
          <w:b w:val="0"/>
          <w:i w:val="0"/>
          <w:sz w:val="24"/>
        </w:rPr>
        <w:t>2.2. Penelitian Sebelumnya</w:t>
      </w:r>
      <w:r>
        <w:rPr>
          <w:rFonts w:ascii="Times New Roman" w:hAnsi="Times New Roman" w:cs="Times New Roman"/>
          <w:rFonts w:ascii="Times New Roman" w:hAnsi="Times New Roman"/>
          <w:b w:val="0"/>
          <w:i w:val="0"/>
          <w:color w:val="A0A0A0"/>
          <w:sz w:val="20"/>
        </w:rPr>
        <w:t xml:space="preserve"> . . . . . . . . . . . . . . . . . . . . . .  </w:t>
      </w:r>
      <w:r>
        <w:rPr>
          <w:rFonts w:ascii="Times New Roman" w:hAnsi="Times New Roman" w:cs="Times New Roman"/>
          <w:rFonts w:ascii="Times New Roman" w:hAnsi="Times New Roman"/>
          <w:b w:val="0"/>
          <w:i w:val="0"/>
          <w:sz w:val="24"/>
        </w:rPr>
        <w:t>23</w:t>
      </w:r>
    </w:p>
    <w:p>
      <w:pPr>
        <w:spacing w:before="20" w:after="20" w:lineRule="auto" w:line="360"/>
        <w:ind w:firstLine="425"/>
        <w:jc w:val="both"/>
      </w:pPr>
      <w:r>
        <w:rPr>
          <w:rFonts w:ascii="Times New Roman" w:hAnsi="Times New Roman" w:cs="Times New Roman"/>
          <w:rFonts w:ascii="Times New Roman" w:hAnsi="Times New Roman"/>
          <w:b w:val="0"/>
          <w:i w:val="0"/>
          <w:sz w:val="24"/>
        </w:rPr>
        <w:t>2.3. Rerangka Penelitian</w:t>
      </w:r>
      <w:r>
        <w:rPr>
          <w:rFonts w:ascii="Times New Roman" w:hAnsi="Times New Roman" w:cs="Times New Roman"/>
          <w:rFonts w:ascii="Times New Roman" w:hAnsi="Times New Roman"/>
          <w:b w:val="0"/>
          <w:i w:val="0"/>
          <w:color w:val="A0A0A0"/>
          <w:sz w:val="20"/>
        </w:rPr>
        <w:t xml:space="preserve"> . . . . . . . . . . . . . . . . . . . . . . .  </w:t>
      </w:r>
      <w:r>
        <w:rPr>
          <w:rFonts w:ascii="Times New Roman" w:hAnsi="Times New Roman" w:cs="Times New Roman"/>
          <w:rFonts w:ascii="Times New Roman" w:hAnsi="Times New Roman"/>
          <w:b w:val="0"/>
          <w:i w:val="0"/>
          <w:sz w:val="24"/>
        </w:rPr>
        <w:t>30</w:t>
      </w:r>
    </w:p>
    <w:p>
      <w:pPr>
        <w:spacing w:before="20" w:after="20" w:lineRule="auto" w:line="360"/>
        <w:ind w:firstLine="425"/>
        <w:jc w:val="both"/>
      </w:pPr>
      <w:r>
        <w:rPr>
          <w:rFonts w:ascii="Times New Roman" w:hAnsi="Times New Roman" w:cs="Times New Roman"/>
          <w:rFonts w:ascii="Times New Roman" w:hAnsi="Times New Roman"/>
          <w:b w:val="0"/>
          <w:i w:val="0"/>
          <w:sz w:val="24"/>
        </w:rPr>
        <w:t>2.4. Pengembangan Hipotesis</w:t>
      </w:r>
      <w:r>
        <w:rPr>
          <w:rFonts w:ascii="Times New Roman" w:hAnsi="Times New Roman" w:cs="Times New Roman"/>
          <w:rFonts w:ascii="Times New Roman" w:hAnsi="Times New Roman"/>
          <w:b w:val="0"/>
          <w:i w:val="0"/>
          <w:color w:val="A0A0A0"/>
          <w:sz w:val="20"/>
        </w:rPr>
        <w:t xml:space="preserve"> . . . . . . . . . . . . . . . . . . . . .  </w:t>
      </w:r>
      <w:r>
        <w:rPr>
          <w:rFonts w:ascii="Times New Roman" w:hAnsi="Times New Roman" w:cs="Times New Roman"/>
          <w:rFonts w:ascii="Times New Roman" w:hAnsi="Times New Roman"/>
          <w:b w:val="0"/>
          <w:i w:val="0"/>
          <w:sz w:val="24"/>
        </w:rPr>
        <w:t>32</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2.4.1. Pengaruh Green Financing terhadap Return on Assets</w:t>
      </w:r>
      <w:r>
        <w:rPr>
          <w:rFonts w:ascii="Times New Roman" w:hAnsi="Times New Roman" w:cs="Times New Roman"/>
          <w:rFonts w:ascii="Times New Roman" w:hAnsi="Times New Roman"/>
          <w:b w:val="0"/>
          <w:i w:val="0"/>
          <w:color w:val="A0A0A0"/>
          <w:sz w:val="20"/>
        </w:rPr>
        <w:t xml:space="preserve"> . . . .  </w:t>
      </w:r>
      <w:r>
        <w:rPr>
          <w:rFonts w:ascii="Times New Roman" w:hAnsi="Times New Roman" w:cs="Times New Roman"/>
          <w:rFonts w:ascii="Times New Roman" w:hAnsi="Times New Roman"/>
          <w:b w:val="0"/>
          <w:i w:val="0"/>
          <w:sz w:val="24"/>
        </w:rPr>
        <w:t>32</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2.4.2. Pengaruh Non-Performing Loan terhadap Return on Assets</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val="0"/>
          <w:i w:val="0"/>
          <w:sz w:val="24"/>
        </w:rPr>
        <w:t>34</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2.4.3. Pengaruh Capital Adequacy Ratio terhadap Return on Assets</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val="0"/>
          <w:i w:val="0"/>
          <w:sz w:val="24"/>
        </w:rPr>
        <w:t>36</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2.4.4. Pengaruh Simultan Green Financing, NPL, dan CAR terhadap ROA</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val="0"/>
          <w:i w:val="0"/>
          <w:sz w:val="24"/>
        </w:rPr>
        <w:t>37</w:t>
      </w:r>
    </w:p>
    <w:p>
      <w:pPr>
        <w:spacing w:before="0" w:after="0" w:lineRule="auto" w:line="360"/>
        <w:jc w:val="both"/>
      </w:pPr>
      <w:r/>
    </w:p>
    <w:p>
      <w:pPr>
        <w:spacing w:before="20" w:after="20" w:lineRule="auto" w:line="360"/>
        <w:jc w:val="both"/>
      </w:pPr>
      <w:r>
        <w:rPr>
          <w:rFonts w:ascii="Times New Roman" w:hAnsi="Times New Roman" w:cs="Times New Roman"/>
          <w:rFonts w:ascii="Times New Roman" w:hAnsi="Times New Roman"/>
          <w:b/>
          <w:i w:val="0"/>
          <w:sz w:val="24"/>
        </w:rPr>
        <w:t>BAB 3  METODE PENELITIAN</w:t>
      </w:r>
      <w:r>
        <w:rPr>
          <w:rFonts w:ascii="Times New Roman" w:hAnsi="Times New Roman" w:cs="Times New Roman"/>
          <w:rFonts w:ascii="Times New Roman" w:hAnsi="Times New Roman"/>
          <w:b w:val="0"/>
          <w:i w:val="0"/>
          <w:color w:val="A0A0A0"/>
          <w:sz w:val="20"/>
        </w:rPr>
        <w:t xml:space="preserve"> . . . . . . . . . . . . . . . . . . . . . . . .  </w:t>
      </w:r>
      <w:r>
        <w:rPr>
          <w:rFonts w:ascii="Times New Roman" w:hAnsi="Times New Roman" w:cs="Times New Roman"/>
          <w:rFonts w:ascii="Times New Roman" w:hAnsi="Times New Roman"/>
          <w:b/>
          <w:i w:val="0"/>
          <w:sz w:val="24"/>
        </w:rPr>
        <w:t>39</w:t>
      </w:r>
    </w:p>
    <w:p>
      <w:pPr>
        <w:spacing w:before="20" w:after="20" w:lineRule="auto" w:line="360"/>
        <w:ind w:firstLine="425"/>
        <w:jc w:val="both"/>
      </w:pPr>
      <w:r>
        <w:rPr>
          <w:rFonts w:ascii="Times New Roman" w:hAnsi="Times New Roman" w:cs="Times New Roman"/>
          <w:rFonts w:ascii="Times New Roman" w:hAnsi="Times New Roman"/>
          <w:b w:val="0"/>
          <w:i w:val="0"/>
          <w:sz w:val="24"/>
        </w:rPr>
        <w:t>3.1. Jenis, Sumber, dan Teknik Pengumpulan Data</w:t>
      </w:r>
      <w:r>
        <w:rPr>
          <w:rFonts w:ascii="Times New Roman" w:hAnsi="Times New Roman" w:cs="Times New Roman"/>
          <w:rFonts w:ascii="Times New Roman" w:hAnsi="Times New Roman"/>
          <w:b w:val="0"/>
          <w:i w:val="0"/>
          <w:color w:val="A0A0A0"/>
          <w:sz w:val="20"/>
        </w:rPr>
        <w:t xml:space="preserve"> . . . . . . . . . . .  </w:t>
      </w:r>
      <w:r>
        <w:rPr>
          <w:rFonts w:ascii="Times New Roman" w:hAnsi="Times New Roman" w:cs="Times New Roman"/>
          <w:rFonts w:ascii="Times New Roman" w:hAnsi="Times New Roman"/>
          <w:b w:val="0"/>
          <w:i w:val="0"/>
          <w:sz w:val="24"/>
        </w:rPr>
        <w:t>39</w:t>
      </w:r>
    </w:p>
    <w:p>
      <w:pPr>
        <w:spacing w:before="20" w:after="20" w:lineRule="auto" w:line="360"/>
        <w:ind w:firstLine="425"/>
        <w:jc w:val="both"/>
      </w:pPr>
      <w:r>
        <w:rPr>
          <w:rFonts w:ascii="Times New Roman" w:hAnsi="Times New Roman" w:cs="Times New Roman"/>
          <w:rFonts w:ascii="Times New Roman" w:hAnsi="Times New Roman"/>
          <w:b w:val="0"/>
          <w:i w:val="0"/>
          <w:sz w:val="24"/>
        </w:rPr>
        <w:t>3.2. Populasi dan Sampel</w:t>
      </w:r>
      <w:r>
        <w:rPr>
          <w:rFonts w:ascii="Times New Roman" w:hAnsi="Times New Roman" w:cs="Times New Roman"/>
          <w:rFonts w:ascii="Times New Roman" w:hAnsi="Times New Roman"/>
          <w:b w:val="0"/>
          <w:i w:val="0"/>
          <w:color w:val="A0A0A0"/>
          <w:sz w:val="20"/>
        </w:rPr>
        <w:t xml:space="preserve"> . . . . . . . . . . . . . . . . . . . . . . .  </w:t>
      </w:r>
      <w:r>
        <w:rPr>
          <w:rFonts w:ascii="Times New Roman" w:hAnsi="Times New Roman" w:cs="Times New Roman"/>
          <w:rFonts w:ascii="Times New Roman" w:hAnsi="Times New Roman"/>
          <w:b w:val="0"/>
          <w:i w:val="0"/>
          <w:sz w:val="24"/>
        </w:rPr>
        <w:t>41</w:t>
      </w:r>
    </w:p>
    <w:p>
      <w:pPr>
        <w:spacing w:before="20" w:after="20" w:lineRule="auto" w:line="360"/>
        <w:ind w:firstLine="425"/>
        <w:jc w:val="both"/>
      </w:pPr>
      <w:r>
        <w:rPr>
          <w:rFonts w:ascii="Times New Roman" w:hAnsi="Times New Roman" w:cs="Times New Roman"/>
          <w:rFonts w:ascii="Times New Roman" w:hAnsi="Times New Roman"/>
          <w:b w:val="0"/>
          <w:i w:val="0"/>
          <w:sz w:val="24"/>
        </w:rPr>
        <w:t>3.3. Model Penelitian</w:t>
      </w:r>
      <w:r>
        <w:rPr>
          <w:rFonts w:ascii="Times New Roman" w:hAnsi="Times New Roman" w:cs="Times New Roman"/>
          <w:rFonts w:ascii="Times New Roman" w:hAnsi="Times New Roman"/>
          <w:b w:val="0"/>
          <w:i w:val="0"/>
          <w:color w:val="A0A0A0"/>
          <w:sz w:val="20"/>
        </w:rPr>
        <w:t xml:space="preserve"> . . . . . . . . . . . . . . . . . . . . . . . .  </w:t>
      </w:r>
      <w:r>
        <w:rPr>
          <w:rFonts w:ascii="Times New Roman" w:hAnsi="Times New Roman" w:cs="Times New Roman"/>
          <w:rFonts w:ascii="Times New Roman" w:hAnsi="Times New Roman"/>
          <w:b w:val="0"/>
          <w:i w:val="0"/>
          <w:sz w:val="24"/>
        </w:rPr>
        <w:t>44</w:t>
      </w:r>
    </w:p>
    <w:p>
      <w:pPr>
        <w:spacing w:before="20" w:after="20" w:lineRule="auto" w:line="360"/>
        <w:ind w:firstLine="425"/>
        <w:jc w:val="both"/>
      </w:pPr>
      <w:r>
        <w:rPr>
          <w:rFonts w:ascii="Times New Roman" w:hAnsi="Times New Roman" w:cs="Times New Roman"/>
          <w:rFonts w:ascii="Times New Roman" w:hAnsi="Times New Roman"/>
          <w:b w:val="0"/>
          <w:i w:val="0"/>
          <w:sz w:val="24"/>
        </w:rPr>
        <w:t>3.4. Operasionalisasi Variabel</w:t>
      </w:r>
      <w:r>
        <w:rPr>
          <w:rFonts w:ascii="Times New Roman" w:hAnsi="Times New Roman" w:cs="Times New Roman"/>
          <w:rFonts w:ascii="Times New Roman" w:hAnsi="Times New Roman"/>
          <w:b w:val="0"/>
          <w:i w:val="0"/>
          <w:color w:val="A0A0A0"/>
          <w:sz w:val="20"/>
        </w:rPr>
        <w:t xml:space="preserve"> . . . . . . . . . . . . . . . . . . . .  </w:t>
      </w:r>
      <w:r>
        <w:rPr>
          <w:rFonts w:ascii="Times New Roman" w:hAnsi="Times New Roman" w:cs="Times New Roman"/>
          <w:rFonts w:ascii="Times New Roman" w:hAnsi="Times New Roman"/>
          <w:b w:val="0"/>
          <w:i w:val="0"/>
          <w:sz w:val="24"/>
        </w:rPr>
        <w:t>45</w:t>
      </w:r>
    </w:p>
    <w:p>
      <w:pPr>
        <w:spacing w:before="20" w:after="20" w:lineRule="auto" w:line="360"/>
        <w:ind w:firstLine="425"/>
        <w:jc w:val="both"/>
      </w:pPr>
      <w:r>
        <w:rPr>
          <w:rFonts w:ascii="Times New Roman" w:hAnsi="Times New Roman" w:cs="Times New Roman"/>
          <w:rFonts w:ascii="Times New Roman" w:hAnsi="Times New Roman"/>
          <w:b w:val="0"/>
          <w:i w:val="0"/>
          <w:sz w:val="24"/>
        </w:rPr>
        <w:t>3.5. Metode Analisis Data</w:t>
      </w:r>
      <w:r>
        <w:rPr>
          <w:rFonts w:ascii="Times New Roman" w:hAnsi="Times New Roman" w:cs="Times New Roman"/>
          <w:rFonts w:ascii="Times New Roman" w:hAnsi="Times New Roman"/>
          <w:b w:val="0"/>
          <w:i w:val="0"/>
          <w:color w:val="A0A0A0"/>
          <w:sz w:val="20"/>
        </w:rPr>
        <w:t xml:space="preserve"> . . . . . . . . . . . . . . . . . . . . . .  </w:t>
      </w:r>
      <w:r>
        <w:rPr>
          <w:rFonts w:ascii="Times New Roman" w:hAnsi="Times New Roman" w:cs="Times New Roman"/>
          <w:rFonts w:ascii="Times New Roman" w:hAnsi="Times New Roman"/>
          <w:b w:val="0"/>
          <w:i w:val="0"/>
          <w:sz w:val="24"/>
        </w:rPr>
        <w:t>47</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3.5.1. Analisis Statistik Deskriptif</w:t>
      </w:r>
      <w:r>
        <w:rPr>
          <w:rFonts w:ascii="Times New Roman" w:hAnsi="Times New Roman" w:cs="Times New Roman"/>
          <w:rFonts w:ascii="Times New Roman" w:hAnsi="Times New Roman"/>
          <w:b w:val="0"/>
          <w:i w:val="0"/>
          <w:color w:val="A0A0A0"/>
          <w:sz w:val="20"/>
        </w:rPr>
        <w:t xml:space="preserve"> . . . . . . . . . . . . . .  </w:t>
      </w:r>
      <w:r>
        <w:rPr>
          <w:rFonts w:ascii="Times New Roman" w:hAnsi="Times New Roman" w:cs="Times New Roman"/>
          <w:rFonts w:ascii="Times New Roman" w:hAnsi="Times New Roman"/>
          <w:b w:val="0"/>
          <w:i w:val="0"/>
          <w:sz w:val="24"/>
        </w:rPr>
        <w:t>47</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3.5.2. Uji Stasioneritas Panel</w:t>
      </w:r>
      <w:r>
        <w:rPr>
          <w:rFonts w:ascii="Times New Roman" w:hAnsi="Times New Roman" w:cs="Times New Roman"/>
          <w:rFonts w:ascii="Times New Roman" w:hAnsi="Times New Roman"/>
          <w:b w:val="0"/>
          <w:i w:val="0"/>
          <w:color w:val="A0A0A0"/>
          <w:sz w:val="20"/>
        </w:rPr>
        <w:t xml:space="preserve"> . . . . . . . . . . . . . . . . .  </w:t>
      </w:r>
      <w:r>
        <w:rPr>
          <w:rFonts w:ascii="Times New Roman" w:hAnsi="Times New Roman" w:cs="Times New Roman"/>
          <w:rFonts w:ascii="Times New Roman" w:hAnsi="Times New Roman"/>
          <w:b w:val="0"/>
          <w:i w:val="0"/>
          <w:sz w:val="24"/>
        </w:rPr>
        <w:t>48</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3.5.3. Penentuan Model Estimasi Regresi Panel</w:t>
      </w:r>
      <w:r>
        <w:rPr>
          <w:rFonts w:ascii="Times New Roman" w:hAnsi="Times New Roman" w:cs="Times New Roman"/>
          <w:rFonts w:ascii="Times New Roman" w:hAnsi="Times New Roman"/>
          <w:b w:val="0"/>
          <w:i w:val="0"/>
          <w:color w:val="A0A0A0"/>
          <w:sz w:val="20"/>
        </w:rPr>
        <w:t xml:space="preserve"> . . . . . . . . . .  </w:t>
      </w:r>
      <w:r>
        <w:rPr>
          <w:rFonts w:ascii="Times New Roman" w:hAnsi="Times New Roman" w:cs="Times New Roman"/>
          <w:rFonts w:ascii="Times New Roman" w:hAnsi="Times New Roman"/>
          <w:b w:val="0"/>
          <w:i w:val="0"/>
          <w:sz w:val="24"/>
        </w:rPr>
        <w:t>49</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3.5.4. Uji Asumsi Klasik</w:t>
      </w:r>
      <w:r>
        <w:rPr>
          <w:rFonts w:ascii="Times New Roman" w:hAnsi="Times New Roman" w:cs="Times New Roman"/>
          <w:rFonts w:ascii="Times New Roman" w:hAnsi="Times New Roman"/>
          <w:b w:val="0"/>
          <w:i w:val="0"/>
          <w:color w:val="A0A0A0"/>
          <w:sz w:val="20"/>
        </w:rPr>
        <w:t xml:space="preserve"> . . . . . . . . . . . . . . . . . . . .  </w:t>
      </w:r>
      <w:r>
        <w:rPr>
          <w:rFonts w:ascii="Times New Roman" w:hAnsi="Times New Roman" w:cs="Times New Roman"/>
          <w:rFonts w:ascii="Times New Roman" w:hAnsi="Times New Roman"/>
          <w:b w:val="0"/>
          <w:i w:val="0"/>
          <w:sz w:val="24"/>
        </w:rPr>
        <w:t>51</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3.5.5. Prosedur Estimasi EViews dan Robust Standard Errors</w:t>
      </w:r>
      <w:r>
        <w:rPr>
          <w:rFonts w:ascii="Times New Roman" w:hAnsi="Times New Roman" w:cs="Times New Roman"/>
          <w:rFonts w:ascii="Times New Roman" w:hAnsi="Times New Roman"/>
          <w:b w:val="0"/>
          <w:i w:val="0"/>
          <w:color w:val="A0A0A0"/>
          <w:sz w:val="20"/>
        </w:rPr>
        <w:t xml:space="preserve"> . . .  </w:t>
      </w:r>
      <w:r>
        <w:rPr>
          <w:rFonts w:ascii="Times New Roman" w:hAnsi="Times New Roman" w:cs="Times New Roman"/>
          <w:rFonts w:ascii="Times New Roman" w:hAnsi="Times New Roman"/>
          <w:b w:val="0"/>
          <w:i w:val="0"/>
          <w:sz w:val="24"/>
        </w:rPr>
        <w:t>53</w:t>
      </w:r>
    </w:p>
    <w:p>
      <w:pPr>
        <w:spacing w:before="20" w:after="20" w:lineRule="auto" w:line="360"/>
        <w:ind w:firstLine="850"/>
        <w:jc w:val="both"/>
      </w:pPr>
      <w:r>
        <w:rPr>
          <w:rFonts w:ascii="Times New Roman" w:hAnsi="Times New Roman" w:cs="Times New Roman"/>
          <w:rFonts w:ascii="Times New Roman" w:hAnsi="Times New Roman"/>
          <w:b w:val="0"/>
          <w:i w:val="0"/>
          <w:sz w:val="24"/>
        </w:rPr>
        <w:t xml:space="preserve">  3.5.6. Pengujian Hipotesis Statistik</w:t>
      </w:r>
      <w:r>
        <w:rPr>
          <w:rFonts w:ascii="Times New Roman" w:hAnsi="Times New Roman" w:cs="Times New Roman"/>
          <w:rFonts w:ascii="Times New Roman" w:hAnsi="Times New Roman"/>
          <w:b w:val="0"/>
          <w:i w:val="0"/>
          <w:color w:val="A0A0A0"/>
          <w:sz w:val="20"/>
        </w:rPr>
        <w:t xml:space="preserve"> . . . . . . . . . . . . . .  </w:t>
      </w:r>
      <w:r>
        <w:rPr>
          <w:rFonts w:ascii="Times New Roman" w:hAnsi="Times New Roman" w:cs="Times New Roman"/>
          <w:rFonts w:ascii="Times New Roman" w:hAnsi="Times New Roman"/>
          <w:b w:val="0"/>
          <w:i w:val="0"/>
          <w:sz w:val="24"/>
        </w:rPr>
        <w:t>54</w:t>
      </w:r>
    </w:p>
    <w:p>
      <w:pPr>
        <w:spacing w:before="0" w:after="0" w:lineRule="auto" w:line="360"/>
        <w:jc w:val="both"/>
      </w:pPr>
      <w:r/>
    </w:p>
    <w:p>
      <w:pPr>
        <w:spacing w:before="20" w:after="20" w:lineRule="auto" w:line="360"/>
        <w:jc w:val="both"/>
      </w:pPr>
      <w:r>
        <w:rPr>
          <w:rFonts w:ascii="Times New Roman" w:hAnsi="Times New Roman" w:cs="Times New Roman"/>
          <w:rFonts w:ascii="Times New Roman" w:hAnsi="Times New Roman"/>
          <w:b/>
          <w:i w:val="0"/>
          <w:sz w:val="24"/>
        </w:rPr>
        <w:t>DAFTAR PUSTAKA</w:t>
      </w:r>
      <w:r>
        <w:rPr>
          <w:rFonts w:ascii="Times New Roman" w:hAnsi="Times New Roman" w:cs="Times New Roman"/>
          <w:rFonts w:ascii="Times New Roman" w:hAnsi="Times New Roman"/>
          <w:b w:val="0"/>
          <w:i w:val="0"/>
          <w:color w:val="A0A0A0"/>
          <w:sz w:val="20"/>
        </w:rPr>
        <w:t xml:space="preserve"> . . . . . . . . . . . . . . . . . . . . . . . . . . . . .  </w:t>
      </w:r>
      <w:r>
        <w:rPr>
          <w:rFonts w:ascii="Times New Roman" w:hAnsi="Times New Roman" w:cs="Times New Roman"/>
          <w:rFonts w:ascii="Times New Roman" w:hAnsi="Times New Roman"/>
          <w:b/>
          <w:i w:val="0"/>
          <w:sz w:val="24"/>
        </w:rPr>
        <w:t>57</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TABEL</w:t>
      </w:r>
    </w:p>
    <w:p>
      <w:pPr>
        <w:spacing w:before="0" w:after="0" w:lineRule="auto" w:line="360"/>
        <w:jc w:val="both"/>
      </w:pPr>
      <w:r/>
    </w:p>
    <w:p>
      <w:pPr>
        <w:spacing w:before="60" w:after="60" w:lineRule="auto" w:line="360"/>
        <w:jc w:val="both"/>
      </w:pPr>
      <w:r>
        <w:rPr>
          <w:rFonts w:ascii="Times New Roman" w:hAnsi="Times New Roman" w:cs="Times New Roman"/>
          <w:rFonts w:ascii="Times New Roman" w:hAnsi="Times New Roman"/>
          <w:b/>
          <w:i w:val="0"/>
          <w:sz w:val="24"/>
        </w:rPr>
        <w:t xml:space="preserve">Tabel 2.1  </w:t>
      </w:r>
      <w:r>
        <w:rPr>
          <w:rFonts w:ascii="Times New Roman" w:hAnsi="Times New Roman" w:cs="Times New Roman"/>
          <w:rFonts w:ascii="Times New Roman" w:hAnsi="Times New Roman"/>
          <w:b w:val="0"/>
          <w:i w:val="0"/>
          <w:sz w:val="24"/>
        </w:rPr>
        <w:t>Matriks Sintesis Penelitian Terdahulu (Bagian 1: Penelitian 1–5)</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i w:val="0"/>
          <w:sz w:val="24"/>
        </w:rPr>
        <w:t>24</w:t>
      </w:r>
    </w:p>
    <w:p>
      <w:pPr>
        <w:spacing w:before="60" w:after="60" w:lineRule="auto" w:line="360"/>
        <w:jc w:val="both"/>
      </w:pPr>
      <w:r>
        <w:rPr>
          <w:rFonts w:ascii="Times New Roman" w:hAnsi="Times New Roman" w:cs="Times New Roman"/>
          <w:rFonts w:ascii="Times New Roman" w:hAnsi="Times New Roman"/>
          <w:b/>
          <w:i w:val="0"/>
          <w:sz w:val="24"/>
        </w:rPr>
        <w:t xml:space="preserve">Tabel 2.2  </w:t>
      </w:r>
      <w:r>
        <w:rPr>
          <w:rFonts w:ascii="Times New Roman" w:hAnsi="Times New Roman" w:cs="Times New Roman"/>
          <w:rFonts w:ascii="Times New Roman" w:hAnsi="Times New Roman"/>
          <w:b w:val="0"/>
          <w:i w:val="0"/>
          <w:sz w:val="24"/>
        </w:rPr>
        <w:t>Matriks Sintesis Penelitian Terdahulu (Bagian 2: Penelitian 6–10)</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i w:val="0"/>
          <w:sz w:val="24"/>
        </w:rPr>
        <w:t>26</w:t>
      </w:r>
    </w:p>
    <w:p>
      <w:pPr>
        <w:spacing w:before="60" w:after="60" w:lineRule="auto" w:line="360"/>
        <w:jc w:val="both"/>
      </w:pPr>
      <w:r>
        <w:rPr>
          <w:rFonts w:ascii="Times New Roman" w:hAnsi="Times New Roman" w:cs="Times New Roman"/>
          <w:rFonts w:ascii="Times New Roman" w:hAnsi="Times New Roman"/>
          <w:b/>
          <w:i w:val="0"/>
          <w:sz w:val="24"/>
        </w:rPr>
        <w:t xml:space="preserve">Tabel 2.3  </w:t>
      </w:r>
      <w:r>
        <w:rPr>
          <w:rFonts w:ascii="Times New Roman" w:hAnsi="Times New Roman" w:cs="Times New Roman"/>
          <w:rFonts w:ascii="Times New Roman" w:hAnsi="Times New Roman"/>
          <w:b w:val="0"/>
          <w:i w:val="0"/>
          <w:sz w:val="24"/>
        </w:rPr>
        <w:t>Matriks Sintesis Penelitian Terdahulu (Bagian 3: Penelitian 11–15)</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i w:val="0"/>
          <w:sz w:val="24"/>
        </w:rPr>
        <w:t>28</w:t>
      </w:r>
    </w:p>
    <w:p>
      <w:pPr>
        <w:spacing w:before="60" w:after="60" w:lineRule="auto" w:line="360"/>
        <w:jc w:val="both"/>
      </w:pPr>
      <w:r>
        <w:rPr>
          <w:rFonts w:ascii="Times New Roman" w:hAnsi="Times New Roman" w:cs="Times New Roman"/>
          <w:rFonts w:ascii="Times New Roman" w:hAnsi="Times New Roman"/>
          <w:b/>
          <w:i w:val="0"/>
          <w:sz w:val="24"/>
        </w:rPr>
        <w:t xml:space="preserve">Tabel 3.1  </w:t>
      </w:r>
      <w:r>
        <w:rPr>
          <w:rFonts w:ascii="Times New Roman" w:hAnsi="Times New Roman" w:cs="Times New Roman"/>
          <w:rFonts w:ascii="Times New Roman" w:hAnsi="Times New Roman"/>
          <w:b w:val="0"/>
          <w:i w:val="0"/>
          <w:sz w:val="24"/>
        </w:rPr>
        <w:t>Daftar Entitas Sampel Penelitian Bank KBMI 4</w:t>
      </w:r>
      <w:r>
        <w:rPr>
          <w:rFonts w:ascii="Times New Roman" w:hAnsi="Times New Roman" w:cs="Times New Roman"/>
          <w:rFonts w:ascii="Times New Roman" w:hAnsi="Times New Roman"/>
          <w:b w:val="0"/>
          <w:i w:val="0"/>
          <w:color w:val="A0A0A0"/>
          <w:sz w:val="20"/>
        </w:rPr>
        <w:t xml:space="preserve"> . . . . . . . .  </w:t>
      </w:r>
      <w:r>
        <w:rPr>
          <w:rFonts w:ascii="Times New Roman" w:hAnsi="Times New Roman" w:cs="Times New Roman"/>
          <w:rFonts w:ascii="Times New Roman" w:hAnsi="Times New Roman"/>
          <w:b/>
          <w:i w:val="0"/>
          <w:sz w:val="24"/>
        </w:rPr>
        <w:t>43</w:t>
      </w:r>
    </w:p>
    <w:p>
      <w:pPr>
        <w:spacing w:before="60" w:after="60" w:lineRule="auto" w:line="360"/>
        <w:jc w:val="both"/>
      </w:pPr>
      <w:r>
        <w:rPr>
          <w:rFonts w:ascii="Times New Roman" w:hAnsi="Times New Roman" w:cs="Times New Roman"/>
          <w:rFonts w:ascii="Times New Roman" w:hAnsi="Times New Roman"/>
          <w:b/>
          <w:i w:val="0"/>
          <w:sz w:val="24"/>
        </w:rPr>
        <w:t xml:space="preserve">Tabel 3.2  </w:t>
      </w:r>
      <w:r>
        <w:rPr>
          <w:rFonts w:ascii="Times New Roman" w:hAnsi="Times New Roman" w:cs="Times New Roman"/>
          <w:rFonts w:ascii="Times New Roman" w:hAnsi="Times New Roman"/>
          <w:b w:val="0"/>
          <w:i w:val="0"/>
          <w:sz w:val="24"/>
        </w:rPr>
        <w:t>Matriks Operasionalisasi Variabel Penelitian</w:t>
      </w:r>
      <w:r>
        <w:rPr>
          <w:rFonts w:ascii="Times New Roman" w:hAnsi="Times New Roman" w:cs="Times New Roman"/>
          <w:rFonts w:ascii="Times New Roman" w:hAnsi="Times New Roman"/>
          <w:b w:val="0"/>
          <w:i w:val="0"/>
          <w:color w:val="A0A0A0"/>
          <w:sz w:val="20"/>
        </w:rPr>
        <w:t xml:space="preserve"> . . . . . . . .  </w:t>
      </w:r>
      <w:r>
        <w:rPr>
          <w:rFonts w:ascii="Times New Roman" w:hAnsi="Times New Roman" w:cs="Times New Roman"/>
          <w:rFonts w:ascii="Times New Roman" w:hAnsi="Times New Roman"/>
          <w:b/>
          <w:i w:val="0"/>
          <w:sz w:val="24"/>
        </w:rPr>
        <w:t>45</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GAMBAR</w:t>
      </w:r>
    </w:p>
    <w:p>
      <w:pPr>
        <w:spacing w:before="0" w:after="0" w:lineRule="auto" w:line="360"/>
        <w:jc w:val="both"/>
      </w:pPr>
      <w:r/>
    </w:p>
    <w:p>
      <w:pPr>
        <w:spacing w:before="60" w:after="60" w:lineRule="auto" w:line="360"/>
        <w:jc w:val="both"/>
      </w:pPr>
      <w:r>
        <w:rPr>
          <w:rFonts w:ascii="Times New Roman" w:hAnsi="Times New Roman" w:cs="Times New Roman"/>
          <w:rFonts w:ascii="Times New Roman" w:hAnsi="Times New Roman"/>
          <w:b/>
          <w:i w:val="0"/>
          <w:sz w:val="24"/>
        </w:rPr>
        <w:t xml:space="preserve">Gambar 2.1  </w:t>
      </w:r>
      <w:r>
        <w:rPr>
          <w:rFonts w:ascii="Times New Roman" w:hAnsi="Times New Roman" w:cs="Times New Roman"/>
          <w:rFonts w:ascii="Times New Roman" w:hAnsi="Times New Roman"/>
          <w:b w:val="0"/>
          <w:i w:val="0"/>
          <w:sz w:val="24"/>
        </w:rPr>
        <w:t>Rerangka Pemikiran Hubungan Kausalitas Variabel Penelitian</w:t>
      </w:r>
      <w:r>
        <w:rPr>
          <w:rFonts w:ascii="Times New Roman" w:hAnsi="Times New Roman" w:cs="Times New Roman"/>
          <w:rFonts w:ascii="Times New Roman" w:hAnsi="Times New Roman"/>
          <w:b w:val="0"/>
          <w:i w:val="0"/>
          <w:color w:val="A0A0A0"/>
          <w:sz w:val="20"/>
        </w:rPr>
        <w:t xml:space="preserve"> . .  </w:t>
      </w:r>
      <w:r>
        <w:rPr>
          <w:rFonts w:ascii="Times New Roman" w:hAnsi="Times New Roman" w:cs="Times New Roman"/>
          <w:rFonts w:ascii="Times New Roman" w:hAnsi="Times New Roman"/>
          <w:b/>
          <w:i w:val="0"/>
          <w:sz w:val="24"/>
        </w:rPr>
        <w:t>31</w:t>
      </w:r>
    </w:p>
    <w:p>
      <w:pPr>
        <w:sectPr>
          <w:footerReference w:type="default" r:id="rId9"/>
          <w:pgSz w:w="12240" w:h="15840"/>
          <w:pgMar w:top="1701" w:right="1701" w:bottom="1701" w:left="2268" w:header="720" w:footer="720" w:gutter="0"/>
          <w:cols w:space="720"/>
          <w:docGrid w:linePitch="360"/>
        </w:sectPr>
      </w:pPr>
    </w:p>
    <w:p>
      <w:pPr>
        <w:spacing w:before="0" w:after="240" w:lineRule="auto" w:line="360"/>
        <w:jc w:val="center"/>
      </w:pPr>
      <w:r>
        <w:rPr>
          <w:rFonts w:ascii="Times New Roman" w:hAnsi="Times New Roman" w:cs="Times New Roman"/>
          <w:rFonts w:ascii="Times New Roman" w:hAnsi="Times New Roman"/>
          <w:b/>
          <w:i w:val="0"/>
          <w:sz w:val="24"/>
        </w:rPr>
        <w:t>BAB 1</w:t>
        <w:br/>
        <w:t>PENDAHULUAN</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Latar Belakang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Sektor perbankan memegang peranan yang sangat fundamental dan strategis dalam arsitektur perekonomian nasional. Sebagai lembaga perantara keuangan (</w:t>
      </w:r>
      <w:r>
        <w:rPr>
          <w:rFonts w:ascii="Times New Roman" w:hAnsi="Times New Roman" w:cs="Times New Roman"/>
          <w:rFonts w:ascii="Times New Roman" w:hAnsi="Times New Roman"/>
          <w:b w:val="0"/>
          <w:i/>
          <w:sz w:val="24"/>
        </w:rPr>
        <w:t>financial intermediary institution</w:t>
      </w:r>
      <w:r>
        <w:rPr>
          <w:rFonts w:ascii="Times New Roman" w:hAnsi="Times New Roman" w:cs="Times New Roman"/>
          <w:rFonts w:ascii="Times New Roman" w:hAnsi="Times New Roman"/>
          <w:b w:val="0"/>
          <w:i w:val="0"/>
          <w:sz w:val="24"/>
        </w:rPr>
        <w:t>), bank menjalankan fungsi vital dalam menghimpun dana masyarakat dalam bentuk simpanan dan menyalurkannya kembali dalam bentuk pembiayaan atau kredit ke berbagai sektor industri produktif (Kuncoro &amp; Suhardjono (2018), Gurley &amp; Shaw (1960)). Efektivitas intermediasi perbankan tidak hanya menentukan laju pertumbuhan produk domestik bruto (PDB), melainkan juga menjadi katalis utama stabilitas sistem keuangan suatu negara. Namun demikian, dalam kurun waktu satu dekade terakhir, lanskap operasional perbankan global maupun nasional telah mengalami transformasi paradigma yang sangat mendasar. Institusi perbankan kini tidak lagi dapat semata-mata berorientasi pada maksimalisasi laba jangka pendek (</w:t>
      </w:r>
      <w:r>
        <w:rPr>
          <w:rFonts w:ascii="Times New Roman" w:hAnsi="Times New Roman" w:cs="Times New Roman"/>
          <w:rFonts w:ascii="Times New Roman" w:hAnsi="Times New Roman"/>
          <w:b w:val="0"/>
          <w:i/>
          <w:sz w:val="24"/>
        </w:rPr>
        <w:t>single bottom line / profit-driven orientation</w:t>
      </w:r>
      <w:r>
        <w:rPr>
          <w:rFonts w:ascii="Times New Roman" w:hAnsi="Times New Roman" w:cs="Times New Roman"/>
          <w:rFonts w:ascii="Times New Roman" w:hAnsi="Times New Roman"/>
          <w:b w:val="0"/>
          <w:i w:val="0"/>
          <w:sz w:val="24"/>
        </w:rPr>
        <w:t>), melainkan diwajibkan untuk mengintegrasikan aspek lingkungan, sosial, dan tata kelola (</w:t>
      </w:r>
      <w:r>
        <w:rPr>
          <w:rFonts w:ascii="Times New Roman" w:hAnsi="Times New Roman" w:cs="Times New Roman"/>
          <w:rFonts w:ascii="Times New Roman" w:hAnsi="Times New Roman"/>
          <w:b w:val="0"/>
          <w:i/>
          <w:sz w:val="24"/>
        </w:rPr>
        <w:t>Environmental, Social, and Governance</w:t>
      </w:r>
      <w:r>
        <w:rPr>
          <w:rFonts w:ascii="Times New Roman" w:hAnsi="Times New Roman" w:cs="Times New Roman"/>
          <w:rFonts w:ascii="Times New Roman" w:hAnsi="Times New Roman"/>
          <w:b w:val="0"/>
          <w:i w:val="0"/>
          <w:sz w:val="24"/>
        </w:rPr>
        <w:t xml:space="preserve"> / ESG) ke dalam strategi bisnis intinya demi mencapai keberlanjutan jangka panjang (</w:t>
      </w:r>
      <w:r>
        <w:rPr>
          <w:rFonts w:ascii="Times New Roman" w:hAnsi="Times New Roman" w:cs="Times New Roman"/>
          <w:rFonts w:ascii="Times New Roman" w:hAnsi="Times New Roman"/>
          <w:b w:val="0"/>
          <w:i/>
          <w:sz w:val="24"/>
        </w:rPr>
        <w:t>triple bottom line: people, planet, and profit</w:t>
      </w:r>
      <w:r>
        <w:rPr>
          <w:rFonts w:ascii="Times New Roman" w:hAnsi="Times New Roman" w:cs="Times New Roman"/>
          <w:rFonts w:ascii="Times New Roman" w:hAnsi="Times New Roman"/>
          <w:b w:val="0"/>
          <w:i w:val="0"/>
          <w:sz w:val="24"/>
        </w:rPr>
        <w:t>) (Freeman (2010), Buallay (2019)).</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Tuntutan global terhadap perbankan hijau semakin menguat seiring dengan ratifikasi </w:t>
      </w:r>
      <w:r>
        <w:rPr>
          <w:rFonts w:ascii="Times New Roman" w:hAnsi="Times New Roman" w:cs="Times New Roman"/>
          <w:rFonts w:ascii="Times New Roman" w:hAnsi="Times New Roman"/>
          <w:b w:val="0"/>
          <w:i/>
          <w:sz w:val="24"/>
        </w:rPr>
        <w:t>Paris Agreement</w:t>
      </w:r>
      <w:r>
        <w:rPr>
          <w:rFonts w:ascii="Times New Roman" w:hAnsi="Times New Roman" w:cs="Times New Roman"/>
          <w:rFonts w:ascii="Times New Roman" w:hAnsi="Times New Roman"/>
          <w:b w:val="0"/>
          <w:i w:val="0"/>
          <w:sz w:val="24"/>
        </w:rPr>
        <w:t xml:space="preserve"> melalui Undang-Undang Nomor 16 Tahun 2016 serta komitmen Pemerintah Republik Indonesia untuk mencapai target </w:t>
      </w:r>
      <w:r>
        <w:rPr>
          <w:rFonts w:ascii="Times New Roman" w:hAnsi="Times New Roman" w:cs="Times New Roman"/>
          <w:rFonts w:ascii="Times New Roman" w:hAnsi="Times New Roman"/>
          <w:b w:val="0"/>
          <w:i/>
          <w:sz w:val="24"/>
        </w:rPr>
        <w:t>Enhanced Nationally Determined Contribution</w:t>
      </w:r>
      <w:r>
        <w:rPr>
          <w:rFonts w:ascii="Times New Roman" w:hAnsi="Times New Roman" w:cs="Times New Roman"/>
          <w:rFonts w:ascii="Times New Roman" w:hAnsi="Times New Roman"/>
          <w:b w:val="0"/>
          <w:i w:val="0"/>
          <w:sz w:val="24"/>
        </w:rPr>
        <w:t xml:space="preserve"> (ENDC) berupa pengurangan emisi gas rumah kaca sebesar 31,89</w:t>
      </w:r>
    </w:p>
    <w:p>
      <w:pPr>
        <w:spacing w:before="0" w:after="0" w:lineRule="auto" w:line="360"/>
        <w:ind w:firstLine="709"/>
        <w:jc w:val="both"/>
      </w:pPr>
      <w:r>
        <w:rPr>
          <w:rFonts w:ascii="Times New Roman" w:hAnsi="Times New Roman" w:cs="Times New Roman"/>
          <w:rFonts w:ascii="Times New Roman" w:hAnsi="Times New Roman"/>
          <w:b w:val="0"/>
          <w:i w:val="0"/>
          <w:sz w:val="24"/>
        </w:rPr>
        <w:t>Merespons dinamika global tersebut, Otoritas Jasa Keuangan (OJK) menerbitkan regulasi tonggak berupa Peraturan Otoritas Jasa Keuangan Nomor 51/POJK.03/2017 tentang Penerapan Keuangan Berkelanjutan bagi Lembaga Jasa Keuangan, Emiten, dan Perusahaan Publik (OJK (2017)). Regulasi ini secara tegas mewajibkan industri perbankan nasional untuk menyusun Rencana Aksi Keuangan Berkelanjutan (RAKB), mempublikasikan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xml:space="preserve">) secara berkala yang diaudit independen, mengalokasikan tanggung jawab sosial dan lingkungan (TJSL), serta secara progresif meningkatkan porsi penyaluran kredit pada Kegiatan Usaha Berwawasan Lingkungan (KUBL) atau yang dikenal dengan istilah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(Kredit Hijau). Ketentuan ini diperkuat dengan Peraturan Otoritas Jasa Keuangan Nomor 60/POJK.04/2017 mengenai Penerbitan Efek Bersifat Utang Berwawasan Lingkungan (</w:t>
      </w:r>
      <w:r>
        <w:rPr>
          <w:rFonts w:ascii="Times New Roman" w:hAnsi="Times New Roman" w:cs="Times New Roman"/>
          <w:rFonts w:ascii="Times New Roman" w:hAnsi="Times New Roman"/>
          <w:b w:val="0"/>
          <w:i/>
          <w:sz w:val="24"/>
        </w:rPr>
        <w:t>Green Bond</w:t>
      </w:r>
      <w:r>
        <w:rPr>
          <w:rFonts w:ascii="Times New Roman" w:hAnsi="Times New Roman" w:cs="Times New Roman"/>
          <w:rFonts w:ascii="Times New Roman" w:hAnsi="Times New Roman"/>
          <w:b w:val="0"/>
          <w:i w:val="0"/>
          <w:sz w:val="24"/>
        </w:rPr>
        <w:t>) (OJK (2017b)), serta peluncuran Taksonomi Hijau Indonesia Edisi 1.0 oleh OJK pada tahun 2022 (OJK (2022)) yang memberikan kerangka klasifikasi standar terhadap sektor-sektor ekonomi yang berkontribusi langsung pada perlindungan lingkungan hidup dan mitigasi perubahan iklim.</w:t>
      </w:r>
    </w:p>
    <w:p>
      <w:pPr>
        <w:spacing w:before="180" w:after="120" w:lineRule="auto" w:line="360"/>
        <w:jc w:val="both"/>
      </w:pPr>
      <w:r>
        <w:rPr>
          <w:rFonts w:ascii="Times New Roman" w:hAnsi="Times New Roman" w:cs="Times New Roman"/>
          <w:rFonts w:ascii="Times New Roman" w:hAnsi="Times New Roman"/>
          <w:b/>
          <w:i w:val="0"/>
          <w:sz w:val="24"/>
        </w:rPr>
        <w:t>Dinamika Makroekonomi dan Transisi Pasca-Pandemi Periode 2021–2025</w:t>
      </w:r>
    </w:p>
    <w:p>
      <w:pPr>
        <w:spacing w:before="0" w:after="0" w:lineRule="auto" w:line="360"/>
        <w:ind w:firstLine="709"/>
        <w:jc w:val="both"/>
      </w:pPr>
      <w:r>
        <w:rPr>
          <w:rFonts w:ascii="Times New Roman" w:hAnsi="Times New Roman" w:cs="Times New Roman"/>
          <w:rFonts w:ascii="Times New Roman" w:hAnsi="Times New Roman"/>
          <w:b w:val="0"/>
          <w:i w:val="0"/>
          <w:sz w:val="24"/>
        </w:rPr>
        <w:t>Rentang waktu penelitian 2021 hingga 2025 merupakan periode observasi yang sangat krusial, dinamis, dan representatif bagi industri perbankan Indonesia karena diwarnai oleh berbagai peristiwa ekonomi berskala besar:</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Tahun 2021–2022 (Fase Pemulihan Pasca-Pandemi COVID-19):</w:t>
      </w:r>
      <w:r>
        <w:rPr>
          <w:rFonts w:ascii="Times New Roman" w:hAnsi="Times New Roman" w:cs="Times New Roman"/>
          <w:rFonts w:ascii="Times New Roman" w:hAnsi="Times New Roman"/>
          <w:b w:val="0"/>
          <w:i w:val="0"/>
          <w:sz w:val="24"/>
        </w:rPr>
        <w:t xml:space="preserve"> Industri perbankan berada di bawah payung relaksasi restrukturisasi kredit OJK (POJK No. 11/POJK.03/2020) yang memungkinkan bank mencatat kredit debitur terdampak pandemi dengan kualitas lancar. Pada fase ini, likuiditas perbankan sangat longgar dengan suku bunga acuan </w:t>
      </w:r>
      <w:r>
        <w:rPr>
          <w:rFonts w:ascii="Times New Roman" w:hAnsi="Times New Roman" w:cs="Times New Roman"/>
          <w:rFonts w:ascii="Times New Roman" w:hAnsi="Times New Roman"/>
          <w:b w:val="0"/>
          <w:i/>
          <w:sz w:val="24"/>
        </w:rPr>
        <w:t>BI-7 Day Reverse Repo Rate</w:t>
      </w:r>
      <w:r>
        <w:rPr>
          <w:rFonts w:ascii="Times New Roman" w:hAnsi="Times New Roman" w:cs="Times New Roman"/>
          <w:rFonts w:ascii="Times New Roman" w:hAnsi="Times New Roman"/>
          <w:b w:val="0"/>
          <w:i w:val="0"/>
          <w:sz w:val="24"/>
        </w:rPr>
        <w:t xml:space="preserve"> berada pada titik terendah historis sebesar 3,50</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Tahun 2022–2023 (Lonjakan Inflasi Global dan Siklus Pengetatan Moneter):</w:t>
      </w:r>
      <w:r>
        <w:rPr>
          <w:rFonts w:ascii="Times New Roman" w:hAnsi="Times New Roman" w:cs="Times New Roman"/>
          <w:rFonts w:ascii="Times New Roman" w:hAnsi="Times New Roman"/>
          <w:b w:val="0"/>
          <w:i w:val="0"/>
          <w:sz w:val="24"/>
        </w:rPr>
        <w:t xml:space="preserve"> Terjadinya disrupsi rantai pasok global dan konflik geopolitik memicu lonjakan inflasi energi dan pangan. Bank Indonesia merespons dengan menaikkan suku bunga acuan secara agresif dari 3,50</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Tahun 2024 (Berakhirnya Stimulus Restrukturisasi Kredit):</w:t>
      </w:r>
      <w:r>
        <w:rPr>
          <w:rFonts w:ascii="Times New Roman" w:hAnsi="Times New Roman" w:cs="Times New Roman"/>
          <w:rFonts w:ascii="Times New Roman" w:hAnsi="Times New Roman"/>
          <w:b w:val="0"/>
          <w:i w:val="0"/>
          <w:sz w:val="24"/>
        </w:rPr>
        <w:t xml:space="preserve"> Per 31 Maret 2024, OJK secara resmi menghentikan seluruh program restrukturisasi kredit terdampak COVID-19. Kebijakan normalisasi ini mengharuskan bank KBMI 4 melakukan reklasifikasi portofolio pinjaman secara murni ke dalam kolektibilitas sesungguhnya dan mempertebal pembentukan Cadangan Kerugian Penurunan Nilai (CKPN) berbasis PSAK 71.</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Tahun 2025 (Implementasi Penuh Taksonomi Hijau dan Akselerasi Transisi Energi):</w:t>
      </w:r>
      <w:r>
        <w:rPr>
          <w:rFonts w:ascii="Times New Roman" w:hAnsi="Times New Roman" w:cs="Times New Roman"/>
          <w:rFonts w:ascii="Times New Roman" w:hAnsi="Times New Roman"/>
          <w:b w:val="0"/>
          <w:i w:val="0"/>
          <w:sz w:val="24"/>
        </w:rPr>
        <w:t xml:space="preserve"> Penegakan kepatuhan pelaporan ESG yang lebih terstandarisasi serta kewajiban penyaluran pembiayaan transisi energi (seperti pemensiunan dini PLTU batu bara dan pembiayaan ekosistem baterai kendaraan listrik) menjadi fokus utama perbankan nasional.</w:t>
      </w:r>
    </w:p>
    <w:p>
      <w:pPr>
        <w:spacing w:before="180" w:after="120" w:lineRule="auto" w:line="360"/>
        <w:jc w:val="both"/>
      </w:pPr>
      <w:r>
        <w:rPr>
          <w:rFonts w:ascii="Times New Roman" w:hAnsi="Times New Roman" w:cs="Times New Roman"/>
          <w:rFonts w:ascii="Times New Roman" w:hAnsi="Times New Roman"/>
          <w:b/>
          <w:i w:val="0"/>
          <w:sz w:val="24"/>
        </w:rPr>
        <w:t>Perbandingan Kerangka Regulasi Keuangan Berkelanjutan Global dan Regional</w:t>
      </w:r>
    </w:p>
    <w:p>
      <w:pPr>
        <w:spacing w:before="0" w:after="0" w:lineRule="auto" w:line="360"/>
        <w:ind w:firstLine="709"/>
        <w:jc w:val="both"/>
      </w:pPr>
      <w:r>
        <w:rPr>
          <w:rFonts w:ascii="Times New Roman" w:hAnsi="Times New Roman" w:cs="Times New Roman"/>
          <w:rFonts w:ascii="Times New Roman" w:hAnsi="Times New Roman"/>
          <w:b w:val="0"/>
          <w:i w:val="0"/>
          <w:sz w:val="24"/>
        </w:rPr>
        <w:t>Penerapan keuangan berkelanjutan di Indonesia memiliki korelasi erat dengan inisiatif serupa di kawasan regional dan global: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Uni Eropa (EU Sustainable Finance Disclosure Regulation / SFDR &amp; EU Taxonomy):</w:t>
      </w:r>
      <w:r>
        <w:rPr>
          <w:rFonts w:ascii="Times New Roman" w:hAnsi="Times New Roman" w:cs="Times New Roman"/>
          <w:rFonts w:ascii="Times New Roman" w:hAnsi="Times New Roman"/>
          <w:b w:val="0"/>
          <w:i w:val="0"/>
          <w:sz w:val="24"/>
        </w:rPr>
        <w:t xml:space="preserve"> Merupakan standar paling ketat di dunia yang mewajibkan pengungkapan granular terkait dampak keberlanjutan (</w:t>
      </w:r>
      <w:r>
        <w:rPr>
          <w:rFonts w:ascii="Times New Roman" w:hAnsi="Times New Roman" w:cs="Times New Roman"/>
          <w:rFonts w:ascii="Times New Roman" w:hAnsi="Times New Roman"/>
          <w:b w:val="0"/>
          <w:i/>
          <w:sz w:val="24"/>
        </w:rPr>
        <w:t>principal adverse impacts</w:t>
      </w:r>
      <w:r>
        <w:rPr>
          <w:rFonts w:ascii="Times New Roman" w:hAnsi="Times New Roman" w:cs="Times New Roman"/>
          <w:rFonts w:ascii="Times New Roman" w:hAnsi="Times New Roman"/>
          <w:b w:val="0"/>
          <w:i w:val="0"/>
          <w:sz w:val="24"/>
        </w:rPr>
        <w:t>) dan mengklasifikasikan aset finansial ke dalam Artikel 6, 8, dan 9.</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ASEAN Taxonomy for Sustainable Finance (Version 2 / 2023):</w:t>
      </w:r>
      <w:r>
        <w:rPr>
          <w:rFonts w:ascii="Times New Roman" w:hAnsi="Times New Roman" w:cs="Times New Roman"/>
          <w:rFonts w:ascii="Times New Roman" w:hAnsi="Times New Roman"/>
          <w:b w:val="0"/>
          <w:i w:val="0"/>
          <w:sz w:val="24"/>
        </w:rPr>
        <w:t xml:space="preserve"> Mengadopsi sistem multi-tier yang dirancang untuk negara-negara berkembang di Asia Tenggara dengan mengakomodasi mekanisme </w:t>
      </w:r>
      <w:r>
        <w:rPr>
          <w:rFonts w:ascii="Times New Roman" w:hAnsi="Times New Roman" w:cs="Times New Roman"/>
          <w:rFonts w:ascii="Times New Roman" w:hAnsi="Times New Roman"/>
          <w:b w:val="0"/>
          <w:i/>
          <w:sz w:val="24"/>
        </w:rPr>
        <w:t>early coal phase-out</w:t>
      </w:r>
      <w:r>
        <w:rPr>
          <w:rFonts w:ascii="Times New Roman" w:hAnsi="Times New Roman" w:cs="Times New Roman"/>
          <w:rFonts w:ascii="Times New Roman" w:hAnsi="Times New Roman"/>
          <w:b w:val="0"/>
          <w:i w:val="0"/>
          <w:sz w:val="24"/>
        </w:rPr>
        <w:t xml:space="preserve"> sebagai bagian dari kegiatan transisi yang memenuhi syarat pembiayaan hijau.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Taksonomi Hijau Indonesia (OJK 2022):</w:t>
      </w:r>
      <w:r>
        <w:rPr>
          <w:rFonts w:ascii="Times New Roman" w:hAnsi="Times New Roman" w:cs="Times New Roman"/>
          <w:rFonts w:ascii="Times New Roman" w:hAnsi="Times New Roman"/>
          <w:b w:val="0"/>
          <w:i w:val="0"/>
          <w:sz w:val="24"/>
        </w:rPr>
        <w:t xml:space="preserve"> Mengadopsi sistem klasifikasi lampu lalu lintas (</w:t>
      </w:r>
      <w:r>
        <w:rPr>
          <w:rFonts w:ascii="Times New Roman" w:hAnsi="Times New Roman" w:cs="Times New Roman"/>
          <w:rFonts w:ascii="Times New Roman" w:hAnsi="Times New Roman"/>
          <w:b w:val="0"/>
          <w:i/>
          <w:sz w:val="24"/>
        </w:rPr>
        <w:t>traffic light system</w:t>
      </w:r>
      <w:r>
        <w:rPr>
          <w:rFonts w:ascii="Times New Roman" w:hAnsi="Times New Roman" w:cs="Times New Roman"/>
          <w:rFonts w:ascii="Times New Roman" w:hAnsi="Times New Roman"/>
          <w:b w:val="0"/>
          <w:i w:val="0"/>
          <w:sz w:val="24"/>
        </w:rPr>
        <w:t>): kategori Hijau (</w:t>
      </w:r>
      <w:r>
        <w:rPr>
          <w:rFonts w:ascii="Times New Roman" w:hAnsi="Times New Roman" w:cs="Times New Roman"/>
          <w:rFonts w:ascii="Times New Roman" w:hAnsi="Times New Roman"/>
          <w:b w:val="0"/>
          <w:i/>
          <w:sz w:val="24"/>
        </w:rPr>
        <w:t>Do No Significant Harm</w:t>
      </w:r>
      <w:r>
        <w:rPr>
          <w:rFonts w:ascii="Times New Roman" w:hAnsi="Times New Roman" w:cs="Times New Roman"/>
          <w:rFonts w:ascii="Times New Roman" w:hAnsi="Times New Roman"/>
          <w:b w:val="0"/>
          <w:i w:val="0"/>
          <w:sz w:val="24"/>
        </w:rPr>
        <w:t xml:space="preserve"> dan berkontribusi positif), Kuning (Transisi), dan Merah (merusak lingkungan).</w:t>
      </w:r>
    </w:p>
    <w:p>
      <w:pPr>
        <w:spacing w:before="180" w:after="120" w:lineRule="auto" w:line="360"/>
        <w:jc w:val="both"/>
      </w:pPr>
      <w:r>
        <w:rPr>
          <w:rFonts w:ascii="Times New Roman" w:hAnsi="Times New Roman" w:cs="Times New Roman"/>
          <w:rFonts w:ascii="Times New Roman" w:hAnsi="Times New Roman"/>
          <w:b/>
          <w:i w:val="0"/>
          <w:sz w:val="24"/>
        </w:rPr>
        <w:t>Peran Sistemik Bank KBMI 4 dalam Perekonomian Nasional</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Peraturan Otoritas Jasa Keuangan Nomor 12/POJK.03/2021 tentang Bank Umum, pengelompokan bank di Indonesia diklasifikasikan berdasarkan Modal Inti (</w:t>
      </w:r>
      <w:r>
        <w:rPr>
          <w:rFonts w:ascii="Times New Roman" w:hAnsi="Times New Roman" w:cs="Times New Roman"/>
          <w:rFonts w:ascii="Times New Roman" w:hAnsi="Times New Roman"/>
          <w:b w:val="0"/>
          <w:i/>
          <w:sz w:val="24"/>
        </w:rPr>
        <w:t>Tier 1 Capital</w:t>
      </w:r>
      <w:r>
        <w:rPr>
          <w:rFonts w:ascii="Times New Roman" w:hAnsi="Times New Roman" w:cs="Times New Roman"/>
          <w:rFonts w:ascii="Times New Roman" w:hAnsi="Times New Roman"/>
          <w:b w:val="0"/>
          <w:i w:val="0"/>
          <w:sz w:val="24"/>
        </w:rPr>
        <w:t>), menggantikan sistem BUKU terdahulu: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1:</w:t>
      </w:r>
      <w:r>
        <w:rPr>
          <w:rFonts w:ascii="Times New Roman" w:hAnsi="Times New Roman" w:cs="Times New Roman"/>
          <w:rFonts w:ascii="Times New Roman" w:hAnsi="Times New Roman"/>
          <w:b w:val="0"/>
          <w:i w:val="0"/>
          <w:sz w:val="24"/>
        </w:rPr>
        <w:t xml:space="preserve"> Modal Inti sampai dengan Rp6 Triliun.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2:</w:t>
      </w:r>
      <w:r>
        <w:rPr>
          <w:rFonts w:ascii="Times New Roman" w:hAnsi="Times New Roman" w:cs="Times New Roman"/>
          <w:rFonts w:ascii="Times New Roman" w:hAnsi="Times New Roman"/>
          <w:b w:val="0"/>
          <w:i w:val="0"/>
          <w:sz w:val="24"/>
        </w:rPr>
        <w:t xml:space="preserve"> Modal Inti lebih dari Rp6 Triliun sampai dengan Rp14 Triliun.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3:</w:t>
      </w:r>
      <w:r>
        <w:rPr>
          <w:rFonts w:ascii="Times New Roman" w:hAnsi="Times New Roman" w:cs="Times New Roman"/>
          <w:rFonts w:ascii="Times New Roman" w:hAnsi="Times New Roman"/>
          <w:b w:val="0"/>
          <w:i w:val="0"/>
          <w:sz w:val="24"/>
        </w:rPr>
        <w:t xml:space="preserve"> Modal Inti lebih dari Rp14 Triliun sampai dengan Rp70 Triliun.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4:</w:t>
      </w:r>
      <w:r>
        <w:rPr>
          <w:rFonts w:ascii="Times New Roman" w:hAnsi="Times New Roman" w:cs="Times New Roman"/>
          <w:rFonts w:ascii="Times New Roman" w:hAnsi="Times New Roman"/>
          <w:b w:val="0"/>
          <w:i w:val="0"/>
          <w:sz w:val="24"/>
        </w:rPr>
        <w:t xml:space="preserve"> Modal Inti di atas Rp70 Triliun.</w:t>
      </w:r>
    </w:p>
    <w:p>
      <w:pPr>
        <w:spacing w:before="0" w:after="0" w:lineRule="auto" w:line="360"/>
        <w:ind w:firstLine="709"/>
        <w:jc w:val="both"/>
      </w:pPr>
      <w:r>
        <w:rPr>
          <w:rFonts w:ascii="Times New Roman" w:hAnsi="Times New Roman" w:cs="Times New Roman"/>
          <w:rFonts w:ascii="Times New Roman" w:hAnsi="Times New Roman"/>
          <w:b w:val="0"/>
          <w:i w:val="0"/>
          <w:sz w:val="24"/>
        </w:rPr>
        <w:t>Kelompok KBMI 4 hanya beranggotakan empat entitas bank umum konvensional terbesar di Indonesia: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PT Bank Rakyat Indonesia (Persero) Tbk (BBRI):</w:t>
      </w:r>
      <w:r>
        <w:rPr>
          <w:rFonts w:ascii="Times New Roman" w:hAnsi="Times New Roman" w:cs="Times New Roman"/>
          <w:rFonts w:ascii="Times New Roman" w:hAnsi="Times New Roman"/>
          <w:b w:val="0"/>
          <w:i w:val="0"/>
          <w:sz w:val="24"/>
        </w:rPr>
        <w:t xml:space="preserve"> Bank BUMN dengan spesialisasi pembiayaan mikro dan ultra-mikro melalui integrasi Holding Ultra Mikro (bersama PT Pegadaian dan PT Permodalan Nasional Madani / PNM). Total aset BRI per akhir 2025 melampaui Rp1.950 Triliun dengan jangkauan nasabah inklusif terbesar di Indonesia.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PT Bank Mandiri (Persero) Tbk (BMRI):</w:t>
      </w:r>
      <w:r>
        <w:rPr>
          <w:rFonts w:ascii="Times New Roman" w:hAnsi="Times New Roman" w:cs="Times New Roman"/>
          <w:rFonts w:ascii="Times New Roman" w:hAnsi="Times New Roman"/>
          <w:b w:val="0"/>
          <w:i w:val="0"/>
          <w:sz w:val="24"/>
        </w:rPr>
        <w:t xml:space="preserve"> Bank BUMN terbesar di segmen pembiayaan korporasi, infrastruktur strategis, dan sindikasi proyek nasional. Total aset Bank Mandiri mencapai lebih dari Rp2.100 Triliun dengan kepemimpinan kuat dalam pembiayaan energi baru terbarukan.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PT Bank Central Asia Tbk (BBCA):</w:t>
      </w:r>
      <w:r>
        <w:rPr>
          <w:rFonts w:ascii="Times New Roman" w:hAnsi="Times New Roman" w:cs="Times New Roman"/>
          <w:rFonts w:ascii="Times New Roman" w:hAnsi="Times New Roman"/>
          <w:b w:val="0"/>
          <w:i w:val="0"/>
          <w:sz w:val="24"/>
        </w:rPr>
        <w:t xml:space="preserve"> Bank swasta nasional terbesar dengan dominasi dana murah (</w:t>
      </w:r>
      <w:r>
        <w:rPr>
          <w:rFonts w:ascii="Times New Roman" w:hAnsi="Times New Roman" w:cs="Times New Roman"/>
          <w:rFonts w:ascii="Times New Roman" w:hAnsi="Times New Roman"/>
          <w:b w:val="0"/>
          <w:i/>
          <w:sz w:val="24"/>
        </w:rPr>
        <w:t>Current Account and Saving Account</w:t>
      </w:r>
      <w:r>
        <w:rPr>
          <w:rFonts w:ascii="Times New Roman" w:hAnsi="Times New Roman" w:cs="Times New Roman"/>
          <w:rFonts w:ascii="Times New Roman" w:hAnsi="Times New Roman"/>
          <w:b w:val="0"/>
          <w:i w:val="0"/>
          <w:sz w:val="24"/>
        </w:rPr>
        <w:t xml:space="preserve"> / CASA $&gt;80</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PT Bank Negara Indonesia (Persero) Tbk (BBNI):</w:t>
      </w:r>
      <w:r>
        <w:rPr>
          <w:rFonts w:ascii="Times New Roman" w:hAnsi="Times New Roman" w:cs="Times New Roman"/>
          <w:rFonts w:ascii="Times New Roman" w:hAnsi="Times New Roman"/>
          <w:b w:val="0"/>
          <w:i w:val="0"/>
          <w:sz w:val="24"/>
        </w:rPr>
        <w:t xml:space="preserve"> Bank BUMN dengan fokus pada perbankan korporasi, jaringan kantor cabang luar negeri di pusat-pusat keuangan global, serta pelopor penerbitan </w:t>
      </w:r>
      <w:r>
        <w:rPr>
          <w:rFonts w:ascii="Times New Roman" w:hAnsi="Times New Roman" w:cs="Times New Roman"/>
          <w:rFonts w:ascii="Times New Roman" w:hAnsi="Times New Roman"/>
          <w:b w:val="0"/>
          <w:i/>
          <w:sz w:val="24"/>
        </w:rPr>
        <w:t>Green Bond</w:t>
      </w:r>
      <w:r>
        <w:rPr>
          <w:rFonts w:ascii="Times New Roman" w:hAnsi="Times New Roman" w:cs="Times New Roman"/>
          <w:rFonts w:ascii="Times New Roman" w:hAnsi="Times New Roman"/>
          <w:b w:val="0"/>
          <w:i w:val="0"/>
          <w:sz w:val="24"/>
        </w:rPr>
        <w:t xml:space="preserve"> berdenominasi Rupiah, dengan total aset melampaui Rp1.100 Triliun.</w:t>
      </w:r>
    </w:p>
    <w:p>
      <w:pPr>
        <w:spacing w:before="0" w:after="0" w:lineRule="auto" w:line="360"/>
        <w:ind w:firstLine="709"/>
        <w:jc w:val="both"/>
      </w:pPr>
      <w:r>
        <w:rPr>
          <w:rFonts w:ascii="Times New Roman" w:hAnsi="Times New Roman" w:cs="Times New Roman"/>
          <w:rFonts w:ascii="Times New Roman" w:hAnsi="Times New Roman"/>
          <w:b w:val="0"/>
          <w:i w:val="0"/>
          <w:sz w:val="24"/>
        </w:rPr>
        <w:t>Gabungan keempat bank KBMI 4 menguasai lebih dari 52</w:t>
      </w:r>
    </w:p>
    <w:p>
      <w:pPr>
        <w:spacing w:before="180" w:after="120" w:lineRule="auto" w:line="360"/>
        <w:jc w:val="both"/>
      </w:pPr>
      <w:r>
        <w:rPr>
          <w:rFonts w:ascii="Times New Roman" w:hAnsi="Times New Roman" w:cs="Times New Roman"/>
          <w:rFonts w:ascii="Times New Roman" w:hAnsi="Times New Roman"/>
          <w:b/>
          <w:i w:val="0"/>
          <w:sz w:val="24"/>
        </w:rPr>
        <w:t>Perdebatan Empiris dan Teoretis (*Research Gap</w:t>
      </w:r>
    </w:p>
    <w:p>
      <w:pPr>
        <w:spacing w:before="0" w:after="0" w:lineRule="auto" w:line="360"/>
        <w:ind w:firstLine="709"/>
        <w:jc w:val="both"/>
      </w:pPr>
      <w:r>
        <w:rPr>
          <w:rFonts w:ascii="Times New Roman" w:hAnsi="Times New Roman" w:cs="Times New Roman"/>
          <w:rFonts w:ascii="Times New Roman" w:hAnsi="Times New Roman"/>
          <w:b w:val="0"/>
          <w:i w:val="0"/>
          <w:sz w:val="24"/>
        </w:rPr>
        <w:t>Meskipun urgensi pembiayaan hijau sangat tinggi, dampak alokasi kredit hijau terhadap profitabilitas bank masih menjadi subjek perdebatan hangat di kalangan akademisi: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Kelompok Pendukung Efek Positif (</w:t>
      </w:r>
      <w:r>
        <w:rPr>
          <w:rFonts w:ascii="Times New Roman" w:hAnsi="Times New Roman" w:cs="Times New Roman"/>
          <w:rFonts w:ascii="Times New Roman" w:hAnsi="Times New Roman"/>
          <w:b w:val="0"/>
          <w:i w:val="0"/>
          <w:sz w:val="24"/>
        </w:rPr>
        <w:t>Value-Enhancing View</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Berdasarkan </w:t>
      </w:r>
      <w:r>
        <w:rPr>
          <w:rFonts w:ascii="Times New Roman" w:hAnsi="Times New Roman" w:cs="Times New Roman"/>
          <w:rFonts w:ascii="Times New Roman" w:hAnsi="Times New Roman"/>
          <w:b w:val="0"/>
          <w:i w:val="0"/>
          <w:sz w:val="24"/>
        </w:rPr>
        <w:t>Stakeholder Theory</w:t>
      </w:r>
      <w:r>
        <w:rPr>
          <w:rFonts w:ascii="Times New Roman" w:hAnsi="Times New Roman" w:cs="Times New Roman"/>
          <w:rFonts w:ascii="Times New Roman" w:hAnsi="Times New Roman"/>
          <w:b w:val="0"/>
          <w:i/>
          <w:sz w:val="24"/>
        </w:rPr>
        <w:t xml:space="preserve"> dan </w:t>
      </w:r>
      <w:r>
        <w:rPr>
          <w:rFonts w:ascii="Times New Roman" w:hAnsi="Times New Roman" w:cs="Times New Roman"/>
          <w:rFonts w:ascii="Times New Roman" w:hAnsi="Times New Roman"/>
          <w:b w:val="0"/>
          <w:i w:val="0"/>
          <w:sz w:val="24"/>
        </w:rPr>
        <w:t>Legitimacy Theory</w:t>
      </w:r>
      <w:r>
        <w:rPr>
          <w:rFonts w:ascii="Times New Roman" w:hAnsi="Times New Roman" w:cs="Times New Roman"/>
          <w:rFonts w:ascii="Times New Roman" w:hAnsi="Times New Roman"/>
          <w:b w:val="0"/>
          <w:i/>
          <w:sz w:val="24"/>
        </w:rPr>
        <w:t>, peneliti seperti Pramono et al. (2022), Yin et al. (2021), Sari &amp; Astuti (2023), dan Sun et al. (2021) menemukan bahwa penyaluran kredit hijau berasosiasi dengan reputasi positif, penurunan biaya perolehan dana (</w:t>
      </w:r>
      <w:r>
        <w:rPr>
          <w:rFonts w:ascii="Times New Roman" w:hAnsi="Times New Roman" w:cs="Times New Roman"/>
          <w:rFonts w:ascii="Times New Roman" w:hAnsi="Times New Roman"/>
          <w:b w:val="0"/>
          <w:i w:val="0"/>
          <w:sz w:val="24"/>
        </w:rPr>
        <w:t>cost of funds</w:t>
      </w:r>
      <w:r>
        <w:rPr>
          <w:rFonts w:ascii="Times New Roman" w:hAnsi="Times New Roman" w:cs="Times New Roman"/>
          <w:rFonts w:ascii="Times New Roman" w:hAnsi="Times New Roman"/>
          <w:b w:val="0"/>
          <w:i/>
          <w:sz w:val="24"/>
        </w:rPr>
        <w:t xml:space="preserve">) melalui penerbitan instrumen </w:t>
      </w:r>
      <w:r>
        <w:rPr>
          <w:rFonts w:ascii="Times New Roman" w:hAnsi="Times New Roman" w:cs="Times New Roman"/>
          <w:rFonts w:ascii="Times New Roman" w:hAnsi="Times New Roman"/>
          <w:b w:val="0"/>
          <w:i w:val="0"/>
          <w:sz w:val="24"/>
        </w:rPr>
        <w:t>green funding</w:t>
      </w:r>
      <w:r>
        <w:rPr>
          <w:rFonts w:ascii="Times New Roman" w:hAnsi="Times New Roman" w:cs="Times New Roman"/>
          <w:rFonts w:ascii="Times New Roman" w:hAnsi="Times New Roman"/>
          <w:b w:val="0"/>
          <w:i/>
          <w:sz w:val="24"/>
        </w:rPr>
        <w:t xml:space="preserve">, serta pengurangan risiko gagal bayar karena debitur hijau memiliki keunggulan operasional jangka panjang, sehingga mendongkrak </w:t>
      </w:r>
      <w:r>
        <w:rPr>
          <w:rFonts w:ascii="Times New Roman" w:hAnsi="Times New Roman" w:cs="Times New Roman"/>
          <w:rFonts w:ascii="Times New Roman" w:hAnsi="Times New Roman"/>
          <w:b w:val="0"/>
          <w:i w:val="0"/>
          <w:sz w:val="24"/>
        </w:rPr>
        <w:t>Return on Assets* (ROA).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Kelompok Pengkritik Efek Negatif (</w:t>
      </w:r>
      <w:r>
        <w:rPr>
          <w:rFonts w:ascii="Times New Roman" w:hAnsi="Times New Roman" w:cs="Times New Roman"/>
          <w:rFonts w:ascii="Times New Roman" w:hAnsi="Times New Roman"/>
          <w:b w:val="0"/>
          <w:i w:val="0"/>
          <w:sz w:val="24"/>
        </w:rPr>
        <w:t>Cost-Incurring View</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Sebaliknya, peneliti seperti Akomea et al. (2022) dan Zhang et al. (2022) menemukan bahwa pembiayaan hijau menimbulkan beban biaya kepatuhan yang sangat mahal (</w:t>
      </w:r>
      <w:r>
        <w:rPr>
          <w:rFonts w:ascii="Times New Roman" w:hAnsi="Times New Roman" w:cs="Times New Roman"/>
          <w:rFonts w:ascii="Times New Roman" w:hAnsi="Times New Roman"/>
          <w:b w:val="0"/>
          <w:i w:val="0"/>
          <w:sz w:val="24"/>
        </w:rPr>
        <w:t>high compliance &amp; due diligence costs</w:t>
      </w:r>
      <w:r>
        <w:rPr>
          <w:rFonts w:ascii="Times New Roman" w:hAnsi="Times New Roman" w:cs="Times New Roman"/>
          <w:rFonts w:ascii="Times New Roman" w:hAnsi="Times New Roman"/>
          <w:b w:val="0"/>
          <w:i/>
          <w:sz w:val="24"/>
        </w:rPr>
        <w:t>), risiko imbal hasil yang lebih rendah pada fase awal proyek ramah lingkungan, serta keterbatasan pasokan debitur hijau yang memenuhi kriteria kelayakan kredit (</w:t>
      </w:r>
      <w:r>
        <w:rPr>
          <w:rFonts w:ascii="Times New Roman" w:hAnsi="Times New Roman" w:cs="Times New Roman"/>
          <w:rFonts w:ascii="Times New Roman" w:hAnsi="Times New Roman"/>
          <w:b w:val="0"/>
          <w:i w:val="0"/>
          <w:sz w:val="24"/>
        </w:rPr>
        <w:t>bankable green projects*), yang pada akhirnya menekan margin bunga bersih dan menurunkan profitabilitas bank dalam jangka pendek.</w:t>
      </w:r>
    </w:p>
    <w:p>
      <w:pPr>
        <w:spacing w:before="0" w:after="0" w:lineRule="auto" w:line="360"/>
        <w:ind w:firstLine="709"/>
        <w:jc w:val="both"/>
      </w:pPr>
      <w:r>
        <w:rPr>
          <w:rFonts w:ascii="Times New Roman" w:hAnsi="Times New Roman" w:cs="Times New Roman"/>
          <w:rFonts w:ascii="Times New Roman" w:hAnsi="Times New Roman"/>
          <w:b w:val="0"/>
          <w:i w:val="0"/>
          <w:sz w:val="24"/>
        </w:rPr>
        <w:t>Selain pembiayaan hijau, kinerja profitabilitas perbankan senantiasa ditentukan oleh manajemen kualitas aset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 NPL) dan kecukupan modal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 CAR). Kenaikan rasio NPL mengharuskan bank membentuk beban Cadangan Kerugian Penurunan Nilai (CKPN) berbasis PSAK 71 yang langsung menggerus laba bersih sebelum pajak (Kuncoro &amp; Suhardjono (2018), Pradita &amp; Syaichu (2022)). Di sisi lain, rasio CAR yang tebal menyediakan bantalan penyerap risiko (</w:t>
      </w:r>
      <w:r>
        <w:rPr>
          <w:rFonts w:ascii="Times New Roman" w:hAnsi="Times New Roman" w:cs="Times New Roman"/>
          <w:rFonts w:ascii="Times New Roman" w:hAnsi="Times New Roman"/>
          <w:b w:val="0"/>
          <w:i/>
          <w:sz w:val="24"/>
        </w:rPr>
        <w:t>risk buffer</w:t>
      </w:r>
      <w:r>
        <w:rPr>
          <w:rFonts w:ascii="Times New Roman" w:hAnsi="Times New Roman" w:cs="Times New Roman"/>
          <w:rFonts w:ascii="Times New Roman" w:hAnsi="Times New Roman"/>
          <w:b w:val="0"/>
          <w:i w:val="0"/>
          <w:sz w:val="24"/>
        </w:rPr>
        <w:t>) dan memberikan keleluasaan bagi bank untuk melakukan ekspansi kredit bermargin tinggi (Brigham &amp; Ehrhardt (2020), Lestari &amp; Purnomo (2023)).</w:t>
      </w:r>
    </w:p>
    <w:p>
      <w:pPr>
        <w:spacing w:before="180" w:after="120" w:lineRule="auto" w:line="360"/>
        <w:jc w:val="both"/>
      </w:pPr>
      <w:r>
        <w:rPr>
          <w:rFonts w:ascii="Times New Roman" w:hAnsi="Times New Roman" w:cs="Times New Roman"/>
          <w:rFonts w:ascii="Times New Roman" w:hAnsi="Times New Roman"/>
          <w:b/>
          <w:i w:val="0"/>
          <w:sz w:val="24"/>
        </w:rPr>
        <w:t>Dinamika Kebijakan Insentif Makroprudensial Hijau Bank Indonesia dan OJK (2021–2025)</w:t>
      </w:r>
    </w:p>
    <w:p>
      <w:pPr>
        <w:spacing w:before="0" w:after="0" w:lineRule="auto" w:line="360"/>
        <w:ind w:firstLine="709"/>
        <w:jc w:val="both"/>
      </w:pPr>
      <w:r>
        <w:rPr>
          <w:rFonts w:ascii="Times New Roman" w:hAnsi="Times New Roman" w:cs="Times New Roman"/>
          <w:rFonts w:ascii="Times New Roman" w:hAnsi="Times New Roman"/>
          <w:b w:val="0"/>
          <w:i w:val="0"/>
          <w:sz w:val="24"/>
        </w:rPr>
        <w:t>Sepanjang periode 2021 sampai 2025, otoritas moneter dan perbankan nasional secara agresif meluncurkan bauran kebijakan (</w:t>
      </w:r>
      <w:r>
        <w:rPr>
          <w:rFonts w:ascii="Times New Roman" w:hAnsi="Times New Roman" w:cs="Times New Roman"/>
          <w:rFonts w:ascii="Times New Roman" w:hAnsi="Times New Roman"/>
          <w:b w:val="0"/>
          <w:i/>
          <w:sz w:val="24"/>
        </w:rPr>
        <w:t>policy mix</w:t>
      </w:r>
      <w:r>
        <w:rPr>
          <w:rFonts w:ascii="Times New Roman" w:hAnsi="Times New Roman" w:cs="Times New Roman"/>
          <w:rFonts w:ascii="Times New Roman" w:hAnsi="Times New Roman"/>
          <w:b w:val="0"/>
          <w:i w:val="0"/>
          <w:sz w:val="24"/>
        </w:rPr>
        <w:t>) untuk mengakselerasi pembiayaan hijau:</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Kebijakan Insentif Likuiditas Makroprudensial (KLM):</w:t>
      </w:r>
      <w:r>
        <w:rPr>
          <w:rFonts w:ascii="Times New Roman" w:hAnsi="Times New Roman" w:cs="Times New Roman"/>
          <w:rFonts w:ascii="Times New Roman" w:hAnsi="Times New Roman"/>
          <w:b w:val="0"/>
          <w:i w:val="0"/>
          <w:sz w:val="24"/>
        </w:rPr>
        <w:t xml:space="preserve"> Bank Indonesia memberikan insentif pengurangan kewajiban Giro Wajib Minimum (GWM) hingga sebesar 200 basis poin (2,00</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Pelonggaran Batas Rasio Pembiayaan Inklusif Makroprudensial (RPIM) Hijau:</w:t>
      </w:r>
      <w:r>
        <w:rPr>
          <w:rFonts w:ascii="Times New Roman" w:hAnsi="Times New Roman" w:cs="Times New Roman"/>
          <w:rFonts w:ascii="Times New Roman" w:hAnsi="Times New Roman"/>
          <w:b w:val="0"/>
          <w:i w:val="0"/>
          <w:sz w:val="24"/>
        </w:rPr>
        <w:t xml:space="preserve"> Memperluas instrumen pemenuhan RPIM melalui pembelian surat berharga hijau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Green Sukuk</w:t>
      </w:r>
      <w:r>
        <w:rPr>
          <w:rFonts w:ascii="Times New Roman" w:hAnsi="Times New Roman" w:cs="Times New Roman"/>
          <w:rFonts w:ascii="Times New Roman" w:hAnsi="Times New Roman"/>
          <w:b w:val="0"/>
          <w:i w:val="0"/>
          <w:sz w:val="24"/>
        </w:rPr>
        <w:t>), yang memberikan fleksibilitas pengelolaan likuiditas sekunder bagi perbankan.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Pemberlakuan Taksonomi Keuangan Berkelanjutan Indonesia (TKBI):</w:t>
      </w:r>
      <w:r>
        <w:rPr>
          <w:rFonts w:ascii="Times New Roman" w:hAnsi="Times New Roman" w:cs="Times New Roman"/>
          <w:rFonts w:ascii="Times New Roman" w:hAnsi="Times New Roman"/>
          <w:b w:val="0"/>
          <w:i w:val="0"/>
          <w:sz w:val="24"/>
        </w:rPr>
        <w:t xml:space="preserve"> OJK merevisi Taksonomi Hijau Edisi 1.0 menjadi TKBI yang lebih komprehensif, mengintegrasikan prinsip transisi energi yang adil (</w:t>
      </w:r>
      <w:r>
        <w:rPr>
          <w:rFonts w:ascii="Times New Roman" w:hAnsi="Times New Roman" w:cs="Times New Roman"/>
          <w:rFonts w:ascii="Times New Roman" w:hAnsi="Times New Roman"/>
          <w:b w:val="0"/>
          <w:i/>
          <w:sz w:val="24"/>
        </w:rPr>
        <w:t>Just Energy Transition Partnership</w:t>
      </w:r>
      <w:r>
        <w:rPr>
          <w:rFonts w:ascii="Times New Roman" w:hAnsi="Times New Roman" w:cs="Times New Roman"/>
          <w:rFonts w:ascii="Times New Roman" w:hAnsi="Times New Roman"/>
          <w:b w:val="0"/>
          <w:i w:val="0"/>
          <w:sz w:val="24"/>
        </w:rPr>
        <w:t xml:space="preserve"> / JETP) dan kriteria teknis kelayakan pembiayaan dekarbonisasi industri.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Sinergi antara kebijakan moneter makroprudensial Bank Indonesia dan regulasi prudensial OJK tersebut menciptakan lingkungan ekonomi yang sangat mendukung bank-bank KBMI 4 dalam memperbesar alokasi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tanpa mengorbankan marjin laba dan stabilitas permodalan.</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latar belakang empiris, dinamika makroekonomi pasca-pandemi, urgensi kepatuhan regulasi OJK, serta adanya kesenjangan hasil penelitian terdahulu (</w:t>
      </w:r>
      <w:r>
        <w:rPr>
          <w:rFonts w:ascii="Times New Roman" w:hAnsi="Times New Roman" w:cs="Times New Roman"/>
          <w:rFonts w:ascii="Times New Roman" w:hAnsi="Times New Roman"/>
          <w:b w:val="0"/>
          <w:i/>
          <w:sz w:val="24"/>
        </w:rPr>
        <w:t>research gap</w:t>
      </w:r>
      <w:r>
        <w:rPr>
          <w:rFonts w:ascii="Times New Roman" w:hAnsi="Times New Roman" w:cs="Times New Roman"/>
          <w:rFonts w:ascii="Times New Roman" w:hAnsi="Times New Roman"/>
          <w:b w:val="0"/>
          <w:i w:val="0"/>
          <w:sz w:val="24"/>
        </w:rPr>
        <w:t>), maka peneliti melakukan kajian ilmiah komprehensif dalam bentuk skripsi dengan judul: *</w:t>
      </w:r>
      <w:r>
        <w:rPr>
          <w:rFonts w:ascii="Times New Roman" w:hAnsi="Times New Roman" w:cs="Times New Roman"/>
          <w:rFonts w:ascii="Times New Roman" w:hAnsi="Times New Roman"/>
          <w:b w:val="0"/>
          <w:i/>
          <w:sz w:val="24"/>
        </w:rPr>
        <w:t>``Pengaruh Portofolio Kredit Hijau (</w:t>
      </w:r>
      <w:r>
        <w:rPr>
          <w:rFonts w:ascii="Times New Roman" w:hAnsi="Times New Roman" w:cs="Times New Roman"/>
          <w:rFonts w:ascii="Times New Roman" w:hAnsi="Times New Roman"/>
          <w:b w:val="0"/>
          <w:i w:val="0"/>
          <w:sz w:val="24"/>
        </w:rPr>
        <w:t>Green Financing</w:t>
      </w:r>
      <w:r>
        <w:rPr>
          <w:rFonts w:ascii="Times New Roman" w:hAnsi="Times New Roman" w:cs="Times New Roman"/>
          <w:rFonts w:ascii="Times New Roman" w:hAnsi="Times New Roman"/>
          <w:b w:val="0"/>
          <w:i/>
          <w:sz w:val="24"/>
        </w:rPr>
        <w:t xml:space="preserve">), </w:t>
      </w:r>
      <w:r>
        <w:rPr>
          <w:rFonts w:ascii="Times New Roman" w:hAnsi="Times New Roman" w:cs="Times New Roman"/>
          <w:rFonts w:ascii="Times New Roman" w:hAnsi="Times New Roman"/>
          <w:b w:val="0"/>
          <w:i w:val="0"/>
          <w:sz w:val="24"/>
        </w:rPr>
        <w:t>Non-Performing Loan</w:t>
      </w:r>
      <w:r>
        <w:rPr>
          <w:rFonts w:ascii="Times New Roman" w:hAnsi="Times New Roman" w:cs="Times New Roman"/>
          <w:rFonts w:ascii="Times New Roman" w:hAnsi="Times New Roman"/>
          <w:b w:val="0"/>
          <w:i/>
          <w:sz w:val="24"/>
        </w:rPr>
        <w:t xml:space="preserve"> (NPL), dan </w:t>
      </w:r>
      <w:r>
        <w:rPr>
          <w:rFonts w:ascii="Times New Roman" w:hAnsi="Times New Roman" w:cs="Times New Roman"/>
          <w:rFonts w:ascii="Times New Roman" w:hAnsi="Times New Roman"/>
          <w:b w:val="0"/>
          <w:i w:val="0"/>
          <w:sz w:val="24"/>
        </w:rPr>
        <w:t>Capital Adequacy Ratio</w:t>
      </w:r>
      <w:r>
        <w:rPr>
          <w:rFonts w:ascii="Times New Roman" w:hAnsi="Times New Roman" w:cs="Times New Roman"/>
          <w:rFonts w:ascii="Times New Roman" w:hAnsi="Times New Roman"/>
          <w:b w:val="0"/>
          <w:i/>
          <w:sz w:val="24"/>
        </w:rPr>
        <w:t xml:space="preserve"> (CAR) terhadap Profitabilitas (ROA) pada Bank KBMI 4 di Indonesia Periode 2021–2025''</w:t>
      </w:r>
      <w:r>
        <w:rPr>
          <w:rFonts w:ascii="Times New Roman" w:hAnsi="Times New Roman" w:cs="Times New Roman"/>
          <w:rFonts w:ascii="Times New Roman" w:hAnsi="Times New Roman"/>
          <w:b w:val="0"/>
          <w:i w:val="0"/>
          <w:sz w:val="24"/>
        </w:rPr>
        <w:t>*.</w:t>
      </w:r>
    </w:p>
    <w:p>
      <w:pPr>
        <w:spacing w:before="240" w:after="120" w:lineRule="auto" w:line="360"/>
        <w:jc w:val="both"/>
      </w:pPr>
      <w:r>
        <w:rPr>
          <w:rFonts w:ascii="Times New Roman" w:hAnsi="Times New Roman" w:cs="Times New Roman"/>
          <w:rFonts w:ascii="Times New Roman" w:hAnsi="Times New Roman"/>
          <w:b/>
          <w:i w:val="0"/>
          <w:sz w:val="24"/>
        </w:rPr>
        <w:t>Identifikasi Masalah</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pemaparan latar belakang di atas, dapat diidentifikasikan beberapa permasalahan utama sebagai berikut: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Adanya pergeseran tuntutan regulasi dan ekspektasi pasar global yang mewajibkan bank umum KBMI 4 untuk meningkatkan alokasi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namun timbul kekhawatiran mengenai tingginya biaya kepatuhan awal (</w:t>
      </w:r>
      <w:r>
        <w:rPr>
          <w:rFonts w:ascii="Times New Roman" w:hAnsi="Times New Roman" w:cs="Times New Roman"/>
          <w:rFonts w:ascii="Times New Roman" w:hAnsi="Times New Roman"/>
          <w:b w:val="0"/>
          <w:i/>
          <w:sz w:val="24"/>
        </w:rPr>
        <w:t>compliance costs</w:t>
      </w:r>
      <w:r>
        <w:rPr>
          <w:rFonts w:ascii="Times New Roman" w:hAnsi="Times New Roman" w:cs="Times New Roman"/>
          <w:rFonts w:ascii="Times New Roman" w:hAnsi="Times New Roman"/>
          <w:b w:val="0"/>
          <w:i w:val="0"/>
          <w:sz w:val="24"/>
        </w:rPr>
        <w:t>) dan dampaknya terhadap profitabilitas bank.</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Terdapat perbedaan temuan empiris (</w:t>
      </w:r>
      <w:r>
        <w:rPr>
          <w:rFonts w:ascii="Times New Roman" w:hAnsi="Times New Roman" w:cs="Times New Roman"/>
          <w:rFonts w:ascii="Times New Roman" w:hAnsi="Times New Roman"/>
          <w:b w:val="0"/>
          <w:i/>
          <w:sz w:val="24"/>
        </w:rPr>
        <w:t>research gap</w:t>
      </w:r>
      <w:r>
        <w:rPr>
          <w:rFonts w:ascii="Times New Roman" w:hAnsi="Times New Roman" w:cs="Times New Roman"/>
          <w:rFonts w:ascii="Times New Roman" w:hAnsi="Times New Roman"/>
          <w:b w:val="0"/>
          <w:i w:val="0"/>
          <w:sz w:val="24"/>
        </w:rPr>
        <w:t xml:space="preserve">) dalam literatur terdahulu, di mana sebagian peneliti menemukan asosiasi positif signifikan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terhadap profitabilitas (Pramono et al. (2022), Yin et al. (2021), Sari &amp; Astuti (2023)), sedangkan peneliti lain menemukan asosiasi negatif jangka pendek atau tidak signifikan (Akomea et al. (2022), Zhang et al. (2022)).</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Fluktuasi risiko kredit bermasalah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 NPL) pasca-berakhirnya stimulus restrukturisasi kredit COVID-19 yang berpotensi meningkatkan beban pembentukan Cadangan Kerugian Penurunan Nilai (CKPN) dan menggerus profitabilitas bank.</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Perubahan suku bunga acuan (</w:t>
      </w:r>
      <w:r>
        <w:rPr>
          <w:rFonts w:ascii="Times New Roman" w:hAnsi="Times New Roman" w:cs="Times New Roman"/>
          <w:rFonts w:ascii="Times New Roman" w:hAnsi="Times New Roman"/>
          <w:b w:val="0"/>
          <w:i/>
          <w:sz w:val="24"/>
        </w:rPr>
        <w:t>BI-Rate</w:t>
      </w:r>
      <w:r>
        <w:rPr>
          <w:rFonts w:ascii="Times New Roman" w:hAnsi="Times New Roman" w:cs="Times New Roman"/>
          <w:rFonts w:ascii="Times New Roman" w:hAnsi="Times New Roman"/>
          <w:b w:val="0"/>
          <w:i w:val="0"/>
          <w:sz w:val="24"/>
        </w:rPr>
        <w:t>) dan pengetatan likuiditas yang menuntut bank mempertahankan kecukupan modal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 CAR) yang kokoh guna menjaga kapasitas ekspansi kredit dan efisiensi biaya dana.</w:t>
      </w:r>
    </w:p>
    <w:p>
      <w:pPr>
        <w:spacing w:before="240" w:after="120" w:lineRule="auto" w:line="360"/>
        <w:jc w:val="both"/>
      </w:pPr>
      <w:r>
        <w:rPr>
          <w:rFonts w:ascii="Times New Roman" w:hAnsi="Times New Roman" w:cs="Times New Roman"/>
          <w:rFonts w:ascii="Times New Roman" w:hAnsi="Times New Roman"/>
          <w:b/>
          <w:i w:val="0"/>
          <w:sz w:val="24"/>
        </w:rPr>
        <w:t>Pembatasan Masalah</w:t>
      </w:r>
    </w:p>
    <w:p>
      <w:pPr>
        <w:spacing w:before="0" w:after="0" w:lineRule="auto" w:line="360"/>
        <w:ind w:firstLine="709"/>
        <w:jc w:val="both"/>
      </w:pPr>
      <w:r>
        <w:rPr>
          <w:rFonts w:ascii="Times New Roman" w:hAnsi="Times New Roman" w:cs="Times New Roman"/>
          <w:rFonts w:ascii="Times New Roman" w:hAnsi="Times New Roman"/>
          <w:b w:val="0"/>
          <w:i w:val="0"/>
          <w:sz w:val="24"/>
        </w:rPr>
        <w:t>Agar penelitian ini terfokus, mendalam, dan terarah sesuai dengan ruang lingkup keilmuan manajemen keuangan perbankan, maka penelitian ini dibatasi pada: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Objek Penelitian:</w:t>
      </w:r>
      <w:r>
        <w:rPr>
          <w:rFonts w:ascii="Times New Roman" w:hAnsi="Times New Roman" w:cs="Times New Roman"/>
          <w:rFonts w:ascii="Times New Roman" w:hAnsi="Times New Roman"/>
          <w:b w:val="0"/>
          <w:i w:val="0"/>
          <w:sz w:val="24"/>
        </w:rPr>
        <w:t xml:space="preserve"> Dibatasi pada 4 entitas bank umum konvensional yang masuk dalam kategori Kelompok Bank Berdasarkan Modal Inti (KBMI) 4 yang terdaftar di Bursa Efek Indonesia (BEI) selama periode 2021–2025 (BBRI, BMRI, BBCA, BBNI).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Variabel Penelitian:</w:t>
      </w:r>
      <w:r>
        <w:rPr>
          <w:rFonts w:ascii="Times New Roman" w:hAnsi="Times New Roman" w:cs="Times New Roman"/>
          <w:rFonts w:ascii="Times New Roman" w:hAnsi="Times New Roman"/>
          <w:b w:val="0"/>
          <w:i w:val="0"/>
          <w:sz w:val="24"/>
        </w:rPr>
        <w:t xml:space="preserve"> Variabel independen dibatasi pada tiga indikator utama yaitu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 X_1),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 X_2),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 X_3). Variabel dependen adalah Profitabilitas yang diproksikan dengan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(ROA / Y).</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Periode Penelitian:</w:t>
      </w:r>
      <w:r>
        <w:rPr>
          <w:rFonts w:ascii="Times New Roman" w:hAnsi="Times New Roman" w:cs="Times New Roman"/>
          <w:rFonts w:ascii="Times New Roman" w:hAnsi="Times New Roman"/>
          <w:b w:val="0"/>
          <w:i w:val="0"/>
          <w:sz w:val="24"/>
        </w:rPr>
        <w:t xml:space="preserve"> Menggunakan data laporan keuangan publikasi kuartalan dan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selama 5 tahun berturut-turut, yaitu kuartal I-2021 sampai dengan kuartal IV-2025 (N=4, T=20, Total 80 observasi panel).</w:t>
      </w:r>
    </w:p>
    <w:p>
      <w:pPr>
        <w:spacing w:before="240" w:after="120" w:lineRule="auto" w:line="360"/>
        <w:jc w:val="both"/>
      </w:pPr>
      <w:r>
        <w:rPr>
          <w:rFonts w:ascii="Times New Roman" w:hAnsi="Times New Roman" w:cs="Times New Roman"/>
          <w:rFonts w:ascii="Times New Roman" w:hAnsi="Times New Roman"/>
          <w:b/>
          <w:i w:val="0"/>
          <w:sz w:val="24"/>
        </w:rPr>
        <w:t>Perumusan Masalah</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batasan masalah di atas, perumusan masalah dalam penelitian ini adalah:</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Apakah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 xml:space="preserve">Apakah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 xml:space="preserve">Apakah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Apakah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secara simultan (bersama-sama)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240" w:after="120" w:lineRule="auto" w:line="360"/>
        <w:jc w:val="both"/>
      </w:pPr>
      <w:r>
        <w:rPr>
          <w:rFonts w:ascii="Times New Roman" w:hAnsi="Times New Roman" w:cs="Times New Roman"/>
          <w:rFonts w:ascii="Times New Roman" w:hAnsi="Times New Roman"/>
          <w:b/>
          <w:i w:val="0"/>
          <w:sz w:val="24"/>
        </w:rPr>
        <w:t>Tujuan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Sejalan dengan perumusan masalah yang diajukan, tujuan yang ingin dicapai dalam penelitian ini adalah:</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Untuk menguji dan menganalisis secara empiris asosiasi antara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 xml:space="preserve">Untuk menguji dan menganalisis secara empiris asosiasi antara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 xml:space="preserve">Untuk menguji dan menganalisis secara empiris asosiasi antara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Untuk menguji dan menganalisis secara empiris asosiasi antara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secara simultan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240" w:after="120" w:lineRule="auto" w:line="360"/>
        <w:jc w:val="both"/>
      </w:pPr>
      <w:r>
        <w:rPr>
          <w:rFonts w:ascii="Times New Roman" w:hAnsi="Times New Roman" w:cs="Times New Roman"/>
          <w:rFonts w:ascii="Times New Roman" w:hAnsi="Times New Roman"/>
          <w:b/>
          <w:i w:val="0"/>
          <w:sz w:val="24"/>
        </w:rPr>
        <w:t>Manfaat Penelitian</w:t>
      </w:r>
    </w:p>
    <w:p>
      <w:pPr>
        <w:spacing w:before="180" w:after="120" w:lineRule="auto" w:line="360"/>
        <w:jc w:val="both"/>
      </w:pPr>
      <w:r>
        <w:rPr>
          <w:rFonts w:ascii="Times New Roman" w:hAnsi="Times New Roman" w:cs="Times New Roman"/>
          <w:rFonts w:ascii="Times New Roman" w:hAnsi="Times New Roman"/>
          <w:b/>
          <w:i w:val="0"/>
          <w:sz w:val="24"/>
        </w:rPr>
        <w:t>1. Manfaat Teoretis (Aspek Akademis)</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 xml:space="preserve">Memberikan sumbangsih empiris bagi pengembangan literatur manajemen keuangan dan perbankan, khususnya mengenai integrasi konsep </w:t>
      </w:r>
      <w:r>
        <w:rPr>
          <w:rFonts w:ascii="Times New Roman" w:hAnsi="Times New Roman" w:cs="Times New Roman"/>
          <w:rFonts w:ascii="Times New Roman" w:hAnsi="Times New Roman"/>
          <w:b w:val="0"/>
          <w:i/>
          <w:sz w:val="24"/>
        </w:rPr>
        <w:t>sustainable banking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dengan teori keuangan tradisional (</w:t>
      </w:r>
      <w:r>
        <w:rPr>
          <w:rFonts w:ascii="Times New Roman" w:hAnsi="Times New Roman" w:cs="Times New Roman"/>
          <w:rFonts w:ascii="Times New Roman" w:hAnsi="Times New Roman"/>
          <w:b w:val="0"/>
          <w:i/>
          <w:sz w:val="24"/>
        </w:rPr>
        <w:t>Financial Intermediation Theory</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Memperkaya kajian akademis mengenai determinan profitabilitas perbankan di negara berkembang (</w:t>
      </w:r>
      <w:r>
        <w:rPr>
          <w:rFonts w:ascii="Times New Roman" w:hAnsi="Times New Roman" w:cs="Times New Roman"/>
          <w:rFonts w:ascii="Times New Roman" w:hAnsi="Times New Roman"/>
          <w:b w:val="0"/>
          <w:i/>
          <w:sz w:val="24"/>
        </w:rPr>
        <w:t>emerging market</w:t>
      </w:r>
      <w:r>
        <w:rPr>
          <w:rFonts w:ascii="Times New Roman" w:hAnsi="Times New Roman" w:cs="Times New Roman"/>
          <w:rFonts w:ascii="Times New Roman" w:hAnsi="Times New Roman"/>
          <w:b w:val="0"/>
          <w:i w:val="0"/>
          <w:sz w:val="24"/>
        </w:rPr>
        <w:t>) dalam merespons regulasi keuangan berkelanjutan.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Menjadi bahan rujukan, referensi kepustakaan, dan landasan komparatif bagi peneliti selanjutnya yang ingin memperdalam topik keuangan hijau, risiko kredit, dan struktur modal perbankan.</w:t>
      </w:r>
    </w:p>
    <w:p>
      <w:pPr>
        <w:spacing w:before="180" w:after="120" w:lineRule="auto" w:line="360"/>
        <w:jc w:val="both"/>
      </w:pPr>
      <w:r>
        <w:rPr>
          <w:rFonts w:ascii="Times New Roman" w:hAnsi="Times New Roman" w:cs="Times New Roman"/>
          <w:rFonts w:ascii="Times New Roman" w:hAnsi="Times New Roman"/>
          <w:b/>
          <w:i w:val="0"/>
          <w:sz w:val="24"/>
        </w:rPr>
        <w:t>2. Manfaat Praktis (Aspek Terapan)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Bagi Manajemen Bank KBMI 4:</w:t>
      </w:r>
      <w:r>
        <w:rPr>
          <w:rFonts w:ascii="Times New Roman" w:hAnsi="Times New Roman" w:cs="Times New Roman"/>
          <w:rFonts w:ascii="Times New Roman" w:hAnsi="Times New Roman"/>
          <w:b w:val="0"/>
          <w:i w:val="0"/>
          <w:sz w:val="24"/>
        </w:rPr>
        <w:t xml:space="preserve"> Memberikan masukan strategis berbasis data kuantitatif dalam merumuskan kebijakan alokasi pembiayaan hijau yang optimal, menyelaraskan target pertumbuhan kredit ESG dengan manajemen risiko kredit, serta mempertahankan profitabilitas dan ketahanan modal yang berkelanjutan.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Bagi Regulator (Otoritas Jasa Keuangan &amp; Bank Indonesia):</w:t>
      </w:r>
      <w:r>
        <w:rPr>
          <w:rFonts w:ascii="Times New Roman" w:hAnsi="Times New Roman" w:cs="Times New Roman"/>
          <w:rFonts w:ascii="Times New Roman" w:hAnsi="Times New Roman"/>
          <w:b w:val="0"/>
          <w:i w:val="0"/>
          <w:sz w:val="24"/>
        </w:rPr>
        <w:t xml:space="preserve"> Menjadi bahan pertimbangan dan evaluasi kebijakan dalam merumuskan skema insentif makroprudensial hijau (seperti pelonggaran rasio likuiditas atau pembobotan ATMR hijau) serta penyempurnaan panduan teknis Taksonomi Hijau Indonesia.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Bagi Investor dan Analis Pasar Modal:</w:t>
      </w:r>
      <w:r>
        <w:rPr>
          <w:rFonts w:ascii="Times New Roman" w:hAnsi="Times New Roman" w:cs="Times New Roman"/>
          <w:rFonts w:ascii="Times New Roman" w:hAnsi="Times New Roman"/>
          <w:b w:val="0"/>
          <w:i w:val="0"/>
          <w:sz w:val="24"/>
        </w:rPr>
        <w:t xml:space="preserve"> Menjadi dasar pertimbangan fundamental dalam menilai kinerja keuangan, profil risiko ESG, dan prospek profitabilitas saham-saham perbankan KBMI 4.</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Bagi Penulis:</w:t>
      </w:r>
      <w:r>
        <w:rPr>
          <w:rFonts w:ascii="Times New Roman" w:hAnsi="Times New Roman" w:cs="Times New Roman"/>
          <w:rFonts w:ascii="Times New Roman" w:hAnsi="Times New Roman"/>
          <w:b w:val="0"/>
          <w:i w:val="0"/>
          <w:sz w:val="24"/>
        </w:rPr>
        <w:t xml:space="preserve"> Menambah wawasan, pemahaman mendalam, dan pengalaman aplikatif dalam mengimplementasikan ilmu ekonometrika keuangan dan manajemen perbankan pada fenomena industri perbankan riil.</w:t>
      </w:r>
    </w:p>
    <w:p>
      <w:pPr>
        <w:spacing w:before="240" w:after="120" w:lineRule="auto" w:line="360"/>
        <w:jc w:val="both"/>
      </w:pPr>
      <w:r>
        <w:rPr>
          <w:rFonts w:ascii="Times New Roman" w:hAnsi="Times New Roman" w:cs="Times New Roman"/>
          <w:rFonts w:ascii="Times New Roman" w:hAnsi="Times New Roman"/>
          <w:b/>
          <w:i w:val="0"/>
          <w:sz w:val="24"/>
        </w:rPr>
        <w:t>Sistematika Penulisan Skripsi</w:t>
      </w:r>
    </w:p>
    <w:p>
      <w:pPr>
        <w:spacing w:before="0" w:after="0" w:lineRule="auto" w:line="360"/>
        <w:ind w:firstLine="709"/>
        <w:jc w:val="both"/>
      </w:pPr>
      <w:r>
        <w:rPr>
          <w:rFonts w:ascii="Times New Roman" w:hAnsi="Times New Roman" w:cs="Times New Roman"/>
          <w:rFonts w:ascii="Times New Roman" w:hAnsi="Times New Roman"/>
          <w:b w:val="0"/>
          <w:i w:val="0"/>
          <w:sz w:val="24"/>
        </w:rPr>
        <w:t>Penulisan skripsi ini disusun secara sistematis ke dalam lima bab utama sesuai dengan Buku Pedoman Penyusunan Skripsi FEB UKRIDA 2022, dengan uraian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BAB 1 PENDAHULUAN</w:t>
      </w:r>
      <w:r>
        <w:rPr>
          <w:rFonts w:ascii="Times New Roman" w:hAnsi="Times New Roman" w:cs="Times New Roman"/>
          <w:rFonts w:ascii="Times New Roman" w:hAnsi="Times New Roman"/>
          <w:b w:val="0"/>
          <w:i w:val="0"/>
          <w:sz w:val="24"/>
        </w:rPr>
        <w:t xml:space="preserve">  Bab ini menguraikan latar belakang masalah, identifikasi masalah, pembatasan masalah, perumusan masalah, tujuan penelitian, manfaat penelitian bagi pihak-pihak terkait, serta sistematika penulisan skripsi secara menyeluruh.</w:t>
      </w:r>
    </w:p>
    <w:p>
      <w:pPr>
        <w:spacing w:before="0" w:after="0" w:lineRule="auto" w:line="360"/>
        <w:ind w:firstLine="709"/>
        <w:jc w:val="both"/>
      </w:pPr>
      <w:r>
        <w:rPr>
          <w:rFonts w:ascii="Times New Roman" w:hAnsi="Times New Roman" w:cs="Times New Roman"/>
          <w:rFonts w:ascii="Times New Roman" w:hAnsi="Times New Roman"/>
          <w:b/>
          <w:i w:val="0"/>
          <w:sz w:val="24"/>
        </w:rPr>
        <w:t>BAB 2 TINJAUAN PUSTAKA DAN PENGEMBANGAN HIPOTESIS</w:t>
      </w:r>
      <w:r>
        <w:rPr>
          <w:rFonts w:ascii="Times New Roman" w:hAnsi="Times New Roman" w:cs="Times New Roman"/>
          <w:rFonts w:ascii="Times New Roman" w:hAnsi="Times New Roman"/>
          <w:b w:val="0"/>
          <w:i w:val="0"/>
          <w:sz w:val="24"/>
        </w:rPr>
        <w:t xml:space="preserve">  Bab ini memaparkan landasan teoretis yang mendasari penelitian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Teori Intermediasi Finansial, </w:t>
      </w:r>
      <w:r>
        <w:rPr>
          <w:rFonts w:ascii="Times New Roman" w:hAnsi="Times New Roman" w:cs="Times New Roman"/>
          <w:rFonts w:ascii="Times New Roman" w:hAnsi="Times New Roman"/>
          <w:b w:val="0"/>
          <w:i/>
          <w:sz w:val="24"/>
        </w:rPr>
        <w:t>Resource-Based View</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Agency Theory</w:t>
      </w:r>
      <w:r>
        <w:rPr>
          <w:rFonts w:ascii="Times New Roman" w:hAnsi="Times New Roman" w:cs="Times New Roman"/>
          <w:rFonts w:ascii="Times New Roman" w:hAnsi="Times New Roman"/>
          <w:b w:val="0"/>
          <w:i w:val="0"/>
          <w:sz w:val="24"/>
        </w:rPr>
        <w:t>), konseptualisasi masing-masing variabel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matriks sintesis penelitian terdahulu, kerangka pemikiran konseptual, serta perumusan hipotesis penelitian.</w:t>
      </w:r>
    </w:p>
    <w:p>
      <w:pPr>
        <w:spacing w:before="0" w:after="0" w:lineRule="auto" w:line="360"/>
        <w:ind w:firstLine="709"/>
        <w:jc w:val="both"/>
      </w:pPr>
      <w:r>
        <w:rPr>
          <w:rFonts w:ascii="Times New Roman" w:hAnsi="Times New Roman" w:cs="Times New Roman"/>
          <w:rFonts w:ascii="Times New Roman" w:hAnsi="Times New Roman"/>
          <w:b/>
          <w:i w:val="0"/>
          <w:sz w:val="24"/>
        </w:rPr>
        <w:t>BAB 3 METODE PENELITIAN</w:t>
      </w:r>
      <w:r>
        <w:rPr>
          <w:rFonts w:ascii="Times New Roman" w:hAnsi="Times New Roman" w:cs="Times New Roman"/>
          <w:rFonts w:ascii="Times New Roman" w:hAnsi="Times New Roman"/>
          <w:b w:val="0"/>
          <w:i w:val="0"/>
          <w:sz w:val="24"/>
        </w:rPr>
        <w:t xml:space="preserve">  Bab ini menjelaskan desain penelitian, paradigma keilmuan, populasi dan teknik penentuan sampel, jenis dan sumber data, teknik pengumpulan data, definisi operasional dan pengukuran variabel, spesifikasi model ekonometrika data panel, serta tahapan analisis data meliputi uji stasioneritas panel, uji pemilihan model regresi panel (Chow, Hausman, Lagrange Multiplier), uji asumsi klasik BLUE, dan pengujian hipotesis statistik (textAdjusted R^2, uji F, uji t).</w:t>
      </w:r>
    </w:p>
    <w:p>
      <w:pPr>
        <w:spacing w:before="0" w:after="0" w:lineRule="auto" w:line="360"/>
        <w:ind w:firstLine="709"/>
        <w:jc w:val="both"/>
      </w:pPr>
      <w:r>
        <w:rPr>
          <w:rFonts w:ascii="Times New Roman" w:hAnsi="Times New Roman" w:cs="Times New Roman"/>
          <w:rFonts w:ascii="Times New Roman" w:hAnsi="Times New Roman"/>
          <w:b/>
          <w:i w:val="0"/>
          <w:sz w:val="24"/>
        </w:rPr>
        <w:t>BAB 4 ANALISIS DAN PEMBAHASAN</w:t>
      </w:r>
      <w:r>
        <w:rPr>
          <w:rFonts w:ascii="Times New Roman" w:hAnsi="Times New Roman" w:cs="Times New Roman"/>
          <w:rFonts w:ascii="Times New Roman" w:hAnsi="Times New Roman"/>
          <w:b w:val="0"/>
          <w:i w:val="0"/>
          <w:sz w:val="24"/>
        </w:rPr>
        <w:t xml:space="preserve">  Bab ini menyajikan gambaran umum dan profil perkembangan </w:t>
      </w:r>
      <w:r>
        <w:rPr>
          <w:rFonts w:ascii="Times New Roman" w:hAnsi="Times New Roman" w:cs="Times New Roman"/>
          <w:rFonts w:ascii="Times New Roman" w:hAnsi="Times New Roman"/>
          <w:b w:val="0"/>
          <w:i/>
          <w:sz w:val="24"/>
        </w:rPr>
        <w:t>green banking</w:t>
      </w:r>
      <w:r>
        <w:rPr>
          <w:rFonts w:ascii="Times New Roman" w:hAnsi="Times New Roman" w:cs="Times New Roman"/>
          <w:rFonts w:ascii="Times New Roman" w:hAnsi="Times New Roman"/>
          <w:b w:val="0"/>
          <w:i w:val="0"/>
          <w:sz w:val="24"/>
        </w:rPr>
        <w:t xml:space="preserve"> objek penelitian (BBRI, BMRI, BBCA, BBNI), analisis tren pergerakan variabel triwulanan 2021–2025, hasil analisis statistik deskriptif, hasil uji ekonometrika dan asumsi klasik, hasil estimasi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beserta efek spesifik individual bank, pembuktian hipotesis 1 sampai dengan 4, pembahasan mendalam melalui triangulasi teori dan komparasi riset terdahulu, serta implikasi teoretis, manajerial, dan kebijakan.</w:t>
      </w:r>
    </w:p>
    <w:p>
      <w:pPr>
        <w:spacing w:before="0" w:after="0" w:lineRule="auto" w:line="360"/>
        <w:ind w:firstLine="709"/>
        <w:jc w:val="both"/>
      </w:pPr>
      <w:r>
        <w:rPr>
          <w:rFonts w:ascii="Times New Roman" w:hAnsi="Times New Roman" w:cs="Times New Roman"/>
          <w:rFonts w:ascii="Times New Roman" w:hAnsi="Times New Roman"/>
          <w:b/>
          <w:i w:val="0"/>
          <w:sz w:val="24"/>
        </w:rPr>
        <w:t>BAB 5 PENUTUP</w:t>
      </w:r>
      <w:r>
        <w:rPr>
          <w:rFonts w:ascii="Times New Roman" w:hAnsi="Times New Roman" w:cs="Times New Roman"/>
          <w:rFonts w:ascii="Times New Roman" w:hAnsi="Times New Roman"/>
          <w:b w:val="0"/>
          <w:i w:val="0"/>
          <w:sz w:val="24"/>
        </w:rPr>
        <w:t xml:space="preserve">  Bab ini memuat kesimpulan menyeluruh dari hasil penelitian yang menjawab perumusan masalah, uraian keterbatasan penelitian yang dihadapi, serta saran-saran strategis dan aplikatif yang ditujukan bagi manajemen perbankan, regulator (OJK dan BI), serta peneliti akademis di masa depan.</w:t>
      </w:r>
    </w:p>
    <w:p>
      <w:pPr>
        <w:spacing w:before="0" w:after="0" w:lineRule="auto" w:line="360"/>
        <w:ind w:firstLine="709"/>
        <w:jc w:val="both"/>
      </w:pPr>
      <w:r>
        <w:rPr>
          <w:rFonts w:ascii="Times New Roman" w:hAnsi="Times New Roman" w:cs="Times New Roman"/>
          <w:rFonts w:ascii="Times New Roman" w:hAnsi="Times New Roman"/>
          <w:b/>
          <w:i w:val="0"/>
          <w:sz w:val="24"/>
        </w:rPr>
        <w:t>DAFTAR PUSTAKA DAN LAMPIRAN</w:t>
      </w:r>
      <w:r>
        <w:rPr>
          <w:rFonts w:ascii="Times New Roman" w:hAnsi="Times New Roman" w:cs="Times New Roman"/>
          <w:rFonts w:ascii="Times New Roman" w:hAnsi="Times New Roman"/>
          <w:b w:val="0"/>
          <w:i w:val="0"/>
          <w:sz w:val="24"/>
        </w:rPr>
        <w:t xml:space="preserve">  Bagian akhir ini memuat daftar pustaka seluruh referensi ilmiah yang disitir dalam naskah dengan format APA 7th Edition serta lampiran-lampiran pendukung mencakup tabulasi 80 data observasi panel, hasil keluaran (</w:t>
      </w:r>
      <w:r>
        <w:rPr>
          <w:rFonts w:ascii="Times New Roman" w:hAnsi="Times New Roman" w:cs="Times New Roman"/>
          <w:rFonts w:ascii="Times New Roman" w:hAnsi="Times New Roman"/>
          <w:b w:val="0"/>
          <w:i/>
          <w:sz w:val="24"/>
        </w:rPr>
        <w:t>output</w:t>
      </w:r>
      <w:r>
        <w:rPr>
          <w:rFonts w:ascii="Times New Roman" w:hAnsi="Times New Roman" w:cs="Times New Roman"/>
          <w:rFonts w:ascii="Times New Roman" w:hAnsi="Times New Roman"/>
          <w:b w:val="0"/>
          <w:i w:val="0"/>
          <w:sz w:val="24"/>
        </w:rPr>
        <w:t>) ekonometrika EViews 12, dan riwayat hidup penulis.</w:t>
      </w:r>
    </w:p>
    <w:p>
      <w:r>
        <w:br w:type="page"/>
      </w:r>
    </w:p>
    <w:p>
      <w:pPr>
        <w:spacing w:before="0" w:after="240" w:lineRule="auto" w:line="360"/>
        <w:jc w:val="center"/>
      </w:pPr>
      <w:r>
        <w:rPr>
          <w:rFonts w:ascii="Times New Roman" w:hAnsi="Times New Roman" w:cs="Times New Roman"/>
          <w:rFonts w:ascii="Times New Roman" w:hAnsi="Times New Roman"/>
          <w:b/>
          <w:i w:val="0"/>
          <w:sz w:val="24"/>
        </w:rPr>
        <w:t>BAB 2</w:t>
        <w:br/>
        <w:t>TINJAUAN PUSTAKA DAN PENGEMBANGAN HIPOTESIS</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Landasan Teori</w:t>
      </w:r>
    </w:p>
    <w:p>
      <w:pPr>
        <w:spacing w:before="180" w:after="120" w:lineRule="auto" w:line="360"/>
        <w:jc w:val="both"/>
      </w:pPr>
      <w:r>
        <w:rPr>
          <w:rFonts w:ascii="Times New Roman" w:hAnsi="Times New Roman" w:cs="Times New Roman"/>
          <w:rFonts w:ascii="Times New Roman" w:hAnsi="Times New Roman"/>
          <w:b/>
          <w:i w:val="0"/>
          <w:sz w:val="24"/>
        </w:rPr>
        <w:t>*Stakeholder Theory</w:t>
      </w:r>
    </w:p>
    <w:p>
      <w:pPr>
        <w:spacing w:before="0" w:after="0" w:lineRule="auto" w:line="360"/>
        <w:ind w:firstLine="709"/>
        <w:jc w:val="both"/>
      </w:pPr>
      <w:r>
        <w:rPr>
          <w:rFonts w:ascii="Times New Roman" w:hAnsi="Times New Roman" w:cs="Times New Roman"/>
          <w:rFonts w:ascii="Times New Roman" w:hAnsi="Times New Roman"/>
          <w:b w:val="0"/>
          <w:i w:val="0"/>
          <w:sz w:val="24"/>
        </w:rPr>
        <w:t>(Teori Pemangku Kepentingan)*</w:t>
      </w:r>
    </w:p>
    <w:p>
      <w:pPr>
        <w:spacing w:before="0" w:after="0" w:lineRule="auto" w:line="360"/>
        <w:ind w:firstLine="709"/>
        <w:jc w:val="both"/>
      </w:pP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pertama kali dipelopori dan dikembangkan secara komprehensif oleh Freeman (2010) serta diperluas oleh DonaldsonPreston1995. Teori ini menyatakan bahwa sebuah korporasi bukanlah entitas yang hanya beroperasi untuk kepentingan pemegang saham (</w:t>
      </w:r>
      <w:r>
        <w:rPr>
          <w:rFonts w:ascii="Times New Roman" w:hAnsi="Times New Roman" w:cs="Times New Roman"/>
          <w:rFonts w:ascii="Times New Roman" w:hAnsi="Times New Roman"/>
          <w:b w:val="0"/>
          <w:i/>
          <w:sz w:val="24"/>
        </w:rPr>
        <w:t>shareholders</w:t>
      </w:r>
      <w:r>
        <w:rPr>
          <w:rFonts w:ascii="Times New Roman" w:hAnsi="Times New Roman" w:cs="Times New Roman"/>
          <w:rFonts w:ascii="Times New Roman" w:hAnsi="Times New Roman"/>
          <w:b w:val="0"/>
          <w:i w:val="0"/>
          <w:sz w:val="24"/>
        </w:rPr>
        <w:t>) semata, melainkan memiliki tanggung jawab yang luas kepada seluruh pemangku kepentingan (</w:t>
      </w:r>
      <w:r>
        <w:rPr>
          <w:rFonts w:ascii="Times New Roman" w:hAnsi="Times New Roman" w:cs="Times New Roman"/>
          <w:rFonts w:ascii="Times New Roman" w:hAnsi="Times New Roman"/>
          <w:b w:val="0"/>
          <w:i/>
          <w:sz w:val="24"/>
        </w:rPr>
        <w:t>stakeholders</w:t>
      </w:r>
      <w:r>
        <w:rPr>
          <w:rFonts w:ascii="Times New Roman" w:hAnsi="Times New Roman" w:cs="Times New Roman"/>
          <w:rFonts w:ascii="Times New Roman" w:hAnsi="Times New Roman"/>
          <w:b w:val="0"/>
          <w:i w:val="0"/>
          <w:sz w:val="24"/>
        </w:rPr>
        <w:t>). Pemangku kepentingan didefinisikan sebagai setiap kelompok atau individu yang dapat mempengaruhi atau dipengaruhi oleh pencapaian tujuan organisasi, yang mencakup pemegang saham, nasabah penyimpan dana, debitur peminjam, karyawan, regulator pemerintah, pemasok, masyarakat luas, dan lingkungan hidup (Freeman (2010)).</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Dalam konteks institusi perbankan modern,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memberikan landasan fundamental bagi penerapan prinsip keuangan berkelanjutan. Bank tidak hanya dituntut untuk menghasilkan laba bersih, tetapi juga harus memperhatikan dampak ekologis dan sosial dari setiap keputusan penyaluran pembiayaannya. Ketika bank secara aktif mengalokasikan kredit pada Kegiatan Usaha Berwawasan Lingkungan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bank dinilai telah memenuhi ekspektasi para pemangku kepentingan yang peduli terhadap kelestarian bumi. Respon positif dari para pemangku kepentingan ini terwujud dalam bentuk peningkatan loyalitas nasabah, kepercayaan deposan untuk menempatkan dana berbiaya murah, peningkatan minat investor global berbasis ESG untuk membeli saham dan obligasi hijau bank, serta menurunnya risiko litigasi hukum dari regulator. Sinergi positif dari kepuasan pemangku kepentingan ini pada akhirnya bermuara pada peningkatan kinerja keuangan dan profitabilitas perbankan yang berdaya tahan jangka panjang (Buallay (2019), Pramono et al. (2022)).</w:t>
      </w:r>
    </w:p>
    <w:p>
      <w:pPr>
        <w:spacing w:before="180" w:after="120" w:lineRule="auto" w:line="360"/>
        <w:jc w:val="both"/>
      </w:pPr>
      <w:r>
        <w:rPr>
          <w:rFonts w:ascii="Times New Roman" w:hAnsi="Times New Roman" w:cs="Times New Roman"/>
          <w:rFonts w:ascii="Times New Roman" w:hAnsi="Times New Roman"/>
          <w:b/>
          <w:i w:val="0"/>
          <w:sz w:val="24"/>
        </w:rPr>
        <w:t>*Legitimacy Theory</w:t>
      </w:r>
    </w:p>
    <w:p>
      <w:pPr>
        <w:spacing w:before="0" w:after="0" w:lineRule="auto" w:line="360"/>
        <w:ind w:firstLine="709"/>
        <w:jc w:val="both"/>
      </w:pPr>
      <w:r>
        <w:rPr>
          <w:rFonts w:ascii="Times New Roman" w:hAnsi="Times New Roman" w:cs="Times New Roman"/>
          <w:rFonts w:ascii="Times New Roman" w:hAnsi="Times New Roman"/>
          <w:b w:val="0"/>
          <w:i w:val="0"/>
          <w:sz w:val="24"/>
        </w:rPr>
        <w:t>(Teori Legitimasi)*</w:t>
      </w:r>
    </w:p>
    <w:p>
      <w:pPr>
        <w:spacing w:before="0" w:after="0" w:lineRule="auto" w:line="360"/>
        <w:ind w:firstLine="709"/>
        <w:jc w:val="both"/>
      </w:pP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berakar pada gagasan bahwa organisasi beroperasi dalam suatu lingkungan sosial melalui kontrak sosial (</w:t>
      </w:r>
      <w:r>
        <w:rPr>
          <w:rFonts w:ascii="Times New Roman" w:hAnsi="Times New Roman" w:cs="Times New Roman"/>
          <w:rFonts w:ascii="Times New Roman" w:hAnsi="Times New Roman"/>
          <w:b w:val="0"/>
          <w:i/>
          <w:sz w:val="24"/>
        </w:rPr>
        <w:t>social contract</w:t>
      </w:r>
      <w:r>
        <w:rPr>
          <w:rFonts w:ascii="Times New Roman" w:hAnsi="Times New Roman" w:cs="Times New Roman"/>
          <w:rFonts w:ascii="Times New Roman" w:hAnsi="Times New Roman"/>
          <w:b w:val="0"/>
          <w:i w:val="0"/>
          <w:sz w:val="24"/>
        </w:rPr>
        <w:t>) yang tidak tertulis antara perusahaan dengan masyarakat di mana ia beroperasi (Suchman (1995), Deegan (2002)). Menurut Suchman (1995), legitimasi adalah persepsi atau asumsi umum bahwa tindakan suatu entitas adalah diinginkan, pantas, atau sesuai dalam suatu sistem norma, nilai, keyakinan, dan definisi yang dibangun secara sosial. Perusahaan senantiasa berusaha menciptakan keselarasan antara nilai-nilai sosial yang melekat pada kegiatannya dengan norma-norma perilaku yang berlaku di masyarakat.</w:t>
      </w:r>
    </w:p>
    <w:p>
      <w:pPr>
        <w:spacing w:before="0" w:after="0" w:lineRule="auto" w:line="360"/>
        <w:ind w:firstLine="709"/>
        <w:jc w:val="both"/>
      </w:pPr>
      <w:r>
        <w:rPr>
          <w:rFonts w:ascii="Times New Roman" w:hAnsi="Times New Roman" w:cs="Times New Roman"/>
          <w:rFonts w:ascii="Times New Roman" w:hAnsi="Times New Roman"/>
          <w:b w:val="0"/>
          <w:i w:val="0"/>
          <w:sz w:val="24"/>
        </w:rPr>
        <w:t>Bagi industri perbankan di Indonesia, legitimasi operasional sangat dipengaruhi oleh kepatuhan bank terhadap regulasi keberlanjutan yang ditetapkan oleh otoritas, khususnya POJK Nomor 51/POJK.03/2017 dan Taksonomi Hijau Indonesia (OJK (2017), OJK (2022)). Bank yang secara konsisten menerbitkan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yang transparan dan meningkatkan porsi pembiayaan hijau menunjukkan kepada publik bahwa operasional bisnisnya selaras dengan kepentingan pelestarian lingkungan hidup. Legitimasi sosial yang kokoh ini berfungsi sebagai modal reputasi (</w:t>
      </w:r>
      <w:r>
        <w:rPr>
          <w:rFonts w:ascii="Times New Roman" w:hAnsi="Times New Roman" w:cs="Times New Roman"/>
          <w:rFonts w:ascii="Times New Roman" w:hAnsi="Times New Roman"/>
          <w:b w:val="0"/>
          <w:i/>
          <w:sz w:val="24"/>
        </w:rPr>
        <w:t>reputational capital</w:t>
      </w:r>
      <w:r>
        <w:rPr>
          <w:rFonts w:ascii="Times New Roman" w:hAnsi="Times New Roman" w:cs="Times New Roman"/>
          <w:rFonts w:ascii="Times New Roman" w:hAnsi="Times New Roman"/>
          <w:b w:val="0"/>
          <w:i w:val="0"/>
          <w:sz w:val="24"/>
        </w:rPr>
        <w:t>) yang melindungi bank dari risiko reputasi, memudahkan bank dalam memperoleh izin usaha strategis dari pemerintah, serta membuka akses pendanaan global melalui instrumen obligasi hijau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 dengan kupon bunga yang kompetitif, yang mengefisiensikan beban bunga dan mendukung profitabilitas perbankan (Zhou et al. (2021), Fitriani &amp; Wardani (2024)).</w:t>
      </w:r>
    </w:p>
    <w:p>
      <w:pPr>
        <w:spacing w:before="180" w:after="120" w:lineRule="auto" w:line="360"/>
        <w:jc w:val="both"/>
      </w:pPr>
      <w:r>
        <w:rPr>
          <w:rFonts w:ascii="Times New Roman" w:hAnsi="Times New Roman" w:cs="Times New Roman"/>
          <w:rFonts w:ascii="Times New Roman" w:hAnsi="Times New Roman"/>
          <w:b/>
          <w:i w:val="0"/>
          <w:sz w:val="24"/>
        </w:rPr>
        <w:t>Teori Intermediasi Finansial (*Financial Intermediation Theory</w:t>
      </w:r>
    </w:p>
    <w:p>
      <w:pPr>
        <w:spacing w:before="0" w:after="0" w:lineRule="auto" w:line="360"/>
        <w:ind w:firstLine="709"/>
        <w:jc w:val="both"/>
      </w:pPr>
      <w:r>
        <w:rPr>
          <w:rFonts w:ascii="Times New Roman" w:hAnsi="Times New Roman" w:cs="Times New Roman"/>
          <w:rFonts w:ascii="Times New Roman" w:hAnsi="Times New Roman"/>
          <w:b w:val="0"/>
          <w:i w:val="0"/>
          <w:sz w:val="24"/>
        </w:rPr>
        <w:t>Teori Intermediasi Finansial yang dikemukakan oleh Gurley &amp; Shaw (1960) dan dikembangkan lebih lanjut oleh Diamond1984 menjelaskan keberadaan bank sebagai lembaga perantara yang menjembatani unit surplus (penyimpan dana) dengan unit defisit (peminjam dana). Keunggulan komparatif bank dibandingkan pasar modal langsung terletak pada kemampuan bank dalam meminimalkan biaya transaksi (</w:t>
      </w:r>
      <w:r>
        <w:rPr>
          <w:rFonts w:ascii="Times New Roman" w:hAnsi="Times New Roman" w:cs="Times New Roman"/>
          <w:rFonts w:ascii="Times New Roman" w:hAnsi="Times New Roman"/>
          <w:b w:val="0"/>
          <w:i/>
          <w:sz w:val="24"/>
        </w:rPr>
        <w:t>transaction costs</w:t>
      </w:r>
      <w:r>
        <w:rPr>
          <w:rFonts w:ascii="Times New Roman" w:hAnsi="Times New Roman" w:cs="Times New Roman"/>
          <w:rFonts w:ascii="Times New Roman" w:hAnsi="Times New Roman"/>
          <w:b w:val="0"/>
          <w:i w:val="0"/>
          <w:sz w:val="24"/>
        </w:rPr>
        <w:t>), mentransformasikan likuiditas dan jatuh tempo (</w:t>
      </w:r>
      <w:r>
        <w:rPr>
          <w:rFonts w:ascii="Times New Roman" w:hAnsi="Times New Roman" w:cs="Times New Roman"/>
          <w:rFonts w:ascii="Times New Roman" w:hAnsi="Times New Roman"/>
          <w:b w:val="0"/>
          <w:i/>
          <w:sz w:val="24"/>
        </w:rPr>
        <w:t>liquidity and maturity transformation</w:t>
      </w:r>
      <w:r>
        <w:rPr>
          <w:rFonts w:ascii="Times New Roman" w:hAnsi="Times New Roman" w:cs="Times New Roman"/>
          <w:rFonts w:ascii="Times New Roman" w:hAnsi="Times New Roman"/>
          <w:b w:val="0"/>
          <w:i w:val="0"/>
          <w:sz w:val="24"/>
        </w:rPr>
        <w:t>), serta mengatasi masalah asimetri informasi (</w:t>
      </w:r>
      <w:r>
        <w:rPr>
          <w:rFonts w:ascii="Times New Roman" w:hAnsi="Times New Roman" w:cs="Times New Roman"/>
          <w:rFonts w:ascii="Times New Roman" w:hAnsi="Times New Roman"/>
          <w:b w:val="0"/>
          <w:i/>
          <w:sz w:val="24"/>
        </w:rPr>
        <w:t>asymmetric information</w:t>
      </w:r>
      <w:r>
        <w:rPr>
          <w:rFonts w:ascii="Times New Roman" w:hAnsi="Times New Roman" w:cs="Times New Roman"/>
          <w:rFonts w:ascii="Times New Roman" w:hAnsi="Times New Roman"/>
          <w:b w:val="0"/>
          <w:i w:val="0"/>
          <w:sz w:val="24"/>
        </w:rPr>
        <w:t xml:space="preserve">) berupa </w:t>
      </w:r>
      <w:r>
        <w:rPr>
          <w:rFonts w:ascii="Times New Roman" w:hAnsi="Times New Roman" w:cs="Times New Roman"/>
          <w:rFonts w:ascii="Times New Roman" w:hAnsi="Times New Roman"/>
          <w:b w:val="0"/>
          <w:i/>
          <w:sz w:val="24"/>
        </w:rPr>
        <w:t>adverse selection</w:t>
      </w:r>
      <w:r>
        <w:rPr>
          <w:rFonts w:ascii="Times New Roman" w:hAnsi="Times New Roman" w:cs="Times New Roman"/>
          <w:rFonts w:ascii="Times New Roman" w:hAnsi="Times New Roman"/>
          <w:b w:val="0"/>
          <w:i w:val="0"/>
          <w:sz w:val="24"/>
        </w:rPr>
        <w:t xml:space="preserve"> sebelum kredit diberikan dan </w:t>
      </w:r>
      <w:r>
        <w:rPr>
          <w:rFonts w:ascii="Times New Roman" w:hAnsi="Times New Roman" w:cs="Times New Roman"/>
          <w:rFonts w:ascii="Times New Roman" w:hAnsi="Times New Roman"/>
          <w:b w:val="0"/>
          <w:i/>
          <w:sz w:val="24"/>
        </w:rPr>
        <w:t>moral hazard</w:t>
      </w:r>
      <w:r>
        <w:rPr>
          <w:rFonts w:ascii="Times New Roman" w:hAnsi="Times New Roman" w:cs="Times New Roman"/>
          <w:rFonts w:ascii="Times New Roman" w:hAnsi="Times New Roman"/>
          <w:b w:val="0"/>
          <w:i w:val="0"/>
          <w:sz w:val="24"/>
        </w:rPr>
        <w:t xml:space="preserve"> setelah kredit dicairkan melalui fungsi pemantauan terdelegasi (</w:t>
      </w:r>
      <w:r>
        <w:rPr>
          <w:rFonts w:ascii="Times New Roman" w:hAnsi="Times New Roman" w:cs="Times New Roman"/>
          <w:rFonts w:ascii="Times New Roman" w:hAnsi="Times New Roman"/>
          <w:b w:val="0"/>
          <w:i/>
          <w:sz w:val="24"/>
        </w:rPr>
        <w:t>delegated monitoring</w:t>
      </w:r>
      <w:r>
        <w:rPr>
          <w:rFonts w:ascii="Times New Roman" w:hAnsi="Times New Roman" w:cs="Times New Roman"/>
          <w:rFonts w:ascii="Times New Roman" w:hAnsi="Times New Roman"/>
          <w:b w:val="0"/>
          <w:i w:val="0"/>
          <w:sz w:val="24"/>
        </w:rPr>
        <w:t>) (Diamond1984, Kuncoro &amp; Suhardjono (2018)).</w:t>
      </w:r>
    </w:p>
    <w:p>
      <w:pPr>
        <w:spacing w:before="0" w:after="0" w:lineRule="auto" w:line="360"/>
        <w:ind w:firstLine="709"/>
        <w:jc w:val="both"/>
      </w:pPr>
      <w:r>
        <w:rPr>
          <w:rFonts w:ascii="Times New Roman" w:hAnsi="Times New Roman" w:cs="Times New Roman"/>
          <w:rFonts w:ascii="Times New Roman" w:hAnsi="Times New Roman"/>
          <w:b w:val="0"/>
          <w:i w:val="0"/>
          <w:sz w:val="24"/>
        </w:rPr>
        <w:t>Dalam menjalankan fungsi intermediasi, efisiensi dan profitabilitas bank sangat ditentukan oleh kualitas alokasi aset produktif dan manajemen risiko kreditnya. Apabila bank mampu menyalurkan kredit kepada debitur-debitur berkualitas tinggi yang ramah lingkungan dengan proses skrining risiko yang ketat, maka rasio kredit bermasalah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 NPL) dapat ditekan pada level yang sangat rendah. Penurunan NPL akan meminimalkan hilangnya pendapatan bunga sekaligus menekan pembentukan beban pencadangan kerugian kredit (CKPN), sehingga hasil akhir dari proses intermediasi keuangan tersebut menghasilkan margin laba operasional yang maksimal dan rasio ROA yang tinggi (Fachrudin (2021), Dendawijaya (2015)).</w:t>
      </w:r>
    </w:p>
    <w:p>
      <w:pPr>
        <w:spacing w:before="180" w:after="120" w:lineRule="auto" w:line="360"/>
        <w:jc w:val="both"/>
      </w:pPr>
      <w:r>
        <w:rPr>
          <w:rFonts w:ascii="Times New Roman" w:hAnsi="Times New Roman" w:cs="Times New Roman"/>
          <w:rFonts w:ascii="Times New Roman" w:hAnsi="Times New Roman"/>
          <w:b/>
          <w:i w:val="0"/>
          <w:sz w:val="24"/>
        </w:rPr>
        <w:t>*Resource-Based View</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(RBV) dan </w:t>
      </w:r>
      <w:r>
        <w:rPr>
          <w:rFonts w:ascii="Times New Roman" w:hAnsi="Times New Roman" w:cs="Times New Roman"/>
          <w:rFonts w:ascii="Times New Roman" w:hAnsi="Times New Roman"/>
          <w:b w:val="0"/>
          <w:i/>
          <w:sz w:val="24"/>
        </w:rPr>
        <w:t>Natural Resource-Based View</w:t>
      </w:r>
      <w:r>
        <w:rPr>
          <w:rFonts w:ascii="Times New Roman" w:hAnsi="Times New Roman" w:cs="Times New Roman"/>
          <w:rFonts w:ascii="Times New Roman" w:hAnsi="Times New Roman"/>
          <w:b w:val="0"/>
          <w:i w:val="0"/>
          <w:sz w:val="24"/>
        </w:rPr>
        <w:t xml:space="preserve"> (NRBV)*</w:t>
      </w:r>
    </w:p>
    <w:p>
      <w:pPr>
        <w:spacing w:before="0" w:after="0" w:lineRule="auto" w:line="360"/>
        <w:ind w:firstLine="709"/>
        <w:jc w:val="both"/>
      </w:pPr>
      <w:r>
        <w:rPr>
          <w:rFonts w:ascii="Times New Roman" w:hAnsi="Times New Roman" w:cs="Times New Roman"/>
          <w:rFonts w:ascii="Times New Roman" w:hAnsi="Times New Roman"/>
          <w:b w:val="0"/>
          <w:i/>
          <w:sz w:val="24"/>
        </w:rPr>
        <w:t>Resource-Based View</w:t>
      </w:r>
      <w:r>
        <w:rPr>
          <w:rFonts w:ascii="Times New Roman" w:hAnsi="Times New Roman" w:cs="Times New Roman"/>
          <w:rFonts w:ascii="Times New Roman" w:hAnsi="Times New Roman"/>
          <w:b w:val="0"/>
          <w:i w:val="0"/>
          <w:sz w:val="24"/>
        </w:rPr>
        <w:t xml:space="preserve"> (RBV) yang dikembangkan oleh Wernerfelt1984 dan disempurnakan oleh Barney (1991) memandang perusahaan sebagai kumpulan sumber daya dan kapabilitas yang unik. Menurut kriteria VRIN dari Barney (1991), suatu perusahaan dapat mencapai keunggulan kompetitif berkelanjutan (</w:t>
      </w:r>
      <w:r>
        <w:rPr>
          <w:rFonts w:ascii="Times New Roman" w:hAnsi="Times New Roman" w:cs="Times New Roman"/>
          <w:rFonts w:ascii="Times New Roman" w:hAnsi="Times New Roman"/>
          <w:b w:val="0"/>
          <w:i/>
          <w:sz w:val="24"/>
        </w:rPr>
        <w:t>sustained competitive advantage</w:t>
      </w:r>
      <w:r>
        <w:rPr>
          <w:rFonts w:ascii="Times New Roman" w:hAnsi="Times New Roman" w:cs="Times New Roman"/>
          <w:rFonts w:ascii="Times New Roman" w:hAnsi="Times New Roman"/>
          <w:b w:val="0"/>
          <w:i w:val="0"/>
          <w:sz w:val="24"/>
        </w:rPr>
        <w:t>) apabila memiliki sumber daya yang bernilai (</w:t>
      </w:r>
      <w:r>
        <w:rPr>
          <w:rFonts w:ascii="Times New Roman" w:hAnsi="Times New Roman" w:cs="Times New Roman"/>
          <w:rFonts w:ascii="Times New Roman" w:hAnsi="Times New Roman"/>
          <w:b w:val="0"/>
          <w:i/>
          <w:sz w:val="24"/>
        </w:rPr>
        <w:t>valuable</w:t>
      </w:r>
      <w:r>
        <w:rPr>
          <w:rFonts w:ascii="Times New Roman" w:hAnsi="Times New Roman" w:cs="Times New Roman"/>
          <w:rFonts w:ascii="Times New Roman" w:hAnsi="Times New Roman"/>
          <w:b w:val="0"/>
          <w:i w:val="0"/>
          <w:sz w:val="24"/>
        </w:rPr>
        <w:t>), langka (</w:t>
      </w:r>
      <w:r>
        <w:rPr>
          <w:rFonts w:ascii="Times New Roman" w:hAnsi="Times New Roman" w:cs="Times New Roman"/>
          <w:rFonts w:ascii="Times New Roman" w:hAnsi="Times New Roman"/>
          <w:b w:val="0"/>
          <w:i/>
          <w:sz w:val="24"/>
        </w:rPr>
        <w:t>rare</w:t>
      </w:r>
      <w:r>
        <w:rPr>
          <w:rFonts w:ascii="Times New Roman" w:hAnsi="Times New Roman" w:cs="Times New Roman"/>
          <w:rFonts w:ascii="Times New Roman" w:hAnsi="Times New Roman"/>
          <w:b w:val="0"/>
          <w:i w:val="0"/>
          <w:sz w:val="24"/>
        </w:rPr>
        <w:t>), sulit ditiru (</w:t>
      </w:r>
      <w:r>
        <w:rPr>
          <w:rFonts w:ascii="Times New Roman" w:hAnsi="Times New Roman" w:cs="Times New Roman"/>
          <w:rFonts w:ascii="Times New Roman" w:hAnsi="Times New Roman"/>
          <w:b w:val="0"/>
          <w:i/>
          <w:sz w:val="24"/>
        </w:rPr>
        <w:t>inimitable</w:t>
      </w:r>
      <w:r>
        <w:rPr>
          <w:rFonts w:ascii="Times New Roman" w:hAnsi="Times New Roman" w:cs="Times New Roman"/>
          <w:rFonts w:ascii="Times New Roman" w:hAnsi="Times New Roman"/>
          <w:b w:val="0"/>
          <w:i w:val="0"/>
          <w:sz w:val="24"/>
        </w:rPr>
        <w:t>), dan tidak dapat digantikan (</w:t>
      </w:r>
      <w:r>
        <w:rPr>
          <w:rFonts w:ascii="Times New Roman" w:hAnsi="Times New Roman" w:cs="Times New Roman"/>
          <w:rFonts w:ascii="Times New Roman" w:hAnsi="Times New Roman"/>
          <w:b w:val="0"/>
          <w:i/>
          <w:sz w:val="24"/>
        </w:rPr>
        <w:t>non-substitutable</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Teori ini diperluas oleh Hart1995 melalui </w:t>
      </w:r>
      <w:r>
        <w:rPr>
          <w:rFonts w:ascii="Times New Roman" w:hAnsi="Times New Roman" w:cs="Times New Roman"/>
          <w:rFonts w:ascii="Times New Roman" w:hAnsi="Times New Roman"/>
          <w:b w:val="0"/>
          <w:i/>
          <w:sz w:val="24"/>
        </w:rPr>
        <w:t>Natural Resource-Based View</w:t>
      </w:r>
      <w:r>
        <w:rPr>
          <w:rFonts w:ascii="Times New Roman" w:hAnsi="Times New Roman" w:cs="Times New Roman"/>
          <w:rFonts w:ascii="Times New Roman" w:hAnsi="Times New Roman"/>
          <w:b w:val="0"/>
          <w:i w:val="0"/>
          <w:sz w:val="24"/>
        </w:rPr>
        <w:t xml:space="preserve"> (NRBV) yang mengintegrasikan tantangan lingkungan alamiah ke dalam kapabilitas strategis korporasi melalui tiga pilar kapabilitas: (1) pencegahan polusi (</w:t>
      </w:r>
      <w:r>
        <w:rPr>
          <w:rFonts w:ascii="Times New Roman" w:hAnsi="Times New Roman" w:cs="Times New Roman"/>
          <w:rFonts w:ascii="Times New Roman" w:hAnsi="Times New Roman"/>
          <w:b w:val="0"/>
          <w:i/>
          <w:sz w:val="24"/>
        </w:rPr>
        <w:t>pollution prevention</w:t>
      </w:r>
      <w:r>
        <w:rPr>
          <w:rFonts w:ascii="Times New Roman" w:hAnsi="Times New Roman" w:cs="Times New Roman"/>
          <w:rFonts w:ascii="Times New Roman" w:hAnsi="Times New Roman"/>
          <w:b w:val="0"/>
          <w:i w:val="0"/>
          <w:sz w:val="24"/>
        </w:rPr>
        <w:t>); (2) kepengurusan produk (</w:t>
      </w:r>
      <w:r>
        <w:rPr>
          <w:rFonts w:ascii="Times New Roman" w:hAnsi="Times New Roman" w:cs="Times New Roman"/>
          <w:rFonts w:ascii="Times New Roman" w:hAnsi="Times New Roman"/>
          <w:b w:val="0"/>
          <w:i/>
          <w:sz w:val="24"/>
        </w:rPr>
        <w:t>product stewardship</w:t>
      </w:r>
      <w:r>
        <w:rPr>
          <w:rFonts w:ascii="Times New Roman" w:hAnsi="Times New Roman" w:cs="Times New Roman"/>
          <w:rFonts w:ascii="Times New Roman" w:hAnsi="Times New Roman"/>
          <w:b w:val="0"/>
          <w:i w:val="0"/>
          <w:sz w:val="24"/>
        </w:rPr>
        <w:t>); dan (3) pembangunan berkelanjutan (</w:t>
      </w:r>
      <w:r>
        <w:rPr>
          <w:rFonts w:ascii="Times New Roman" w:hAnsi="Times New Roman" w:cs="Times New Roman"/>
          <w:rFonts w:ascii="Times New Roman" w:hAnsi="Times New Roman"/>
          <w:b w:val="0"/>
          <w:i/>
          <w:sz w:val="24"/>
        </w:rPr>
        <w:t>sustainable development</w:t>
      </w:r>
      <w:r>
        <w:rPr>
          <w:rFonts w:ascii="Times New Roman" w:hAnsi="Times New Roman" w:cs="Times New Roman"/>
          <w:rFonts w:ascii="Times New Roman" w:hAnsi="Times New Roman"/>
          <w:b w:val="0"/>
          <w:i w:val="0"/>
          <w:sz w:val="24"/>
        </w:rPr>
        <w:t xml:space="preserve">). Dalam konteks perbankan KBMI 4, keahlian dalam melakukan </w:t>
      </w:r>
      <w:r>
        <w:rPr>
          <w:rFonts w:ascii="Times New Roman" w:hAnsi="Times New Roman" w:cs="Times New Roman"/>
          <w:rFonts w:ascii="Times New Roman" w:hAnsi="Times New Roman"/>
          <w:b w:val="0"/>
          <w:i/>
          <w:sz w:val="24"/>
        </w:rPr>
        <w:t>environmental and social risk assessment</w:t>
      </w:r>
      <w:r>
        <w:rPr>
          <w:rFonts w:ascii="Times New Roman" w:hAnsi="Times New Roman" w:cs="Times New Roman"/>
          <w:rFonts w:ascii="Times New Roman" w:hAnsi="Times New Roman"/>
          <w:b w:val="0"/>
          <w:i w:val="0"/>
          <w:sz w:val="24"/>
        </w:rPr>
        <w:t xml:space="preserve"> (ESRA), integrasi sistem teknologi informasi perbankan hijau, tim penilai risiko proyek energi terbarukan bersertifikasi internasional, serta reputasi sebagai pelopor </w:t>
      </w:r>
      <w:r>
        <w:rPr>
          <w:rFonts w:ascii="Times New Roman" w:hAnsi="Times New Roman" w:cs="Times New Roman"/>
          <w:rFonts w:ascii="Times New Roman" w:hAnsi="Times New Roman"/>
          <w:b w:val="0"/>
          <w:i/>
          <w:sz w:val="24"/>
        </w:rPr>
        <w:t>green banking</w:t>
      </w:r>
      <w:r>
        <w:rPr>
          <w:rFonts w:ascii="Times New Roman" w:hAnsi="Times New Roman" w:cs="Times New Roman"/>
          <w:rFonts w:ascii="Times New Roman" w:hAnsi="Times New Roman"/>
          <w:b w:val="0"/>
          <w:i w:val="0"/>
          <w:sz w:val="24"/>
        </w:rPr>
        <w:t xml:space="preserve"> merupakan aset nirwujud (</w:t>
      </w:r>
      <w:r>
        <w:rPr>
          <w:rFonts w:ascii="Times New Roman" w:hAnsi="Times New Roman" w:cs="Times New Roman"/>
          <w:rFonts w:ascii="Times New Roman" w:hAnsi="Times New Roman"/>
          <w:b w:val="0"/>
          <w:i/>
          <w:sz w:val="24"/>
        </w:rPr>
        <w:t>intangible resources</w:t>
      </w:r>
      <w:r>
        <w:rPr>
          <w:rFonts w:ascii="Times New Roman" w:hAnsi="Times New Roman" w:cs="Times New Roman"/>
          <w:rFonts w:ascii="Times New Roman" w:hAnsi="Times New Roman"/>
          <w:b w:val="0"/>
          <w:i w:val="0"/>
          <w:sz w:val="24"/>
        </w:rPr>
        <w:t>) yang memenuhi kriteria VRIN. Kapabilitas internal yang unggul ini memungkinkan bank KBMI 4 memenangkan persaingan dalam membiayai proyek-proyek hijau berskala raksasa, menarik nasabah korporasi multinasional, serta menyalurkan pembiayaan dengan marjin risiko yang sangat terukur, yang bermuara pada profitabilitas yang unggul dibandingkan kompetitor (Zhang et al. (2022), Hart1995).</w:t>
      </w:r>
    </w:p>
    <w:p>
      <w:pPr>
        <w:spacing w:before="180" w:after="120" w:lineRule="auto" w:line="360"/>
        <w:jc w:val="both"/>
      </w:pPr>
      <w:r>
        <w:rPr>
          <w:rFonts w:ascii="Times New Roman" w:hAnsi="Times New Roman" w:cs="Times New Roman"/>
          <w:rFonts w:ascii="Times New Roman" w:hAnsi="Times New Roman"/>
          <w:b/>
          <w:i w:val="0"/>
          <w:sz w:val="24"/>
        </w:rPr>
        <w:t>*Risk-Return Tradeoff Theory</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Teori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 xml:space="preserve"> yang berakar pada teori portofolio modern Markowitz1952 dan prinsip manajemen keuangan Brigham &amp; Ehrhardt (2020) menyatakan bahwa dalam setiap keputusan investasi atau penyaluran pembiayaan terdapat hubungan linear positif antara tingkat risiko yang dihadapi dengan tingkat imbal hasil yang diharapkan (</w:t>
      </w:r>
      <w:r>
        <w:rPr>
          <w:rFonts w:ascii="Times New Roman" w:hAnsi="Times New Roman" w:cs="Times New Roman"/>
          <w:rFonts w:ascii="Times New Roman" w:hAnsi="Times New Roman"/>
          <w:b w:val="0"/>
          <w:i/>
          <w:sz w:val="24"/>
        </w:rPr>
        <w:t>high risk, high return; low risk, low return</w:t>
      </w:r>
      <w:r>
        <w:rPr>
          <w:rFonts w:ascii="Times New Roman" w:hAnsi="Times New Roman" w:cs="Times New Roman"/>
          <w:rFonts w:ascii="Times New Roman" w:hAnsi="Times New Roman"/>
          <w:b w:val="0"/>
          <w:i w:val="0"/>
          <w:sz w:val="24"/>
        </w:rPr>
        <w:t>). Manajemen perbankan bertugas mengoptimalkan portofolio aset produktif pada titik batas efisien (</w:t>
      </w:r>
      <w:r>
        <w:rPr>
          <w:rFonts w:ascii="Times New Roman" w:hAnsi="Times New Roman" w:cs="Times New Roman"/>
          <w:rFonts w:ascii="Times New Roman" w:hAnsi="Times New Roman"/>
          <w:b w:val="0"/>
          <w:i/>
          <w:sz w:val="24"/>
        </w:rPr>
        <w:t>efficient frontier</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Penyaluran pembiayaan hijau seringkali dipersepsikan memiliki profil imbal hasil awal yang moderat namun membawa risiko gagal bayar yang lebih rendah dalam jangka panjang karena industri ramah lingkungan memiliki ketahanan tinggi terhadap disrupsi regulasi karbon dan pajak emisi. Di sisi lain, kepemilikan modal yang kuat yang tercermin dari rasio CAR memungkinkan bank mengambil risiko yang terukur secara lebih leluasa tanpa khawatir terancam kebangkrutan. Keseimbangan antara risiko kredit yang terkendali (NPL rendah), permodalan yang tebal (CAR memadai), dan alokasi kredit hijau yang terdiversifikasi menjadi kunci pencapaian imbal hasil aset (ROA) yang optimal (Brigham &amp; Houston (2021), Chiaramonte et al. (2020)).</w:t>
      </w:r>
    </w:p>
    <w:p>
      <w:pPr>
        <w:spacing w:before="180" w:after="120" w:lineRule="auto" w:line="360"/>
        <w:jc w:val="both"/>
      </w:pPr>
      <w:r>
        <w:rPr>
          <w:rFonts w:ascii="Times New Roman" w:hAnsi="Times New Roman" w:cs="Times New Roman"/>
          <w:rFonts w:ascii="Times New Roman" w:hAnsi="Times New Roman"/>
          <w:b/>
          <w:i w:val="0"/>
          <w:sz w:val="24"/>
        </w:rPr>
        <w:t>*Agency Theory</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(Teori Keagenan) dan </w:t>
      </w:r>
      <w:r>
        <w:rPr>
          <w:rFonts w:ascii="Times New Roman" w:hAnsi="Times New Roman" w:cs="Times New Roman"/>
          <w:rFonts w:ascii="Times New Roman" w:hAnsi="Times New Roman"/>
          <w:b w:val="0"/>
          <w:i/>
          <w:sz w:val="24"/>
        </w:rPr>
        <w:t>Signaling Theory</w:t>
      </w:r>
      <w:r>
        <w:rPr>
          <w:rFonts w:ascii="Times New Roman" w:hAnsi="Times New Roman" w:cs="Times New Roman"/>
          <w:rFonts w:ascii="Times New Roman" w:hAnsi="Times New Roman"/>
          <w:b w:val="0"/>
          <w:i/>
          <w:sz w:val="24"/>
        </w:rPr>
      </w:r>
    </w:p>
    <w:p>
      <w:pPr>
        <w:spacing w:before="0" w:after="0" w:lineRule="auto" w:line="360"/>
        <w:ind w:firstLine="709"/>
        <w:jc w:val="both"/>
      </w:pPr>
      <w:r>
        <w:rPr>
          <w:rFonts w:ascii="Times New Roman" w:hAnsi="Times New Roman" w:cs="Times New Roman"/>
          <w:rFonts w:ascii="Times New Roman" w:hAnsi="Times New Roman"/>
          <w:b w:val="0"/>
          <w:i/>
          <w:sz w:val="24"/>
        </w:rPr>
        <w:t>Agency Theory</w:t>
      </w:r>
      <w:r>
        <w:rPr>
          <w:rFonts w:ascii="Times New Roman" w:hAnsi="Times New Roman" w:cs="Times New Roman"/>
          <w:rFonts w:ascii="Times New Roman" w:hAnsi="Times New Roman"/>
          <w:b w:val="0"/>
          <w:i w:val="0"/>
          <w:sz w:val="24"/>
        </w:rPr>
        <w:t xml:space="preserve"> yang dirumuskan oleh JensenMeckling1976 membahas hubungan kontraktual antara prinsipal (pemegang saham) yang mendelegasikan wewenang pengambilan keputusan bisnis kepada agen (manajemen/direksi bank). Masalah keagenan (</w:t>
      </w:r>
      <w:r>
        <w:rPr>
          <w:rFonts w:ascii="Times New Roman" w:hAnsi="Times New Roman" w:cs="Times New Roman"/>
          <w:rFonts w:ascii="Times New Roman" w:hAnsi="Times New Roman"/>
          <w:b w:val="0"/>
          <w:i/>
          <w:sz w:val="24"/>
        </w:rPr>
        <w:t>agency problem</w:t>
      </w:r>
      <w:r>
        <w:rPr>
          <w:rFonts w:ascii="Times New Roman" w:hAnsi="Times New Roman" w:cs="Times New Roman"/>
          <w:rFonts w:ascii="Times New Roman" w:hAnsi="Times New Roman"/>
          <w:b w:val="0"/>
          <w:i w:val="0"/>
          <w:sz w:val="24"/>
        </w:rPr>
        <w:t>) timbul akibat adanya perbedaan kepentingan (</w:t>
      </w:r>
      <w:r>
        <w:rPr>
          <w:rFonts w:ascii="Times New Roman" w:hAnsi="Times New Roman" w:cs="Times New Roman"/>
          <w:rFonts w:ascii="Times New Roman" w:hAnsi="Times New Roman"/>
          <w:b w:val="0"/>
          <w:i/>
          <w:sz w:val="24"/>
        </w:rPr>
        <w:t>conflict of interest</w:t>
      </w:r>
      <w:r>
        <w:rPr>
          <w:rFonts w:ascii="Times New Roman" w:hAnsi="Times New Roman" w:cs="Times New Roman"/>
          <w:rFonts w:ascii="Times New Roman" w:hAnsi="Times New Roman"/>
          <w:b w:val="0"/>
          <w:i w:val="0"/>
          <w:sz w:val="24"/>
        </w:rPr>
        <w:t>) dan asimetri informasi antara kedua pihak, di mana manajer mungkin tergoda untuk mengejar keuntungan jangka pendek demi bonus pribadi dengan mengabaikan risiko jangka panjang.</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Penerapan tata kelola keuangan berkelanjutan melalui alokasi pembiayaan hijau dan transparansi laporan keberlanjutan berfungsi sebagai mekanisme kontrol dan disiplin pasar yang membatasi perilaku </w:t>
      </w:r>
      <w:r>
        <w:rPr>
          <w:rFonts w:ascii="Times New Roman" w:hAnsi="Times New Roman" w:cs="Times New Roman"/>
          <w:rFonts w:ascii="Times New Roman" w:hAnsi="Times New Roman"/>
          <w:b w:val="0"/>
          <w:i/>
          <w:sz w:val="24"/>
        </w:rPr>
        <w:t>opportunistic</w:t>
      </w:r>
      <w:r>
        <w:rPr>
          <w:rFonts w:ascii="Times New Roman" w:hAnsi="Times New Roman" w:cs="Times New Roman"/>
          <w:rFonts w:ascii="Times New Roman" w:hAnsi="Times New Roman"/>
          <w:b w:val="0"/>
          <w:i w:val="0"/>
          <w:sz w:val="24"/>
        </w:rPr>
        <w:t xml:space="preserve"> manajemen. Hal ini diperkuat oleh </w:t>
      </w:r>
      <w:r>
        <w:rPr>
          <w:rFonts w:ascii="Times New Roman" w:hAnsi="Times New Roman" w:cs="Times New Roman"/>
          <w:rFonts w:ascii="Times New Roman" w:hAnsi="Times New Roman"/>
          <w:b w:val="0"/>
          <w:i/>
          <w:sz w:val="24"/>
        </w:rPr>
        <w:t>Signaling Theory</w:t>
      </w:r>
      <w:r>
        <w:rPr>
          <w:rFonts w:ascii="Times New Roman" w:hAnsi="Times New Roman" w:cs="Times New Roman"/>
          <w:rFonts w:ascii="Times New Roman" w:hAnsi="Times New Roman"/>
          <w:b w:val="0"/>
          <w:i w:val="0"/>
          <w:sz w:val="24"/>
        </w:rPr>
        <w:t xml:space="preserve"> (Spence (1973)), di mana tindakan sukarela bank dalam mempublikasikan rasio permodalan CAR yang tinggi dan sertifikasi portofolio hijau memberikan sinyal kredibel (</w:t>
      </w:r>
      <w:r>
        <w:rPr>
          <w:rFonts w:ascii="Times New Roman" w:hAnsi="Times New Roman" w:cs="Times New Roman"/>
          <w:rFonts w:ascii="Times New Roman" w:hAnsi="Times New Roman"/>
          <w:b w:val="0"/>
          <w:i/>
          <w:sz w:val="24"/>
        </w:rPr>
        <w:t>credible signal</w:t>
      </w:r>
      <w:r>
        <w:rPr>
          <w:rFonts w:ascii="Times New Roman" w:hAnsi="Times New Roman" w:cs="Times New Roman"/>
          <w:rFonts w:ascii="Times New Roman" w:hAnsi="Times New Roman"/>
          <w:b w:val="0"/>
          <w:i w:val="0"/>
          <w:sz w:val="24"/>
        </w:rPr>
        <w:t>) kepada pasar bahwa bank dikelola secara profesional dan memiliki risiko kebangkrutan yang sangat rendah, sehingga menurunkan biaya agensi dan meningkatkan nilai perusahaan secara berkesinambungan (JensenMeckling1976, Setiawan &amp; Indrawati (2024)).</w:t>
      </w:r>
    </w:p>
    <w:p>
      <w:pPr>
        <w:spacing w:before="240" w:after="120" w:lineRule="auto" w:line="360"/>
        <w:jc w:val="both"/>
      </w:pPr>
      <w:r>
        <w:rPr>
          <w:rFonts w:ascii="Times New Roman" w:hAnsi="Times New Roman" w:cs="Times New Roman"/>
          <w:rFonts w:ascii="Times New Roman" w:hAnsi="Times New Roman"/>
          <w:b/>
          <w:i w:val="0"/>
          <w:sz w:val="24"/>
        </w:rPr>
        <w:t>Konseptualisasi Variabel Penelitian</w:t>
      </w:r>
    </w:p>
    <w:p>
      <w:pPr>
        <w:spacing w:before="180" w:after="120" w:lineRule="auto" w:line="360"/>
        <w:jc w:val="both"/>
      </w:pPr>
      <w:r>
        <w:rPr>
          <w:rFonts w:ascii="Times New Roman" w:hAnsi="Times New Roman" w:cs="Times New Roman"/>
          <w:rFonts w:ascii="Times New Roman" w:hAnsi="Times New Roman"/>
          <w:b/>
          <w:i w:val="0"/>
          <w:sz w:val="24"/>
        </w:rPr>
        <w:t>Profitabilitas Perbankan dan *Return on Assets</w:t>
      </w:r>
    </w:p>
    <w:p>
      <w:pPr>
        <w:spacing w:before="0" w:after="0" w:lineRule="auto" w:line="360"/>
        <w:ind w:firstLine="709"/>
        <w:jc w:val="both"/>
      </w:pPr>
      <w:r>
        <w:rPr>
          <w:rFonts w:ascii="Times New Roman" w:hAnsi="Times New Roman" w:cs="Times New Roman"/>
          <w:rFonts w:ascii="Times New Roman" w:hAnsi="Times New Roman"/>
          <w:b w:val="0"/>
          <w:i w:val="0"/>
          <w:sz w:val="24"/>
        </w:rPr>
        <w:t>(ROA)*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Profitabilitas merupakan cerminan efektivitas dan efisiensi manajemen perbankan dalam mengelola seluruh sumber daya aktiva yang dimilikinya untuk menghasilkan laba bersih. Dalam analisis kinerja keuangan perbankan, indikator profitabilitas yang paling komprehensif dan diakui secara luas oleh regulator (Otoritas Jasa Keuangan dan Bank Indonesia) adalah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(ROA) (Dendawijaya (2015), Riyadi (2020)). ROA mengukur kemampuan manajemen bank dalam memperoleh laba sebelum pajak dari total aset yang dikelolanya.</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sistem analisis Du Pont (</w:t>
      </w:r>
      <w:r>
        <w:rPr>
          <w:rFonts w:ascii="Times New Roman" w:hAnsi="Times New Roman" w:cs="Times New Roman"/>
          <w:rFonts w:ascii="Times New Roman" w:hAnsi="Times New Roman"/>
          <w:b w:val="0"/>
          <w:i/>
          <w:sz w:val="24"/>
        </w:rPr>
        <w:t>Du Pont System</w:t>
      </w:r>
      <w:r>
        <w:rPr>
          <w:rFonts w:ascii="Times New Roman" w:hAnsi="Times New Roman" w:cs="Times New Roman"/>
          <w:rFonts w:ascii="Times New Roman" w:hAnsi="Times New Roman"/>
          <w:b w:val="0"/>
          <w:i w:val="0"/>
          <w:sz w:val="24"/>
        </w:rPr>
        <w:t>), ROA dapat didekomposisikan menjadi dua komponen utama:</w:t>
      </w:r>
    </w:p>
    <w:p>
      <w:pPr>
        <w:spacing w:before="120" w:after="120" w:lineRule="auto" w:line="360"/>
        <w:jc w:val="center"/>
      </w:pPr>
      <w:r>
        <w:rPr>
          <w:rFonts w:ascii="Times New Roman" w:hAnsi="Times New Roman" w:cs="Times New Roman"/>
          <w:rFonts w:ascii="Times New Roman" w:hAnsi="Times New Roman"/>
          <w:b/>
          <w:i w:val="0"/>
          <w:sz w:val="22"/>
        </w:rPr>
        <w:t>&amp;= ×   &amp;= ×</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Perlu dicatat bahwa dekomposisi Du Pont 5-faktor yang mencakup </w:t>
      </w:r>
      <w:r>
        <w:rPr>
          <w:rFonts w:ascii="Times New Roman" w:hAnsi="Times New Roman" w:cs="Times New Roman"/>
          <w:rFonts w:ascii="Times New Roman" w:hAnsi="Times New Roman"/>
          <w:b w:val="0"/>
          <w:i/>
          <w:sz w:val="24"/>
        </w:rPr>
        <w:t>Tax Burden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Interest Burden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Operating Margin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Asset Turnover</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Financial Leverage</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equity multiplier</w:t>
      </w:r>
      <w:r>
        <w:rPr>
          <w:rFonts w:ascii="Times New Roman" w:hAnsi="Times New Roman" w:cs="Times New Roman"/>
          <w:rFonts w:ascii="Times New Roman" w:hAnsi="Times New Roman"/>
          <w:b w:val="0"/>
          <w:i w:val="0"/>
          <w:sz w:val="24"/>
        </w:rPr>
        <w:t xml:space="preserve">) merupakan dekomposisi </w:t>
      </w:r>
      <w:r>
        <w:rPr>
          <w:rFonts w:ascii="Times New Roman" w:hAnsi="Times New Roman" w:cs="Times New Roman"/>
          <w:rFonts w:ascii="Times New Roman" w:hAnsi="Times New Roman"/>
          <w:b w:val="0"/>
          <w:i/>
          <w:sz w:val="24"/>
        </w:rPr>
        <w:t>Return on Equity</w:t>
      </w:r>
      <w:r>
        <w:rPr>
          <w:rFonts w:ascii="Times New Roman" w:hAnsi="Times New Roman" w:cs="Times New Roman"/>
          <w:rFonts w:ascii="Times New Roman" w:hAnsi="Times New Roman"/>
          <w:b w:val="0"/>
          <w:i w:val="0"/>
          <w:sz w:val="24"/>
        </w:rPr>
        <w:t xml:space="preserve"> (ROE), bukan ROA. Dalam konteks penelitian ini, ROA yang digunakan mengacu pada definisi regulatoris OJK dengan numerator laba sebelum pajak dan denominator total aset rata-rata.</w:t>
      </w:r>
    </w:p>
    <w:p>
      <w:pPr>
        <w:spacing w:before="0" w:after="0" w:lineRule="auto" w:line="360"/>
        <w:ind w:firstLine="709"/>
        <w:jc w:val="both"/>
      </w:pPr>
      <w:r>
        <w:rPr>
          <w:rFonts w:ascii="Times New Roman" w:hAnsi="Times New Roman" w:cs="Times New Roman"/>
          <w:rFonts w:ascii="Times New Roman" w:hAnsi="Times New Roman"/>
          <w:b w:val="0"/>
          <w:i w:val="0"/>
          <w:sz w:val="24"/>
        </w:rPr>
        <w:t>Sesuai dengan ketentuan OJK melalui Surat Edaran Bank Indonesia Nomor 13/24/DPNP tentang Penilaian Tingkat Kesehatan Bank Umum, rumus baku pengukuran ROA adalah:</w:t>
      </w:r>
    </w:p>
    <w:p>
      <w:pPr>
        <w:spacing w:before="120" w:after="120" w:lineRule="auto" w:line="360"/>
        <w:jc w:val="center"/>
      </w:pPr>
      <w:r>
        <w:rPr>
          <w:rFonts w:ascii="Times New Roman" w:hAnsi="Times New Roman" w:cs="Times New Roman"/>
          <w:rFonts w:ascii="Times New Roman" w:hAnsi="Times New Roman"/>
          <w:b/>
          <w:i w:val="0"/>
          <w:sz w:val="22"/>
        </w:rPr>
        <w:t>= × 100</w:t>
      </w:r>
    </w:p>
    <w:p>
      <w:pPr>
        <w:spacing w:before="0" w:after="0" w:lineRule="auto" w:line="360"/>
        <w:ind w:firstLine="709"/>
        <w:jc w:val="both"/>
      </w:pPr>
      <w:r>
        <w:rPr>
          <w:rFonts w:ascii="Times New Roman" w:hAnsi="Times New Roman" w:cs="Times New Roman"/>
          <w:rFonts w:ascii="Times New Roman" w:hAnsi="Times New Roman"/>
          <w:b w:val="0"/>
          <w:i w:val="0"/>
          <w:sz w:val="24"/>
        </w:rPr>
        <w:t>Kriteria standar kesehatan rasio ROA bank umum menurut regulasi OJK diklasifikasikan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1 (Sangat Sehat):</w:t>
      </w:r>
      <w:r>
        <w:rPr>
          <w:rFonts w:ascii="Times New Roman" w:hAnsi="Times New Roman" w:cs="Times New Roman"/>
          <w:rFonts w:ascii="Times New Roman" w:hAnsi="Times New Roman"/>
          <w:b w:val="0"/>
          <w:i w:val="0"/>
          <w:sz w:val="24"/>
        </w:rPr>
        <w:t xml:space="preserve"> $ 1,5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2 (Sehat):</w:t>
      </w:r>
      <w:r>
        <w:rPr>
          <w:rFonts w:ascii="Times New Roman" w:hAnsi="Times New Roman" w:cs="Times New Roman"/>
          <w:rFonts w:ascii="Times New Roman" w:hAnsi="Times New Roman"/>
          <w:b w:val="0"/>
          <w:i w:val="0"/>
          <w:sz w:val="24"/>
        </w:rPr>
        <w:t xml:space="preserve"> $1,25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3 (Cukup Sehat):</w:t>
      </w:r>
      <w:r>
        <w:rPr>
          <w:rFonts w:ascii="Times New Roman" w:hAnsi="Times New Roman" w:cs="Times New Roman"/>
          <w:rFonts w:ascii="Times New Roman" w:hAnsi="Times New Roman"/>
          <w:b w:val="0"/>
          <w:i w:val="0"/>
          <w:sz w:val="24"/>
        </w:rPr>
        <w:t xml:space="preserve"> $0,5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4 (Kurang Sehat):</w:t>
      </w:r>
      <w:r>
        <w:rPr>
          <w:rFonts w:ascii="Times New Roman" w:hAnsi="Times New Roman" w:cs="Times New Roman"/>
          <w:rFonts w:ascii="Times New Roman" w:hAnsi="Times New Roman"/>
          <w:b w:val="0"/>
          <w:i w:val="0"/>
          <w:sz w:val="24"/>
        </w:rPr>
        <w:t xml:space="preserve"> $0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5 (Tidak Sehat):</w:t>
      </w:r>
      <w:r>
        <w:rPr>
          <w:rFonts w:ascii="Times New Roman" w:hAnsi="Times New Roman" w:cs="Times New Roman"/>
          <w:rFonts w:ascii="Times New Roman" w:hAnsi="Times New Roman"/>
          <w:b w:val="0"/>
          <w:i w:val="0"/>
          <w:sz w:val="24"/>
        </w:rPr>
        <w:t xml:space="preserve"> $ &lt; 0</w:t>
      </w:r>
    </w:p>
    <w:p>
      <w:pPr>
        <w:spacing w:before="180" w:after="120" w:lineRule="auto" w:line="360"/>
        <w:jc w:val="both"/>
      </w:pPr>
      <w:r>
        <w:rPr>
          <w:rFonts w:ascii="Times New Roman" w:hAnsi="Times New Roman" w:cs="Times New Roman"/>
          <w:rFonts w:ascii="Times New Roman" w:hAnsi="Times New Roman"/>
          <w:b/>
          <w:i w:val="0"/>
          <w:sz w:val="24"/>
        </w:rPr>
        <w:t>Portofolio Kredit Hijau (*Green Financing</w:t>
      </w:r>
    </w:p>
    <w:p>
      <w:pPr>
        <w:spacing w:before="0" w:after="0" w:lineRule="auto" w:line="360"/>
        <w:ind w:firstLine="709"/>
        <w:jc w:val="both"/>
      </w:pP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atau Pembiayaan Berkelanjutan adalah penyaluran dana kredit investasi maupun modal kerja oleh perbankan yang ditujukan secara spesifik untuk membiayai proyek atau kegiatan usaha yang memberikan dampak positif langsung terhadap perlindungan dan perbaikan lingkungan hidup, konservasi sumber daya alam, efisiensi energi, serta mitigasi dan adaptasi perubahan iklim (OJK (2017), Cui et al. (2018)).</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POJK Nomor 51/POJK.03/2017 Bab III Pasal 3, Kegiatan Usaha Berwawasan Lingkungan (KUBL) mencakup 11 sektor prioritas:</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Efisiensi energi.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Pencegahan dan pengendalian polusi.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Pengelolaan sumber daya alam hayati dan penggunaan lahan yang berkelanjutan (termasuk pertanian dan kehutanan berkelanjutan).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Konservasi keanekaragaman hayati darat dan air.</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val="0"/>
          <w:i w:val="0"/>
          <w:sz w:val="24"/>
        </w:rPr>
        <w:t>Transportasi ramah lingkungan (</w:t>
      </w:r>
      <w:r>
        <w:rPr>
          <w:rFonts w:ascii="Times New Roman" w:hAnsi="Times New Roman" w:cs="Times New Roman"/>
          <w:rFonts w:ascii="Times New Roman" w:hAnsi="Times New Roman"/>
          <w:b w:val="0"/>
          <w:i/>
          <w:sz w:val="24"/>
        </w:rPr>
        <w:t>eco-efficient transport / electric vehicles</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6. </w:t>
      </w:r>
      <w:r>
        <w:rPr>
          <w:rFonts w:ascii="Times New Roman" w:hAnsi="Times New Roman" w:cs="Times New Roman"/>
          <w:rFonts w:ascii="Times New Roman" w:hAnsi="Times New Roman"/>
          <w:b w:val="0"/>
          <w:i w:val="0"/>
          <w:sz w:val="24"/>
        </w:rPr>
        <w:t>Pengelolaan air dan air limbah yang berkelanjutan.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7. </w:t>
      </w:r>
      <w:r>
        <w:rPr>
          <w:rFonts w:ascii="Times New Roman" w:hAnsi="Times New Roman" w:cs="Times New Roman"/>
          <w:rFonts w:ascii="Times New Roman" w:hAnsi="Times New Roman"/>
          <w:b w:val="0"/>
          <w:i w:val="0"/>
          <w:sz w:val="24"/>
        </w:rPr>
        <w:t>Adaptasi perubahan iklim.</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8. </w:t>
      </w:r>
      <w:r>
        <w:rPr>
          <w:rFonts w:ascii="Times New Roman" w:hAnsi="Times New Roman" w:cs="Times New Roman"/>
          <w:rFonts w:ascii="Times New Roman" w:hAnsi="Times New Roman"/>
          <w:b w:val="0"/>
          <w:i w:val="0"/>
          <w:sz w:val="24"/>
        </w:rPr>
        <w:t>Pengelolaan produk yang dapat mengurangi penggunaan sumber daya dan menghasilkan lebih sedikit polusi (</w:t>
      </w:r>
      <w:r>
        <w:rPr>
          <w:rFonts w:ascii="Times New Roman" w:hAnsi="Times New Roman" w:cs="Times New Roman"/>
          <w:rFonts w:ascii="Times New Roman" w:hAnsi="Times New Roman"/>
          <w:b w:val="0"/>
          <w:i/>
          <w:sz w:val="24"/>
        </w:rPr>
        <w:t>eco-efficient products</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9. </w:t>
      </w:r>
      <w:r>
        <w:rPr>
          <w:rFonts w:ascii="Times New Roman" w:hAnsi="Times New Roman" w:cs="Times New Roman"/>
          <w:rFonts w:ascii="Times New Roman" w:hAnsi="Times New Roman"/>
          <w:b w:val="0"/>
          <w:i w:val="0"/>
          <w:sz w:val="24"/>
        </w:rPr>
        <w:t>Bangunan berwawasan lingkungan yang memenuhi standar atau sertifikasi yang diakui secara nasional, regional, atau internasional (</w:t>
      </w:r>
      <w:r>
        <w:rPr>
          <w:rFonts w:ascii="Times New Roman" w:hAnsi="Times New Roman" w:cs="Times New Roman"/>
          <w:rFonts w:ascii="Times New Roman" w:hAnsi="Times New Roman"/>
          <w:b w:val="0"/>
          <w:i/>
          <w:sz w:val="24"/>
        </w:rPr>
        <w:t>green building</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10. </w:t>
      </w:r>
      <w:r>
        <w:rPr>
          <w:rFonts w:ascii="Times New Roman" w:hAnsi="Times New Roman" w:cs="Times New Roman"/>
          <w:rFonts w:ascii="Times New Roman" w:hAnsi="Times New Roman"/>
          <w:b w:val="0"/>
          <w:i w:val="0"/>
          <w:sz w:val="24"/>
        </w:rPr>
        <w:t>Energi terbarukan (pembangkit listrik tenaga surya, air, angin, biomassa, dan panas bumi).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11. </w:t>
      </w:r>
      <w:r>
        <w:rPr>
          <w:rFonts w:ascii="Times New Roman" w:hAnsi="Times New Roman" w:cs="Times New Roman"/>
          <w:rFonts w:ascii="Times New Roman" w:hAnsi="Times New Roman"/>
          <w:b w:val="0"/>
          <w:i w:val="0"/>
          <w:sz w:val="24"/>
        </w:rPr>
        <w:t>Kegiatan usaha atau kegiatan lain yang berwawasan lingkungan lainnya.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Pengukuran rasio portofolio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dihitung berdasarkan proporsi penyaluran kredit hijau terhadap total portofolio kredit yang disalurkan oleh bank (Pramono et al. (2022), Sun et al. (2021)):</w:t>
      </w:r>
    </w:p>
    <w:p>
      <w:pPr>
        <w:spacing w:before="120" w:after="120" w:lineRule="auto" w:line="360"/>
        <w:jc w:val="center"/>
      </w:pPr>
      <w:r>
        <w:rPr>
          <w:rFonts w:ascii="Times New Roman" w:hAnsi="Times New Roman" w:cs="Times New Roman"/>
          <w:rFonts w:ascii="Times New Roman" w:hAnsi="Times New Roman"/>
          <w:b/>
          <w:i w:val="0"/>
          <w:sz w:val="22"/>
        </w:rPr>
        <w:t>= × 100</w:t>
      </w:r>
    </w:p>
    <w:p>
      <w:pPr>
        <w:spacing w:before="180" w:after="120" w:lineRule="auto" w:line="360"/>
        <w:jc w:val="both"/>
      </w:pPr>
      <w:r>
        <w:rPr>
          <w:rFonts w:ascii="Times New Roman" w:hAnsi="Times New Roman" w:cs="Times New Roman"/>
          <w:rFonts w:ascii="Times New Roman" w:hAnsi="Times New Roman"/>
          <w:b/>
          <w:i w:val="0"/>
          <w:sz w:val="24"/>
        </w:rPr>
        <w:t>Risiko Kredit dan *Non-Performing Loan</w:t>
      </w:r>
    </w:p>
    <w:p>
      <w:pPr>
        <w:spacing w:before="0" w:after="0" w:lineRule="auto" w:line="360"/>
        <w:ind w:firstLine="709"/>
        <w:jc w:val="both"/>
      </w:pPr>
      <w:r>
        <w:rPr>
          <w:rFonts w:ascii="Times New Roman" w:hAnsi="Times New Roman" w:cs="Times New Roman"/>
          <w:rFonts w:ascii="Times New Roman" w:hAnsi="Times New Roman"/>
          <w:b w:val="0"/>
          <w:i w:val="0"/>
          <w:sz w:val="24"/>
        </w:rPr>
        <w:t>(NPL)*</w:t>
      </w:r>
    </w:p>
    <w:p>
      <w:pPr>
        <w:spacing w:before="0" w:after="0" w:lineRule="auto" w:line="360"/>
        <w:ind w:firstLine="709"/>
        <w:jc w:val="both"/>
      </w:pPr>
      <w:r>
        <w:rPr>
          <w:rFonts w:ascii="Times New Roman" w:hAnsi="Times New Roman" w:cs="Times New Roman"/>
          <w:rFonts w:ascii="Times New Roman" w:hAnsi="Times New Roman"/>
          <w:b w:val="0"/>
          <w:i w:val="0"/>
          <w:sz w:val="24"/>
        </w:rPr>
        <w:t>Risiko kredit didefinisikan sebagai risiko kerugian yang timbul akibat kegagalan pihak lawan (</w:t>
      </w:r>
      <w:r>
        <w:rPr>
          <w:rFonts w:ascii="Times New Roman" w:hAnsi="Times New Roman" w:cs="Times New Roman"/>
          <w:rFonts w:ascii="Times New Roman" w:hAnsi="Times New Roman"/>
          <w:b w:val="0"/>
          <w:i/>
          <w:sz w:val="24"/>
        </w:rPr>
        <w:t>counterparty</w:t>
      </w:r>
      <w:r>
        <w:rPr>
          <w:rFonts w:ascii="Times New Roman" w:hAnsi="Times New Roman" w:cs="Times New Roman"/>
          <w:rFonts w:ascii="Times New Roman" w:hAnsi="Times New Roman"/>
          <w:b w:val="0"/>
          <w:i w:val="0"/>
          <w:sz w:val="24"/>
        </w:rPr>
        <w:t xml:space="preserve"> atau debitur) dalam memenuhi kewajiban kontraktualnya untuk membayar kembali pokok dan/atau bunga pinjaman kepada bank pada waktu yang telah disepakati (Kuncoro &amp; Suhardjono (2018)). Kualitas portofolio kredit bank diklasifikasikan ke dalam lima tingkat kolektibilitas berdasarkan Peraturan OJK:</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1 (Lancar):</w:t>
      </w:r>
      <w:r>
        <w:rPr>
          <w:rFonts w:ascii="Times New Roman" w:hAnsi="Times New Roman" w:cs="Times New Roman"/>
          <w:rFonts w:ascii="Times New Roman" w:hAnsi="Times New Roman"/>
          <w:b w:val="0"/>
          <w:i w:val="0"/>
          <w:sz w:val="24"/>
        </w:rPr>
        <w:t xml:space="preserve"> Pembayaran pokok dan bunga tepat waktu tanpa ada tunggakan.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2 (Dalam Perhatian Khusus / DPK):</w:t>
      </w:r>
      <w:r>
        <w:rPr>
          <w:rFonts w:ascii="Times New Roman" w:hAnsi="Times New Roman" w:cs="Times New Roman"/>
          <w:rFonts w:ascii="Times New Roman" w:hAnsi="Times New Roman"/>
          <w:b w:val="0"/>
          <w:i w:val="0"/>
          <w:sz w:val="24"/>
        </w:rPr>
        <w:t xml:space="preserve"> Terdapat tunggakan pembayaran pokok dan/atau bunga antara 1 sampai 90 hari.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3 (Kurang Lancar):</w:t>
      </w:r>
      <w:r>
        <w:rPr>
          <w:rFonts w:ascii="Times New Roman" w:hAnsi="Times New Roman" w:cs="Times New Roman"/>
          <w:rFonts w:ascii="Times New Roman" w:hAnsi="Times New Roman"/>
          <w:b w:val="0"/>
          <w:i w:val="0"/>
          <w:sz w:val="24"/>
        </w:rPr>
        <w:t xml:space="preserve"> Terdapat tunggakan antara 91 sampai 120 hari.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4 (Diragukan):</w:t>
      </w:r>
      <w:r>
        <w:rPr>
          <w:rFonts w:ascii="Times New Roman" w:hAnsi="Times New Roman" w:cs="Times New Roman"/>
          <w:rFonts w:ascii="Times New Roman" w:hAnsi="Times New Roman"/>
          <w:b w:val="0"/>
          <w:i w:val="0"/>
          <w:sz w:val="24"/>
        </w:rPr>
        <w:t xml:space="preserve"> Terdapat tunggakan antara 121 sampai 180 hari.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5 (Macet):</w:t>
      </w:r>
      <w:r>
        <w:rPr>
          <w:rFonts w:ascii="Times New Roman" w:hAnsi="Times New Roman" w:cs="Times New Roman"/>
          <w:rFonts w:ascii="Times New Roman" w:hAnsi="Times New Roman"/>
          <w:b w:val="0"/>
          <w:i w:val="0"/>
          <w:sz w:val="24"/>
        </w:rPr>
        <w:t xml:space="preserve"> Terdapat tunggakan lebih dari 180 hari.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Kredit yang tergolong dalam kategori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adalah kredit dengan kualitas Kurang Lancar (Kol 3), Diragukan (Kol 4), dan Macet (Kol 5). Rasio NPL yang digunakan dalam penelitian ini adalah rasio </w:t>
      </w:r>
      <w:r>
        <w:rPr>
          <w:rFonts w:ascii="Times New Roman" w:hAnsi="Times New Roman" w:cs="Times New Roman"/>
          <w:rFonts w:ascii="Times New Roman" w:hAnsi="Times New Roman"/>
          <w:b/>
          <w:i w:val="0"/>
          <w:sz w:val="24"/>
        </w:rPr>
        <w:t>NPL Gross</w:t>
      </w:r>
      <w:r>
        <w:rPr>
          <w:rFonts w:ascii="Times New Roman" w:hAnsi="Times New Roman" w:cs="Times New Roman"/>
          <w:rFonts w:ascii="Times New Roman" w:hAnsi="Times New Roman"/>
          <w:b w:val="0"/>
          <w:i w:val="0"/>
          <w:sz w:val="24"/>
        </w:rPr>
        <w:t>, yang dirumuskan sebagai berikut (Dendawijaya (2015), OJK (2021)):</w:t>
      </w:r>
    </w:p>
    <w:p>
      <w:pPr>
        <w:spacing w:before="120" w:after="120" w:lineRule="auto" w:line="360"/>
        <w:jc w:val="center"/>
      </w:pPr>
      <w:r>
        <w:rPr>
          <w:rFonts w:ascii="Times New Roman" w:hAnsi="Times New Roman" w:cs="Times New Roman"/>
          <w:rFonts w:ascii="Times New Roman" w:hAnsi="Times New Roman"/>
          <w:b/>
          <w:i w:val="0"/>
          <w:sz w:val="22"/>
        </w:rPr>
        <w:t>= × 100</w:t>
      </w:r>
    </w:p>
    <w:p>
      <w:pPr>
        <w:spacing w:before="180" w:after="120" w:lineRule="auto" w:line="360"/>
        <w:jc w:val="both"/>
      </w:pPr>
      <w:r>
        <w:rPr>
          <w:rFonts w:ascii="Times New Roman" w:hAnsi="Times New Roman" w:cs="Times New Roman"/>
          <w:rFonts w:ascii="Times New Roman" w:hAnsi="Times New Roman"/>
          <w:b/>
          <w:i w:val="0"/>
          <w:sz w:val="24"/>
        </w:rPr>
        <w:t>Analisis Kualitas Aset, Kolektibilitas, dan Implementasi PSAK 71 / IFRS 9</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Standar akuntansi keuangan di Indonesia mengalami pergeseran fundamental sejak diberlakukannya PSAK 71 (Instrumen Keuangan) yang mengadopsi penuh </w:t>
      </w:r>
      <w:r>
        <w:rPr>
          <w:rFonts w:ascii="Times New Roman" w:hAnsi="Times New Roman" w:cs="Times New Roman"/>
          <w:rFonts w:ascii="Times New Roman" w:hAnsi="Times New Roman"/>
          <w:b w:val="0"/>
          <w:i/>
          <w:sz w:val="24"/>
        </w:rPr>
        <w:t>International Financial Reporting Standard</w:t>
      </w:r>
      <w:r>
        <w:rPr>
          <w:rFonts w:ascii="Times New Roman" w:hAnsi="Times New Roman" w:cs="Times New Roman"/>
          <w:rFonts w:ascii="Times New Roman" w:hAnsi="Times New Roman"/>
          <w:b w:val="0"/>
          <w:i w:val="0"/>
          <w:sz w:val="24"/>
        </w:rPr>
        <w:t xml:space="preserve"> (IFRS) 9 efektif per 1 Januari 2020. PSAK 71 mengubah paradigma pengakuan cadangan kerugian penurunan nilai dari metode </w:t>
      </w:r>
      <w:r>
        <w:rPr>
          <w:rFonts w:ascii="Times New Roman" w:hAnsi="Times New Roman" w:cs="Times New Roman"/>
          <w:rFonts w:ascii="Times New Roman" w:hAnsi="Times New Roman"/>
          <w:b w:val="0"/>
          <w:i/>
          <w:sz w:val="24"/>
        </w:rPr>
        <w:t>Incurred Loss Model</w:t>
      </w:r>
      <w:r>
        <w:rPr>
          <w:rFonts w:ascii="Times New Roman" w:hAnsi="Times New Roman" w:cs="Times New Roman"/>
          <w:rFonts w:ascii="Times New Roman" w:hAnsi="Times New Roman"/>
          <w:b w:val="0"/>
          <w:i w:val="0"/>
          <w:sz w:val="24"/>
        </w:rPr>
        <w:t xml:space="preserve"> (kerugian yang telah terjadi) menjadi </w:t>
      </w:r>
      <w:r>
        <w:rPr>
          <w:rFonts w:ascii="Times New Roman" w:hAnsi="Times New Roman" w:cs="Times New Roman"/>
          <w:rFonts w:ascii="Times New Roman" w:hAnsi="Times New Roman"/>
          <w:b w:val="0"/>
          <w:i/>
          <w:sz w:val="24"/>
        </w:rPr>
        <w:t>Expected Credit Loss</w:t>
      </w:r>
      <w:r>
        <w:rPr>
          <w:rFonts w:ascii="Times New Roman" w:hAnsi="Times New Roman" w:cs="Times New Roman"/>
          <w:rFonts w:ascii="Times New Roman" w:hAnsi="Times New Roman"/>
          <w:b w:val="0"/>
          <w:i w:val="0"/>
          <w:sz w:val="24"/>
        </w:rPr>
        <w:t xml:space="preserve"> (ECL) model (kerugian kredit ekspektasian ke depan yang berorientasi </w:t>
      </w:r>
      <w:r>
        <w:rPr>
          <w:rFonts w:ascii="Times New Roman" w:hAnsi="Times New Roman" w:cs="Times New Roman"/>
          <w:rFonts w:ascii="Times New Roman" w:hAnsi="Times New Roman"/>
          <w:b w:val="0"/>
          <w:i/>
          <w:sz w:val="24"/>
        </w:rPr>
        <w:t>forward-looking</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Formulasi matematis umum untuk perhitungan ECL per instrumen kredit dapat disederhanakan sebagai berikut: (Formulasi ini merupakan bentuk implementasi yang disederhanakan. Perhitungan ECL yang lengkap menurut PSAK 71 / IFRS 9 memerlukan spesifikasi lebih rinci mencakup PD marginal vs. kondisional, tingkat pemulihan (</w:t>
      </w:r>
      <w:r>
        <w:rPr>
          <w:rFonts w:ascii="Times New Roman" w:hAnsi="Times New Roman" w:cs="Times New Roman"/>
          <w:rFonts w:ascii="Times New Roman" w:hAnsi="Times New Roman"/>
          <w:b w:val="0"/>
          <w:i/>
          <w:sz w:val="24"/>
        </w:rPr>
        <w:t>recovery rate</w:t>
      </w:r>
      <w:r>
        <w:rPr>
          <w:rFonts w:ascii="Times New Roman" w:hAnsi="Times New Roman" w:cs="Times New Roman"/>
          <w:rFonts w:ascii="Times New Roman" w:hAnsi="Times New Roman"/>
          <w:b w:val="0"/>
          <w:i w:val="0"/>
          <w:sz w:val="24"/>
        </w:rPr>
        <w:t xml:space="preserve">), skenario makroekonomi tertimbang probabilitas, dan proyeksi </w:t>
      </w:r>
      <w:r>
        <w:rPr>
          <w:rFonts w:ascii="Times New Roman" w:hAnsi="Times New Roman" w:cs="Times New Roman"/>
          <w:rFonts w:ascii="Times New Roman" w:hAnsi="Times New Roman"/>
          <w:b w:val="0"/>
          <w:i/>
          <w:sz w:val="24"/>
        </w:rPr>
        <w:t>cash shortfall</w:t>
      </w:r>
      <w:r>
        <w:rPr>
          <w:rFonts w:ascii="Times New Roman" w:hAnsi="Times New Roman" w:cs="Times New Roman"/>
          <w:rFonts w:ascii="Times New Roman" w:hAnsi="Times New Roman"/>
          <w:b w:val="0"/>
          <w:i w:val="0"/>
          <w:sz w:val="24"/>
        </w:rPr>
        <w:t xml:space="preserve"> berdiskonto.)</w:t>
      </w:r>
    </w:p>
    <w:p>
      <w:pPr>
        <w:spacing w:before="120" w:after="120" w:lineRule="auto" w:line="360"/>
        <w:jc w:val="center"/>
      </w:pPr>
      <w:r>
        <w:rPr>
          <w:rFonts w:ascii="Times New Roman" w:hAnsi="Times New Roman" w:cs="Times New Roman"/>
          <w:rFonts w:ascii="Times New Roman" w:hAnsi="Times New Roman"/>
          <w:b/>
          <w:i w:val="0"/>
          <w:sz w:val="22"/>
        </w:rPr>
        <w:t>= _t=1^T _t × _t × _t × (1 + r)^-t</w:t>
      </w:r>
    </w:p>
    <w:p>
      <w:pPr>
        <w:spacing w:before="0" w:after="0" w:lineRule="auto" w:line="360"/>
        <w:ind w:firstLine="709"/>
        <w:jc w:val="both"/>
      </w:pPr>
      <w:r>
        <w:rPr>
          <w:rFonts w:ascii="Times New Roman" w:hAnsi="Times New Roman" w:cs="Times New Roman"/>
          <w:rFonts w:ascii="Times New Roman" w:hAnsi="Times New Roman"/>
          <w:b w:val="0"/>
          <w:i w:val="0"/>
          <w:sz w:val="24"/>
        </w:rPr>
        <w:t>Di mana: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textPD (</w:t>
      </w:r>
      <w:r>
        <w:rPr>
          <w:rFonts w:ascii="Times New Roman" w:hAnsi="Times New Roman" w:cs="Times New Roman"/>
          <w:rFonts w:ascii="Times New Roman" w:hAnsi="Times New Roman"/>
          <w:b w:val="0"/>
          <w:i/>
          <w:sz w:val="24"/>
        </w:rPr>
        <w:t>Probability of Default</w:t>
      </w:r>
      <w:r>
        <w:rPr>
          <w:rFonts w:ascii="Times New Roman" w:hAnsi="Times New Roman" w:cs="Times New Roman"/>
          <w:rFonts w:ascii="Times New Roman" w:hAnsi="Times New Roman"/>
          <w:b w:val="0"/>
          <w:i w:val="0"/>
          <w:sz w:val="24"/>
        </w:rPr>
        <w:t>): Probabilitas kemungkinan debitur mengalami gagal bayar.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textLGD (</w:t>
      </w:r>
      <w:r>
        <w:rPr>
          <w:rFonts w:ascii="Times New Roman" w:hAnsi="Times New Roman" w:cs="Times New Roman"/>
          <w:rFonts w:ascii="Times New Roman" w:hAnsi="Times New Roman"/>
          <w:b w:val="0"/>
          <w:i/>
          <w:sz w:val="24"/>
        </w:rPr>
        <w:t>Loss Given Default</w:t>
      </w:r>
      <w:r>
        <w:rPr>
          <w:rFonts w:ascii="Times New Roman" w:hAnsi="Times New Roman" w:cs="Times New Roman"/>
          <w:rFonts w:ascii="Times New Roman" w:hAnsi="Times New Roman"/>
          <w:b w:val="0"/>
          <w:i w:val="0"/>
          <w:sz w:val="24"/>
        </w:rPr>
        <w:t>): Persentase kerugian ekonomis yang diderita bank jika debitur gagal bayar setelah memperhitungkan nilai likuidasi agunan.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textEAD (</w:t>
      </w:r>
      <w:r>
        <w:rPr>
          <w:rFonts w:ascii="Times New Roman" w:hAnsi="Times New Roman" w:cs="Times New Roman"/>
          <w:rFonts w:ascii="Times New Roman" w:hAnsi="Times New Roman"/>
          <w:b w:val="0"/>
          <w:i/>
          <w:sz w:val="24"/>
        </w:rPr>
        <w:t>Exposure at Default</w:t>
      </w:r>
      <w:r>
        <w:rPr>
          <w:rFonts w:ascii="Times New Roman" w:hAnsi="Times New Roman" w:cs="Times New Roman"/>
          <w:rFonts w:ascii="Times New Roman" w:hAnsi="Times New Roman"/>
          <w:b w:val="0"/>
          <w:i w:val="0"/>
          <w:sz w:val="24"/>
        </w:rPr>
        <w:t>): Total baki debit atau estimasi nilai eksposur pada saat terjadinya gagal bayar.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r: Tingkat suku bunga efektif (</w:t>
      </w:r>
      <w:r>
        <w:rPr>
          <w:rFonts w:ascii="Times New Roman" w:hAnsi="Times New Roman" w:cs="Times New Roman"/>
          <w:rFonts w:ascii="Times New Roman" w:hAnsi="Times New Roman"/>
          <w:b w:val="0"/>
          <w:i/>
          <w:sz w:val="24"/>
        </w:rPr>
        <w:t>effective interest rate</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Dalam kerangka PSAK 71, eksposur kredit dikelompokkan ke dalam tiga tahapan (</w:t>
      </w:r>
      <w:r>
        <w:rPr>
          <w:rFonts w:ascii="Times New Roman" w:hAnsi="Times New Roman" w:cs="Times New Roman"/>
          <w:rFonts w:ascii="Times New Roman" w:hAnsi="Times New Roman"/>
          <w:b w:val="0"/>
          <w:i/>
          <w:sz w:val="24"/>
        </w:rPr>
        <w:t>staging</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Stage 1 (Performing / 12-Month ECL):</w:t>
      </w:r>
      <w:r>
        <w:rPr>
          <w:rFonts w:ascii="Times New Roman" w:hAnsi="Times New Roman" w:cs="Times New Roman"/>
          <w:rFonts w:ascii="Times New Roman" w:hAnsi="Times New Roman"/>
          <w:b w:val="0"/>
          <w:i w:val="0"/>
          <w:sz w:val="24"/>
        </w:rPr>
        <w:t xml:space="preserve"> Mencakup kredit dengan kualitas Kolektibilitas 1 (Lancar) yang tidak mengalami peningkatan risiko kredit signifikan sejak pengakuan awal. Bank wajib membentuk CKPN sebesar estimasi kerugian gagal bayar dalam 12 bulan ke depan.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Stage 2 (Underperforming / Lifetime ECL):</w:t>
      </w:r>
      <w:r>
        <w:rPr>
          <w:rFonts w:ascii="Times New Roman" w:hAnsi="Times New Roman" w:cs="Times New Roman"/>
          <w:rFonts w:ascii="Times New Roman" w:hAnsi="Times New Roman"/>
          <w:b w:val="0"/>
          <w:i w:val="0"/>
          <w:sz w:val="24"/>
        </w:rPr>
        <w:t xml:space="preserve"> Mencakup kredit yang mengalami Peningkatan Risiko Kredit Signifikan (</w:t>
      </w:r>
      <w:r>
        <w:rPr>
          <w:rFonts w:ascii="Times New Roman" w:hAnsi="Times New Roman" w:cs="Times New Roman"/>
          <w:rFonts w:ascii="Times New Roman" w:hAnsi="Times New Roman"/>
          <w:b w:val="0"/>
          <w:i/>
          <w:sz w:val="24"/>
        </w:rPr>
        <w:t>Significant Increase in Credit Risk</w:t>
      </w:r>
      <w:r>
        <w:rPr>
          <w:rFonts w:ascii="Times New Roman" w:hAnsi="Times New Roman" w:cs="Times New Roman"/>
          <w:rFonts w:ascii="Times New Roman" w:hAnsi="Times New Roman"/>
          <w:b w:val="0"/>
          <w:i w:val="0"/>
          <w:sz w:val="24"/>
        </w:rPr>
        <w:t xml:space="preserve"> / SICR), umumnya pada Kolektibilitas 2 (Dalam Perhatian Khusus) dengan tunggakan 1–90 hari. Bank wajib membentuk CKPN sebesar estimasi kerugian sepanjang sisa umur ekonomis kredit (</w:t>
      </w:r>
      <w:r>
        <w:rPr>
          <w:rFonts w:ascii="Times New Roman" w:hAnsi="Times New Roman" w:cs="Times New Roman"/>
          <w:rFonts w:ascii="Times New Roman" w:hAnsi="Times New Roman"/>
          <w:b w:val="0"/>
          <w:i/>
          <w:sz w:val="24"/>
        </w:rPr>
        <w:t>Lifetime ECL</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Stage 3 (Non-Performing / Credit-Impaired):</w:t>
      </w:r>
      <w:r>
        <w:rPr>
          <w:rFonts w:ascii="Times New Roman" w:hAnsi="Times New Roman" w:cs="Times New Roman"/>
          <w:rFonts w:ascii="Times New Roman" w:hAnsi="Times New Roman"/>
          <w:b w:val="0"/>
          <w:i w:val="0"/>
          <w:sz w:val="24"/>
        </w:rPr>
        <w:t xml:space="preserve"> Mencakup kredit bermasalah (NPL) pada Kolektibilitas 3 (Kurang Lancar), Kolektibilitas 4 (Diragukan), dan Kolektibilitas 5 (Macet). Bank membentuk CKPN berdasarkan estimasi </w:t>
      </w:r>
      <w:r>
        <w:rPr>
          <w:rFonts w:ascii="Times New Roman" w:hAnsi="Times New Roman" w:cs="Times New Roman"/>
          <w:rFonts w:ascii="Times New Roman" w:hAnsi="Times New Roman"/>
          <w:b w:val="0"/>
          <w:i/>
          <w:sz w:val="24"/>
        </w:rPr>
        <w:t>lifetime ECL</w:t>
      </w:r>
      <w:r>
        <w:rPr>
          <w:rFonts w:ascii="Times New Roman" w:hAnsi="Times New Roman" w:cs="Times New Roman"/>
          <w:rFonts w:ascii="Times New Roman" w:hAnsi="Times New Roman"/>
          <w:b w:val="0"/>
          <w:i w:val="0"/>
          <w:sz w:val="24"/>
        </w:rPr>
        <w:t xml:space="preserve"> yang memperhitungkan selisih antara nilai tercatat kredit dengan nilai kini arus kas yang diharapkan diterima (</w:t>
      </w:r>
      <w:r>
        <w:rPr>
          <w:rFonts w:ascii="Times New Roman" w:hAnsi="Times New Roman" w:cs="Times New Roman"/>
          <w:rFonts w:ascii="Times New Roman" w:hAnsi="Times New Roman"/>
          <w:b w:val="0"/>
          <w:i/>
          <w:sz w:val="24"/>
        </w:rPr>
        <w:t>probability-weighted discounted cash shortfall</w:t>
      </w:r>
      <w:r>
        <w:rPr>
          <w:rFonts w:ascii="Times New Roman" w:hAnsi="Times New Roman" w:cs="Times New Roman"/>
          <w:rFonts w:ascii="Times New Roman" w:hAnsi="Times New Roman"/>
          <w:b w:val="0"/>
          <w:i w:val="0"/>
          <w:sz w:val="24"/>
        </w:rPr>
        <w:t>). Besaran CKPN bervariasi tergantung nilai agunan, tingkat pemulihan, dan skenario makroekonomi.</w:t>
      </w:r>
    </w:p>
    <w:p>
      <w:pPr>
        <w:spacing w:before="0" w:after="0" w:lineRule="auto" w:line="360"/>
        <w:ind w:firstLine="709"/>
        <w:jc w:val="both"/>
      </w:pPr>
      <w:r>
        <w:rPr>
          <w:rFonts w:ascii="Times New Roman" w:hAnsi="Times New Roman" w:cs="Times New Roman"/>
          <w:rFonts w:ascii="Times New Roman" w:hAnsi="Times New Roman"/>
          <w:b w:val="0"/>
          <w:i w:val="0"/>
          <w:sz w:val="24"/>
        </w:rPr>
        <w:t>Peningkatan rasio NPL Gross secara langsung mendorong migrasi portofolio kredit dari Stage 1 ke Stage 2 dan Stage 3, yang secara eksponensial melipatgandakan beban CKPN. Beban provisi yang membengkak ini langsung memangkas laba sebelum pajak (</w:t>
      </w:r>
      <w:r>
        <w:rPr>
          <w:rFonts w:ascii="Times New Roman" w:hAnsi="Times New Roman" w:cs="Times New Roman"/>
          <w:rFonts w:ascii="Times New Roman" w:hAnsi="Times New Roman"/>
          <w:b w:val="0"/>
          <w:i/>
          <w:sz w:val="24"/>
        </w:rPr>
        <w:t>profit before tax</w:t>
      </w:r>
      <w:r>
        <w:rPr>
          <w:rFonts w:ascii="Times New Roman" w:hAnsi="Times New Roman" w:cs="Times New Roman"/>
          <w:rFonts w:ascii="Times New Roman" w:hAnsi="Times New Roman"/>
          <w:b w:val="0"/>
          <w:i w:val="0"/>
          <w:sz w:val="24"/>
        </w:rPr>
        <w:t>), sehingga menurunkan rasio ROA secara tajam (Kuncoro &amp; Suhardjono (2018), Pradita &amp; Syaichu (2022)).</w:t>
      </w:r>
    </w:p>
    <w:p>
      <w:pPr>
        <w:spacing w:before="180" w:after="120" w:lineRule="auto" w:line="360"/>
        <w:jc w:val="both"/>
      </w:pPr>
      <w:r>
        <w:rPr>
          <w:rFonts w:ascii="Times New Roman" w:hAnsi="Times New Roman" w:cs="Times New Roman"/>
          <w:rFonts w:ascii="Times New Roman" w:hAnsi="Times New Roman"/>
          <w:b/>
          <w:i w:val="0"/>
          <w:sz w:val="24"/>
        </w:rPr>
        <w:t>Kecukupan Modal dan *Capital Adequacy Ratio</w:t>
      </w:r>
    </w:p>
    <w:p>
      <w:pPr>
        <w:spacing w:before="0" w:after="0" w:lineRule="auto" w:line="360"/>
        <w:ind w:firstLine="709"/>
        <w:jc w:val="both"/>
      </w:pPr>
      <w:r>
        <w:rPr>
          <w:rFonts w:ascii="Times New Roman" w:hAnsi="Times New Roman" w:cs="Times New Roman"/>
          <w:rFonts w:ascii="Times New Roman" w:hAnsi="Times New Roman"/>
          <w:b w:val="0"/>
          <w:i w:val="0"/>
          <w:sz w:val="24"/>
        </w:rPr>
        <w:t>(CAR)*</w:t>
      </w:r>
    </w:p>
    <w:p>
      <w:pPr>
        <w:spacing w:before="0" w:after="0" w:lineRule="auto" w:line="360"/>
        <w:ind w:firstLine="709"/>
        <w:jc w:val="both"/>
      </w:pP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atau Rasio Kecukupan Modal adalah indikator fundamental yang mengukur ketahanan struktur permodalan bank dalam menyerap potensi risiko kerugian yang bersumber dari aktivitas pembiayaan dan operasional bank (Brigham &amp; Ehrhardt (2020)). Sesuai dengan standar internasional </w:t>
      </w:r>
      <w:r>
        <w:rPr>
          <w:rFonts w:ascii="Times New Roman" w:hAnsi="Times New Roman" w:cs="Times New Roman"/>
          <w:rFonts w:ascii="Times New Roman" w:hAnsi="Times New Roman"/>
          <w:b w:val="0"/>
          <w:i/>
          <w:sz w:val="24"/>
        </w:rPr>
        <w:t>Basel III Accord</w:t>
      </w:r>
      <w:r>
        <w:rPr>
          <w:rFonts w:ascii="Times New Roman" w:hAnsi="Times New Roman" w:cs="Times New Roman"/>
          <w:rFonts w:ascii="Times New Roman" w:hAnsi="Times New Roman"/>
          <w:b w:val="0"/>
          <w:i w:val="0"/>
          <w:sz w:val="24"/>
        </w:rPr>
        <w:t xml:space="preserve"> yang diadopsi oleh OJK melalui POJK Nomor 11/POJK.03/2016 tentang Kewajiban Penyediaan Modal Minimum (KPMM) Bank Umum, modal bank dikelompokkan menjadi: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Modal Inti (</w:t>
      </w:r>
      <w:r>
        <w:rPr>
          <w:rFonts w:ascii="Times New Roman" w:hAnsi="Times New Roman" w:cs="Times New Roman"/>
          <w:rFonts w:ascii="Times New Roman" w:hAnsi="Times New Roman"/>
          <w:b w:val="0"/>
          <w:i w:val="0"/>
          <w:sz w:val="24"/>
        </w:rPr>
        <w:t>Tier 1 Capital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Terdiri dari Modal Inti Utama (</w:t>
      </w:r>
      <w:r>
        <w:rPr>
          <w:rFonts w:ascii="Times New Roman" w:hAnsi="Times New Roman" w:cs="Times New Roman"/>
          <w:rFonts w:ascii="Times New Roman" w:hAnsi="Times New Roman"/>
          <w:b w:val="0"/>
          <w:i w:val="0"/>
          <w:sz w:val="24"/>
        </w:rPr>
        <w:t>Common Equity Tier 1</w:t>
      </w:r>
      <w:r>
        <w:rPr>
          <w:rFonts w:ascii="Times New Roman" w:hAnsi="Times New Roman" w:cs="Times New Roman"/>
          <w:rFonts w:ascii="Times New Roman" w:hAnsi="Times New Roman"/>
          <w:b w:val="0"/>
          <w:i/>
          <w:sz w:val="24"/>
        </w:rPr>
        <w:t xml:space="preserve"> / CET1) seperti modal disetor, agio saham, dan saldo laba ditahan, serta Modal Inti Tambahan (</w:t>
      </w:r>
      <w:r>
        <w:rPr>
          <w:rFonts w:ascii="Times New Roman" w:hAnsi="Times New Roman" w:cs="Times New Roman"/>
          <w:rFonts w:ascii="Times New Roman" w:hAnsi="Times New Roman"/>
          <w:b w:val="0"/>
          <w:i w:val="0"/>
          <w:sz w:val="24"/>
        </w:rPr>
        <w:t>Additional Tier 1* / AT1).</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Modal Pelengkap (</w:t>
      </w:r>
      <w:r>
        <w:rPr>
          <w:rFonts w:ascii="Times New Roman" w:hAnsi="Times New Roman" w:cs="Times New Roman"/>
          <w:rFonts w:ascii="Times New Roman" w:hAnsi="Times New Roman"/>
          <w:b w:val="0"/>
          <w:i w:val="0"/>
          <w:sz w:val="24"/>
        </w:rPr>
        <w:t>Tier 2 Capital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Terdiri dari instrumen modal subordinasi dan cadangan umum penyisihan kerugian penurunan nilai.</w:t>
      </w:r>
    </w:p>
    <w:p>
      <w:pPr>
        <w:spacing w:before="0" w:after="0" w:lineRule="auto" w:line="360"/>
        <w:ind w:firstLine="709"/>
        <w:jc w:val="both"/>
      </w:pPr>
      <w:r>
        <w:rPr>
          <w:rFonts w:ascii="Times New Roman" w:hAnsi="Times New Roman" w:cs="Times New Roman"/>
          <w:rFonts w:ascii="Times New Roman" w:hAnsi="Times New Roman"/>
          <w:b w:val="0"/>
          <w:i w:val="0"/>
          <w:sz w:val="24"/>
        </w:rPr>
        <w:t>Rasio CAR dihitung dengan membandingkan total modal yang dimiliki bank terhadap total Aktiva Tertimbang Menurut Risiko (ATMR), yang mencakup ATMR Risiko Kredit, ATMR Risiko Pasar, dan ATMR Risiko Operasional (Dendawijaya (2015), Haryanto &amp; Sudarno (2023)):</w:t>
      </w:r>
    </w:p>
    <w:p>
      <w:pPr>
        <w:spacing w:before="120" w:after="120" w:lineRule="auto" w:line="360"/>
        <w:jc w:val="center"/>
      </w:pPr>
      <w:r>
        <w:rPr>
          <w:rFonts w:ascii="Times New Roman" w:hAnsi="Times New Roman" w:cs="Times New Roman"/>
          <w:rFonts w:ascii="Times New Roman" w:hAnsi="Times New Roman"/>
          <w:b/>
          <w:i w:val="0"/>
          <w:sz w:val="22"/>
        </w:rPr>
        <w:t>= × 100</w:t>
      </w:r>
    </w:p>
    <w:p>
      <w:pPr>
        <w:spacing w:before="0" w:after="0" w:lineRule="auto" w:line="360"/>
        <w:ind w:firstLine="709"/>
        <w:jc w:val="both"/>
      </w:pPr>
      <w:r>
        <w:rPr>
          <w:rFonts w:ascii="Times New Roman" w:hAnsi="Times New Roman" w:cs="Times New Roman"/>
          <w:rFonts w:ascii="Times New Roman" w:hAnsi="Times New Roman"/>
          <w:b w:val="0"/>
          <w:i w:val="0"/>
          <w:sz w:val="24"/>
        </w:rPr>
        <w:t>Perhitungan ATMR Risiko Kredit dapat dilakukan melalui dua pendekatan: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Pendekatan Standar (</w:t>
      </w:r>
      <w:r>
        <w:rPr>
          <w:rFonts w:ascii="Times New Roman" w:hAnsi="Times New Roman" w:cs="Times New Roman"/>
          <w:rFonts w:ascii="Times New Roman" w:hAnsi="Times New Roman"/>
          <w:b w:val="0"/>
          <w:i w:val="0"/>
          <w:sz w:val="24"/>
        </w:rPr>
        <w:t>Standardized Approach</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Bobot risiko ditentukan berdasarkan peringkat eksternal debitur yang ditetapkan regulator (misal: 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Pendekatan Berbasis Peringkat Internal (</w:t>
      </w:r>
      <w:r>
        <w:rPr>
          <w:rFonts w:ascii="Times New Roman" w:hAnsi="Times New Roman" w:cs="Times New Roman"/>
          <w:rFonts w:ascii="Times New Roman" w:hAnsi="Times New Roman"/>
          <w:b w:val="0"/>
          <w:i w:val="0"/>
          <w:sz w:val="24"/>
        </w:rPr>
        <w:t>Internal Ratings-Based / IRB Approach</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Bank menghitung bobot risiko sendiri menggunakan parameter empiris textPD, textLGD, textEAD, dan jatuh tempo M.</w:t>
      </w:r>
    </w:p>
    <w:p>
      <w:pPr>
        <w:spacing w:before="0" w:after="0" w:lineRule="auto" w:line="360"/>
        <w:ind w:firstLine="709"/>
        <w:jc w:val="both"/>
      </w:pPr>
      <w:r>
        <w:rPr>
          <w:rFonts w:ascii="Times New Roman" w:hAnsi="Times New Roman" w:cs="Times New Roman"/>
          <w:rFonts w:ascii="Times New Roman" w:hAnsi="Times New Roman"/>
          <w:b w:val="0"/>
          <w:i w:val="0"/>
          <w:sz w:val="24"/>
        </w:rPr>
        <w:t>OJK menetapkan ambang batas minimum CAR bervariasi antara 8</w:t>
      </w:r>
    </w:p>
    <w:p>
      <w:pPr>
        <w:spacing w:before="180" w:after="120" w:lineRule="auto" w:line="360"/>
        <w:jc w:val="both"/>
      </w:pPr>
      <w:r>
        <w:rPr>
          <w:rFonts w:ascii="Times New Roman" w:hAnsi="Times New Roman" w:cs="Times New Roman"/>
          <w:rFonts w:ascii="Times New Roman" w:hAnsi="Times New Roman"/>
          <w:b/>
          <w:i w:val="0"/>
          <w:sz w:val="24"/>
        </w:rPr>
        <w:t>Integrasi Risiko Iklim Fisik dan Transisi ke dalam Manajemen Risiko Perbankan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Perubahan iklim global memunculkan kategori risiko baru bagi industri perbankan yang diidentifikasi oleh </w:t>
      </w:r>
      <w:r>
        <w:rPr>
          <w:rFonts w:ascii="Times New Roman" w:hAnsi="Times New Roman" w:cs="Times New Roman"/>
          <w:rFonts w:ascii="Times New Roman" w:hAnsi="Times New Roman"/>
          <w:b w:val="0"/>
          <w:i/>
          <w:sz w:val="24"/>
        </w:rPr>
        <w:t>Task Force on Climate-related Financial Disclosures</w:t>
      </w:r>
      <w:r>
        <w:rPr>
          <w:rFonts w:ascii="Times New Roman" w:hAnsi="Times New Roman" w:cs="Times New Roman"/>
          <w:rFonts w:ascii="Times New Roman" w:hAnsi="Times New Roman"/>
          <w:b w:val="0"/>
          <w:i w:val="0"/>
          <w:sz w:val="24"/>
        </w:rPr>
        <w:t xml:space="preserve"> (TCFD) dan </w:t>
      </w:r>
      <w:r>
        <w:rPr>
          <w:rFonts w:ascii="Times New Roman" w:hAnsi="Times New Roman" w:cs="Times New Roman"/>
          <w:rFonts w:ascii="Times New Roman" w:hAnsi="Times New Roman"/>
          <w:b w:val="0"/>
          <w:i/>
          <w:sz w:val="24"/>
        </w:rPr>
        <w:t>Network for Greening the Financial System</w:t>
      </w:r>
      <w:r>
        <w:rPr>
          <w:rFonts w:ascii="Times New Roman" w:hAnsi="Times New Roman" w:cs="Times New Roman"/>
          <w:rFonts w:ascii="Times New Roman" w:hAnsi="Times New Roman"/>
          <w:b w:val="0"/>
          <w:i w:val="0"/>
          <w:sz w:val="24"/>
        </w:rPr>
        <w:t xml:space="preserve"> (NGFS) ke dalam dua pilar utama: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Risiko Fisik (</w:t>
      </w:r>
      <w:r>
        <w:rPr>
          <w:rFonts w:ascii="Times New Roman" w:hAnsi="Times New Roman" w:cs="Times New Roman"/>
          <w:rFonts w:ascii="Times New Roman" w:hAnsi="Times New Roman"/>
          <w:b w:val="0"/>
          <w:i w:val="0"/>
          <w:sz w:val="24"/>
        </w:rPr>
        <w:t>Physical Risk</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Risiko kerugian finansial yang timbul dari peristiwa cuaca ekstrem (</w:t>
      </w:r>
      <w:r>
        <w:rPr>
          <w:rFonts w:ascii="Times New Roman" w:hAnsi="Times New Roman" w:cs="Times New Roman"/>
          <w:rFonts w:ascii="Times New Roman" w:hAnsi="Times New Roman"/>
          <w:b w:val="0"/>
          <w:i w:val="0"/>
          <w:sz w:val="24"/>
        </w:rPr>
        <w:t>acute physical risk</w:t>
      </w:r>
      <w:r>
        <w:rPr>
          <w:rFonts w:ascii="Times New Roman" w:hAnsi="Times New Roman" w:cs="Times New Roman"/>
          <w:rFonts w:ascii="Times New Roman" w:hAnsi="Times New Roman"/>
          <w:b w:val="0"/>
          <w:i/>
          <w:sz w:val="24"/>
        </w:rPr>
        <w:t xml:space="preserve"> seperti banjir bandang, badai, dan kekeringan) maupun perubahan pola iklim jangka panjang (</w:t>
      </w:r>
      <w:r>
        <w:rPr>
          <w:rFonts w:ascii="Times New Roman" w:hAnsi="Times New Roman" w:cs="Times New Roman"/>
          <w:rFonts w:ascii="Times New Roman" w:hAnsi="Times New Roman"/>
          <w:b w:val="0"/>
          <w:i w:val="0"/>
          <w:sz w:val="24"/>
        </w:rPr>
        <w:t>chronic physical risk</w:t>
      </w:r>
      <w:r>
        <w:rPr>
          <w:rFonts w:ascii="Times New Roman" w:hAnsi="Times New Roman" w:cs="Times New Roman"/>
          <w:rFonts w:ascii="Times New Roman" w:hAnsi="Times New Roman"/>
          <w:b w:val="0"/>
          <w:i/>
          <w:sz w:val="24"/>
        </w:rPr>
        <w:t xml:space="preserve"> seperti kenaikan permukaan air laut dan pemanasan global). Risiko fisik dapat merusak aset fisik debitur, mengganggu rantai pasok manufaktur, menurunkan produktivitas panen agrikultur, dan menurunkan nilai agunan (</w:t>
      </w:r>
      <w:r>
        <w:rPr>
          <w:rFonts w:ascii="Times New Roman" w:hAnsi="Times New Roman" w:cs="Times New Roman"/>
          <w:rFonts w:ascii="Times New Roman" w:hAnsi="Times New Roman"/>
          <w:b w:val="0"/>
          <w:i w:val="0"/>
          <w:sz w:val="24"/>
        </w:rPr>
        <w:t>collateral value*) yang dipegang bank, yang secara langsung meningkatkan probabilitas gagal bayar (textPD) dan memicu kenaikan NPL.</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Risiko Transisi (</w:t>
      </w:r>
      <w:r>
        <w:rPr>
          <w:rFonts w:ascii="Times New Roman" w:hAnsi="Times New Roman" w:cs="Times New Roman"/>
          <w:rFonts w:ascii="Times New Roman" w:hAnsi="Times New Roman"/>
          <w:b w:val="0"/>
          <w:i w:val="0"/>
          <w:sz w:val="24"/>
        </w:rPr>
        <w:t>Transition Risk</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Risiko kerugian yang timbul dari proses penyesuaian menuju ekonomi rendah karbon, mencakup perubahan kebijakan pemerintah (misal: pengenaan pajak karbon, pembatasan emisi industri, larangan ekspor komoditas non-hijau), disrupsi teknologi hijau, dan pergeseran preferensi konsumen. Debitur di sektor berintensitas karbon tinggi (</w:t>
      </w:r>
      <w:r>
        <w:rPr>
          <w:rFonts w:ascii="Times New Roman" w:hAnsi="Times New Roman" w:cs="Times New Roman"/>
          <w:rFonts w:ascii="Times New Roman" w:hAnsi="Times New Roman"/>
          <w:b w:val="0"/>
          <w:i w:val="0"/>
          <w:sz w:val="24"/>
        </w:rPr>
        <w:t>brown assets</w:t>
      </w:r>
      <w:r>
        <w:rPr>
          <w:rFonts w:ascii="Times New Roman" w:hAnsi="Times New Roman" w:cs="Times New Roman"/>
          <w:rFonts w:ascii="Times New Roman" w:hAnsi="Times New Roman"/>
          <w:b w:val="0"/>
          <w:i/>
          <w:sz w:val="24"/>
        </w:rPr>
        <w:t xml:space="preserve">) yang gagal beradaptasi akan menghadapi risiko </w:t>
      </w:r>
      <w:r>
        <w:rPr>
          <w:rFonts w:ascii="Times New Roman" w:hAnsi="Times New Roman" w:cs="Times New Roman"/>
          <w:rFonts w:ascii="Times New Roman" w:hAnsi="Times New Roman"/>
          <w:b w:val="0"/>
          <w:i w:val="0"/>
          <w:sz w:val="24"/>
        </w:rPr>
        <w:t>stranded assets*, penurunan pendapatan secara drastis, dan pemburukan kapasitas membayar utang.</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Bank-bank KBMI 4 yang memelopori penyaluran kredit hijau berhasil memitigasi kedua risiko tersebut secara proaktif. Melalui penerapan </w:t>
      </w:r>
      <w:r>
        <w:rPr>
          <w:rFonts w:ascii="Times New Roman" w:hAnsi="Times New Roman" w:cs="Times New Roman"/>
          <w:rFonts w:ascii="Times New Roman" w:hAnsi="Times New Roman"/>
          <w:b w:val="0"/>
          <w:i/>
          <w:sz w:val="24"/>
        </w:rPr>
        <w:t>Climate Risk Stress Testing</w:t>
      </w:r>
      <w:r>
        <w:rPr>
          <w:rFonts w:ascii="Times New Roman" w:hAnsi="Times New Roman" w:cs="Times New Roman"/>
          <w:rFonts w:ascii="Times New Roman" w:hAnsi="Times New Roman"/>
          <w:b w:val="0"/>
          <w:i w:val="0"/>
          <w:sz w:val="24"/>
        </w:rPr>
        <w:t xml:space="preserve"> (CRST), bank menyaring debitur dengan profil kerentanan iklim yang rendah, sehingga menciptakan portofolio kredit yang berdaya tahan tinggi dan meminimalkan pembentukan beban CKPN di masa depan.</w:t>
      </w:r>
    </w:p>
    <w:p>
      <w:pPr>
        <w:spacing w:before="180" w:after="120" w:lineRule="auto" w:line="360"/>
        <w:jc w:val="both"/>
      </w:pPr>
      <w:r>
        <w:rPr>
          <w:rFonts w:ascii="Times New Roman" w:hAnsi="Times New Roman" w:cs="Times New Roman"/>
          <w:rFonts w:ascii="Times New Roman" w:hAnsi="Times New Roman"/>
          <w:b/>
          <w:i w:val="0"/>
          <w:sz w:val="24"/>
        </w:rPr>
        <w:t>Mekanisme Rantai Transmisi Pembiayaan Hijau terhadap Profitabilitas Bank</w:t>
      </w:r>
    </w:p>
    <w:p>
      <w:pPr>
        <w:spacing w:before="0" w:after="0" w:lineRule="auto" w:line="360"/>
        <w:ind w:firstLine="709"/>
        <w:jc w:val="both"/>
      </w:pPr>
      <w:r>
        <w:rPr>
          <w:rFonts w:ascii="Times New Roman" w:hAnsi="Times New Roman" w:cs="Times New Roman"/>
          <w:rFonts w:ascii="Times New Roman" w:hAnsi="Times New Roman"/>
          <w:b w:val="0"/>
          <w:i w:val="0"/>
          <w:sz w:val="24"/>
        </w:rPr>
        <w:t>Transmisi pengaruh alokasi pembiayaan hijau terhadap profitabilitas bank (ROA) beroperasi melalui beberapa jalur (</w:t>
      </w:r>
      <w:r>
        <w:rPr>
          <w:rFonts w:ascii="Times New Roman" w:hAnsi="Times New Roman" w:cs="Times New Roman"/>
          <w:rFonts w:ascii="Times New Roman" w:hAnsi="Times New Roman"/>
          <w:b w:val="0"/>
          <w:i/>
          <w:sz w:val="24"/>
        </w:rPr>
        <w:t>transmission channels</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Pendapatan Bunga dan Imbal Hasil Kredit (</w:t>
      </w:r>
      <w:r>
        <w:rPr>
          <w:rFonts w:ascii="Times New Roman" w:hAnsi="Times New Roman" w:cs="Times New Roman"/>
          <w:rFonts w:ascii="Times New Roman" w:hAnsi="Times New Roman"/>
          <w:b w:val="0"/>
          <w:i w:val="0"/>
          <w:sz w:val="24"/>
        </w:rPr>
        <w:t>Interest Revenue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Portofolio kredit hijau yang disalurkan ke sektor-sektor berkembang pesat seperti pembangkit listrik tenaga surya, infrastruktur efisiensi energi, dan ekosistem kendaraan listrik menghasilkan arus kas pendapatan bunga yang stabil dengan tenor pinjaman jangka menengah-panjang.</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Efisiensi Biaya Pendanaan (</w:t>
      </w:r>
      <w:r>
        <w:rPr>
          <w:rFonts w:ascii="Times New Roman" w:hAnsi="Times New Roman" w:cs="Times New Roman"/>
          <w:rFonts w:ascii="Times New Roman" w:hAnsi="Times New Roman"/>
          <w:b w:val="0"/>
          <w:i w:val="0"/>
          <w:sz w:val="24"/>
        </w:rPr>
        <w:t>Cost of Funds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Kepemilikan portofolio hijau yang terverifikasi memungkinkan bank KBMI 4 menerbitkan instrumen obligasi keberlanjutan (</w:t>
      </w:r>
      <w:r>
        <w:rPr>
          <w:rFonts w:ascii="Times New Roman" w:hAnsi="Times New Roman" w:cs="Times New Roman"/>
          <w:rFonts w:ascii="Times New Roman" w:hAnsi="Times New Roman"/>
          <w:b w:val="0"/>
          <w:i w:val="0"/>
          <w:sz w:val="24"/>
        </w:rPr>
        <w:t>Green Bonds, Social Bonds, Sustainability Bonds</w:t>
      </w:r>
      <w:r>
        <w:rPr>
          <w:rFonts w:ascii="Times New Roman" w:hAnsi="Times New Roman" w:cs="Times New Roman"/>
          <w:rFonts w:ascii="Times New Roman" w:hAnsi="Times New Roman"/>
          <w:b w:val="0"/>
          <w:i/>
          <w:sz w:val="24"/>
        </w:rPr>
        <w:t xml:space="preserve">) di pasar modal domestik dan global dengan </w:t>
      </w:r>
      <w:r>
        <w:rPr>
          <w:rFonts w:ascii="Times New Roman" w:hAnsi="Times New Roman" w:cs="Times New Roman"/>
          <w:rFonts w:ascii="Times New Roman" w:hAnsi="Times New Roman"/>
          <w:b w:val="0"/>
          <w:i w:val="0"/>
          <w:sz w:val="24"/>
        </w:rPr>
        <w:t>greenium* (diskon imbal hasil yang dibayar bank kepada investor karena predikat hijau), sehingga menekan biaya perolehan dana secara keseluruhan.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Kualitas Debitur dan Beban Provisi (</w:t>
      </w:r>
      <w:r>
        <w:rPr>
          <w:rFonts w:ascii="Times New Roman" w:hAnsi="Times New Roman" w:cs="Times New Roman"/>
          <w:rFonts w:ascii="Times New Roman" w:hAnsi="Times New Roman"/>
          <w:b w:val="0"/>
          <w:i w:val="0"/>
          <w:sz w:val="24"/>
        </w:rPr>
        <w:t>Credit Risk &amp; Provisioning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Debitur proyek hijau memiliki tata kelola lingkungan yang disiplin dan terlindungi dari risiko sanksi pencemaran lingkungan atau penutupan izin usaha oleh pemerintah. Kepatuhan ini menurunkan tingkat gagal bayar, menjaga rasio NPL tetap rendah, dan mengurangi beban pembentukan CKPN PSAK 71.</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Pendapatan Berbasis Komisi (</w:t>
      </w:r>
      <w:r>
        <w:rPr>
          <w:rFonts w:ascii="Times New Roman" w:hAnsi="Times New Roman" w:cs="Times New Roman"/>
          <w:rFonts w:ascii="Times New Roman" w:hAnsi="Times New Roman"/>
          <w:b w:val="0"/>
          <w:i w:val="0"/>
          <w:sz w:val="24"/>
        </w:rPr>
        <w:t>Fee-Based Income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Keterlibatan bank KBMI 4 dalam sindikasi pembiayaan hijau skala besar menghasilkan pendapatan non-bunga yang signifikan dari biaya penjaminan (</w:t>
      </w:r>
      <w:r>
        <w:rPr>
          <w:rFonts w:ascii="Times New Roman" w:hAnsi="Times New Roman" w:cs="Times New Roman"/>
          <w:rFonts w:ascii="Times New Roman" w:hAnsi="Times New Roman"/>
          <w:b w:val="0"/>
          <w:i w:val="0"/>
          <w:sz w:val="24"/>
        </w:rPr>
        <w:t>underwriting fees</w:t>
      </w:r>
      <w:r>
        <w:rPr>
          <w:rFonts w:ascii="Times New Roman" w:hAnsi="Times New Roman" w:cs="Times New Roman"/>
          <w:rFonts w:ascii="Times New Roman" w:hAnsi="Times New Roman"/>
          <w:b w:val="0"/>
          <w:i/>
          <w:sz w:val="24"/>
        </w:rPr>
        <w:t>), biaya penasihat keuangan (</w:t>
      </w:r>
      <w:r>
        <w:rPr>
          <w:rFonts w:ascii="Times New Roman" w:hAnsi="Times New Roman" w:cs="Times New Roman"/>
          <w:rFonts w:ascii="Times New Roman" w:hAnsi="Times New Roman"/>
          <w:b w:val="0"/>
          <w:i w:val="0"/>
          <w:sz w:val="24"/>
        </w:rPr>
        <w:t>financial advisory fees*), dan biaya transaksi kustodian hijau.</w:t>
      </w:r>
    </w:p>
    <w:p>
      <w:pPr>
        <w:spacing w:before="180" w:after="120" w:lineRule="auto" w:line="360"/>
        <w:jc w:val="both"/>
      </w:pPr>
      <w:r>
        <w:rPr>
          <w:rFonts w:ascii="Times New Roman" w:hAnsi="Times New Roman" w:cs="Times New Roman"/>
          <w:rFonts w:ascii="Times New Roman" w:hAnsi="Times New Roman"/>
          <w:b/>
          <w:i w:val="0"/>
          <w:sz w:val="24"/>
        </w:rPr>
        <w:t>Analisis Komparatif Pembiayaan Hijau: Negara Berkembang vs Negara Maju</w:t>
      </w:r>
    </w:p>
    <w:p>
      <w:pPr>
        <w:spacing w:before="0" w:after="0" w:lineRule="auto" w:line="360"/>
        <w:ind w:firstLine="709"/>
        <w:jc w:val="both"/>
      </w:pPr>
      <w:r>
        <w:rPr>
          <w:rFonts w:ascii="Times New Roman" w:hAnsi="Times New Roman" w:cs="Times New Roman"/>
          <w:rFonts w:ascii="Times New Roman" w:hAnsi="Times New Roman"/>
          <w:b w:val="0"/>
          <w:i w:val="0"/>
          <w:sz w:val="24"/>
        </w:rPr>
        <w:t>Penerapan pembiayaan hijau di negara-negara berkembang (</w:t>
      </w:r>
      <w:r>
        <w:rPr>
          <w:rFonts w:ascii="Times New Roman" w:hAnsi="Times New Roman" w:cs="Times New Roman"/>
          <w:rFonts w:ascii="Times New Roman" w:hAnsi="Times New Roman"/>
          <w:b w:val="0"/>
          <w:i/>
          <w:sz w:val="24"/>
        </w:rPr>
        <w:t>emerging economies</w:t>
      </w:r>
      <w:r>
        <w:rPr>
          <w:rFonts w:ascii="Times New Roman" w:hAnsi="Times New Roman" w:cs="Times New Roman"/>
          <w:rFonts w:ascii="Times New Roman" w:hAnsi="Times New Roman"/>
          <w:b w:val="0"/>
          <w:i w:val="0"/>
          <w:sz w:val="24"/>
        </w:rPr>
        <w:t>) seperti Indonesia memiliki dinamika struktural yang berbeda dibandingkan di negara-negara maju (</w:t>
      </w:r>
      <w:r>
        <w:rPr>
          <w:rFonts w:ascii="Times New Roman" w:hAnsi="Times New Roman" w:cs="Times New Roman"/>
          <w:rFonts w:ascii="Times New Roman" w:hAnsi="Times New Roman"/>
          <w:b w:val="0"/>
          <w:i/>
          <w:sz w:val="24"/>
        </w:rPr>
        <w:t>developed economies</w:t>
      </w:r>
      <w:r>
        <w:rPr>
          <w:rFonts w:ascii="Times New Roman" w:hAnsi="Times New Roman" w:cs="Times New Roman"/>
          <w:rFonts w:ascii="Times New Roman" w:hAnsi="Times New Roman"/>
          <w:b w:val="0"/>
          <w:i w:val="0"/>
          <w:sz w:val="24"/>
        </w:rPr>
        <w: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Ketergantungan Sektor Riil Berkarbon Tinggi:</w:t>
      </w:r>
      <w:r>
        <w:rPr>
          <w:rFonts w:ascii="Times New Roman" w:hAnsi="Times New Roman" w:cs="Times New Roman"/>
          <w:rFonts w:ascii="Times New Roman" w:hAnsi="Times New Roman"/>
          <w:b w:val="0"/>
          <w:i w:val="0"/>
          <w:sz w:val="24"/>
        </w:rPr>
        <w:t xml:space="preserve"> Di negara berkembang, porsi sektor energi berbasis fosil dan industri ekstraktif masih mendominasi struktur ekonomi, sehingga perbankan menghadapi tantangan </w:t>
      </w:r>
      <w:r>
        <w:rPr>
          <w:rFonts w:ascii="Times New Roman" w:hAnsi="Times New Roman" w:cs="Times New Roman"/>
          <w:rFonts w:ascii="Times New Roman" w:hAnsi="Times New Roman"/>
          <w:b w:val="0"/>
          <w:i/>
          <w:sz w:val="24"/>
        </w:rPr>
        <w:t>transition risk</w:t>
      </w:r>
      <w:r>
        <w:rPr>
          <w:rFonts w:ascii="Times New Roman" w:hAnsi="Times New Roman" w:cs="Times New Roman"/>
          <w:rFonts w:ascii="Times New Roman" w:hAnsi="Times New Roman"/>
          <w:b w:val="0"/>
          <w:i w:val="0"/>
          <w:sz w:val="24"/>
        </w:rPr>
        <w:t xml:space="preserve"> yang lebih kompleks. Penyaluran kredit hijau harus diimbangi dengan pembiayaan transisi (</w:t>
      </w:r>
      <w:r>
        <w:rPr>
          <w:rFonts w:ascii="Times New Roman" w:hAnsi="Times New Roman" w:cs="Times New Roman"/>
          <w:rFonts w:ascii="Times New Roman" w:hAnsi="Times New Roman"/>
          <w:b w:val="0"/>
          <w:i/>
          <w:sz w:val="24"/>
        </w:rPr>
        <w:t>transition finance</w:t>
      </w:r>
      <w:r>
        <w:rPr>
          <w:rFonts w:ascii="Times New Roman" w:hAnsi="Times New Roman" w:cs="Times New Roman"/>
          <w:rFonts w:ascii="Times New Roman" w:hAnsi="Times New Roman"/>
          <w:b w:val="0"/>
          <w:i w:val="0"/>
          <w:sz w:val="24"/>
        </w:rPr>
        <w:t>) agar tidak memicu kebangkrutan massal pada sektor industri konvensional.</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Asimetri Informasi dan Standar Pengungkapan:</w:t>
      </w:r>
      <w:r>
        <w:rPr>
          <w:rFonts w:ascii="Times New Roman" w:hAnsi="Times New Roman" w:cs="Times New Roman"/>
          <w:rFonts w:ascii="Times New Roman" w:hAnsi="Times New Roman"/>
          <w:b w:val="0"/>
          <w:i w:val="0"/>
          <w:sz w:val="24"/>
        </w:rPr>
        <w:t xml:space="preserve"> Ketersediaan data ESG yang diaudit secara independen masih terbatas di pasar negara berkembang dibandingkan negara maju yang telah mengadopsi standar taksonomi ketat seperti EU SFDR. Bank-bank KBMI 4 di Indonesia mengatasi hal ini dengan membangun metodologi asesmen internal (</w:t>
      </w:r>
      <w:r>
        <w:rPr>
          <w:rFonts w:ascii="Times New Roman" w:hAnsi="Times New Roman" w:cs="Times New Roman"/>
          <w:rFonts w:ascii="Times New Roman" w:hAnsi="Times New Roman"/>
          <w:b w:val="0"/>
          <w:i/>
          <w:sz w:val="24"/>
        </w:rPr>
        <w:t>internal green scoring</w:t>
      </w:r>
      <w:r>
        <w:rPr>
          <w:rFonts w:ascii="Times New Roman" w:hAnsi="Times New Roman" w:cs="Times New Roman"/>
          <w:rFonts w:ascii="Times New Roman" w:hAnsi="Times New Roman"/>
          <w:b w:val="0"/>
          <w:i w:val="0"/>
          <w:sz w:val="24"/>
        </w:rPr>
        <w:t>) yang mengadopsi POJK 51/2017 dan Taksonomi Hijau Indonesia.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Keterbatasan Insentif Fiskal dan Moneter:</w:t>
      </w:r>
      <w:r>
        <w:rPr>
          <w:rFonts w:ascii="Times New Roman" w:hAnsi="Times New Roman" w:cs="Times New Roman"/>
          <w:rFonts w:ascii="Times New Roman" w:hAnsi="Times New Roman"/>
          <w:b w:val="0"/>
          <w:i w:val="0"/>
          <w:sz w:val="24"/>
        </w:rPr>
        <w:t xml:space="preserve"> Di negara maju, pemerintah memberikan subsidi bunga hijau dan keringanan pajak secara masif. Di Indonesia, dorongan pembiayaan hijau lebih banyak digerakkan oleh kepatuhan regulasi OJK dan Bank Indonesia melalui insentif makroprudensial KLM.</w:t>
      </w:r>
    </w:p>
    <w:p>
      <w:pPr>
        <w:spacing w:before="180" w:after="120" w:lineRule="auto" w:line="360"/>
        <w:jc w:val="both"/>
      </w:pPr>
      <w:r>
        <w:rPr>
          <w:rFonts w:ascii="Times New Roman" w:hAnsi="Times New Roman" w:cs="Times New Roman"/>
          <w:rFonts w:ascii="Times New Roman" w:hAnsi="Times New Roman"/>
          <w:b/>
          <w:i w:val="0"/>
          <w:sz w:val="24"/>
        </w:rPr>
        <w:t>Dinamika Integrasi ESG ke dalam Penilaian Risiko Kredit Perbankan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Pengintegrasian kriteria </w:t>
      </w:r>
      <w:r>
        <w:rPr>
          <w:rFonts w:ascii="Times New Roman" w:hAnsi="Times New Roman" w:cs="Times New Roman"/>
          <w:rFonts w:ascii="Times New Roman" w:hAnsi="Times New Roman"/>
          <w:b w:val="0"/>
          <w:i/>
          <w:sz w:val="24"/>
        </w:rPr>
        <w:t>Environmental, Social, and Governance</w:t>
      </w:r>
      <w:r>
        <w:rPr>
          <w:rFonts w:ascii="Times New Roman" w:hAnsi="Times New Roman" w:cs="Times New Roman"/>
          <w:rFonts w:ascii="Times New Roman" w:hAnsi="Times New Roman"/>
          <w:b w:val="0"/>
          <w:i w:val="0"/>
          <w:sz w:val="24"/>
        </w:rPr>
        <w:t xml:space="preserve"> (ESG) ke dalam proses analisis kelayakan kredit telah mengubah arsitektur pengambilan keputusan perbankan modern: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Penyaringan Awal (</w:t>
      </w:r>
      <w:r>
        <w:rPr>
          <w:rFonts w:ascii="Times New Roman" w:hAnsi="Times New Roman" w:cs="Times New Roman"/>
          <w:rFonts w:ascii="Times New Roman" w:hAnsi="Times New Roman"/>
          <w:b w:val="0"/>
          <w:i w:val="0"/>
          <w:sz w:val="24"/>
        </w:rPr>
        <w:t>Negative Screening</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Bank KBMI 4 menetapkan daftar sektor terlarang (</w:t>
      </w:r>
      <w:r>
        <w:rPr>
          <w:rFonts w:ascii="Times New Roman" w:hAnsi="Times New Roman" w:cs="Times New Roman"/>
          <w:rFonts w:ascii="Times New Roman" w:hAnsi="Times New Roman"/>
          <w:b w:val="0"/>
          <w:i w:val="0"/>
          <w:sz w:val="24"/>
        </w:rPr>
        <w:t>exclusion list*) yang mencakup aktivitas perburuan satwa liar dilindungi, pembalakan liar, dan industri tanpa izin AMDAL.</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Uji Tuntas Risiko Lingkungan dan Sosial (</w:t>
      </w:r>
      <w:r>
        <w:rPr>
          <w:rFonts w:ascii="Times New Roman" w:hAnsi="Times New Roman" w:cs="Times New Roman"/>
          <w:rFonts w:ascii="Times New Roman" w:hAnsi="Times New Roman"/>
          <w:b w:val="0"/>
          <w:i w:val="0"/>
          <w:sz w:val="24"/>
        </w:rPr>
        <w:t>ESRA Due Diligence</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Debitur korporasi dan komersial dinilai berdasarkan kepatuhan pengelolaan limbah, emisi gas rumah kaca, sertifikasi keberlanjutan (ISPO, RSPO, ISO 14001), serta hubungan ketenagakerjaan dan masyarakat sekitar.</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 xml:space="preserve">Penetapan </w:t>
      </w:r>
      <w:r>
        <w:rPr>
          <w:rFonts w:ascii="Times New Roman" w:hAnsi="Times New Roman" w:cs="Times New Roman"/>
          <w:rFonts w:ascii="Times New Roman" w:hAnsi="Times New Roman"/>
          <w:b w:val="0"/>
          <w:i w:val="0"/>
          <w:sz w:val="24"/>
        </w:rPr>
        <w:t>Covenants</w:t>
      </w:r>
      <w:r>
        <w:rPr>
          <w:rFonts w:ascii="Times New Roman" w:hAnsi="Times New Roman" w:cs="Times New Roman"/>
          <w:rFonts w:ascii="Times New Roman" w:hAnsi="Times New Roman"/>
          <w:b w:val="0"/>
          <w:i/>
          <w:sz w:val="24"/>
        </w:rPr>
        <w:t xml:space="preserve"> Keberlanjutan:</w:t>
      </w:r>
      <w:r>
        <w:rPr>
          <w:rFonts w:ascii="Times New Roman" w:hAnsi="Times New Roman" w:cs="Times New Roman"/>
          <w:rFonts w:ascii="Times New Roman" w:hAnsi="Times New Roman"/>
          <w:b w:val="0"/>
          <w:i/>
          <w:sz w:val="24"/>
        </w:rPr>
        <w:t xml:space="preserve"> Perjanjian kredit menyertakan klausul komitmen penurunan emisi (</w:t>
      </w:r>
      <w:r>
        <w:rPr>
          <w:rFonts w:ascii="Times New Roman" w:hAnsi="Times New Roman" w:cs="Times New Roman"/>
          <w:rFonts w:ascii="Times New Roman" w:hAnsi="Times New Roman"/>
          <w:b w:val="0"/>
          <w:i w:val="0"/>
          <w:sz w:val="24"/>
        </w:rPr>
        <w:t>decarbonization targets*), di mana kegagalan debitur memenuhi target ESG dapat memicu peningkatan marjin suku bunga atau pembatasan penarikan fasilitas kredit.</w:t>
      </w:r>
    </w:p>
    <w:p>
      <w:pPr>
        <w:spacing w:before="240" w:after="120" w:lineRule="auto" w:line="360"/>
        <w:jc w:val="both"/>
      </w:pPr>
      <w:r>
        <w:rPr>
          <w:rFonts w:ascii="Times New Roman" w:hAnsi="Times New Roman" w:cs="Times New Roman"/>
          <w:rFonts w:ascii="Times New Roman" w:hAnsi="Times New Roman"/>
          <w:b/>
          <w:i w:val="0"/>
          <w:sz w:val="24"/>
        </w:rPr>
        <w:t>Penelitian Terdahulu</w:t>
      </w:r>
    </w:p>
    <w:p>
      <w:pPr>
        <w:spacing w:before="0" w:after="0" w:lineRule="auto" w:line="360"/>
        <w:ind w:firstLine="709"/>
        <w:jc w:val="both"/>
      </w:pPr>
      <w:r>
        <w:rPr>
          <w:rFonts w:ascii="Times New Roman" w:hAnsi="Times New Roman" w:cs="Times New Roman"/>
          <w:rFonts w:ascii="Times New Roman" w:hAnsi="Times New Roman"/>
          <w:b w:val="0"/>
          <w:i w:val="0"/>
          <w:sz w:val="24"/>
        </w:rPr>
        <w:t>Untuk memberikan landasan komparatif yang kokoh dan mempertegas posisi kebaruan (</w:t>
      </w:r>
      <w:r>
        <w:rPr>
          <w:rFonts w:ascii="Times New Roman" w:hAnsi="Times New Roman" w:cs="Times New Roman"/>
          <w:rFonts w:ascii="Times New Roman" w:hAnsi="Times New Roman"/>
          <w:b w:val="0"/>
          <w:i/>
          <w:sz w:val="24"/>
        </w:rPr>
        <w:t>novelty</w:t>
      </w:r>
      <w:r>
        <w:rPr>
          <w:rFonts w:ascii="Times New Roman" w:hAnsi="Times New Roman" w:cs="Times New Roman"/>
          <w:rFonts w:ascii="Times New Roman" w:hAnsi="Times New Roman"/>
          <w:b w:val="0"/>
          <w:i w:val="0"/>
          <w:sz w:val="24"/>
        </w:rPr>
        <w:t>) dari penelitian ini, disajikan matriks 15 penelitian terdahulu yang relevan pada Tabel 2.1 berikut:</w:t>
      </w:r>
    </w:p>
    <w:p>
      <w:pPr>
        <w:spacing w:before="240" w:after="120" w:lineRule="auto" w:line="360"/>
        <w:jc w:val="center"/>
      </w:pPr>
      <w:r>
        <w:rPr>
          <w:rFonts w:ascii="Times New Roman" w:hAnsi="Times New Roman" w:cs="Times New Roman"/>
          <w:rFonts w:ascii="Times New Roman" w:hAnsi="Times New Roman"/>
          <w:b/>
          <w:i w:val="0"/>
          <w:sz w:val="22"/>
        </w:rPr>
        <w:t>Matriks Sintesis Penelitian Terdahulu (Bagian 1: Penelitian 1–5)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82"/>
        <w:gridCol w:w="1182"/>
        <w:gridCol w:w="1182"/>
        <w:gridCol w:w="1182"/>
        <w:gridCol w:w="1182"/>
        <w:gridCol w:w="1182"/>
        <w:gridCol w:w="1182"/>
      </w:tblGrid>
      <w:tr>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|c|&gt;p2.3cm|&gt;X|&gt;p1.9cm|&gt;p1.8cm|&gt;X|</w:t>
              <w:br/>
              <w:t xml:space="preserve"> </w:t>
              <w:br/>
              <w:t xml:space="preserve"> **No**</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**Penulis</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Tahun**</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**Judul Penelitian**</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**Variabel**</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**Metode**</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**Hasil Utama**</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1</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Pramono, Subroto,</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Saraswati (2022)</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Green Banking and Bank Profitability: Empirical Evidence from Indonesian Banking Sector</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GF, NPL, CAR, LDR, BOPO; Y: ROA, ROE</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Data Panel (FEM)</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Green Financing berpengaruh positif signifikan terhadap ROA; NPL berpengaruh negatif signifikan; CAR berpengaruh positif signifikan.</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2</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Yin, Zhu, Kirkulak-Uludag,</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Zhu (2021)</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The Determinants of Green Credit and Its Impact on the Performance of Chinese Banks</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Green Loan, Size, CAR, NPL; Y: ROA, NIM</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System</w:t>
            </w:r>
            <w:r>
              <w:rPr>
                <w:rFonts w:ascii="Times New Roman" w:hAnsi="Times New Roman" w:cs="Times New Roman"/>
                <w:rFonts w:ascii="Times New Roman" w:hAnsi="Times New Roman"/>
                <w:b w:val="0"/>
                <w:i w:val="0"/>
                <w:sz w:val="20"/>
              </w:rPr>
              <w:t xml:space="preserve"> GMM Panel</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Temuan bersifat heterogen berdasarkan kepemilikan bank: kredit hijau berasosiasi positif dengan profitabilitas pada bank milik negara, namun hasilnya bervariasi pada bank swasta. (Judul dan ringkasan temuan diverifikasi terhadap DOI: 10.1016/j.jclepro.2020.124991.)</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3</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Sari</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Astuti (2023)</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 xml:space="preserve">Pengaruh Penerapan </w:t>
            </w:r>
            <w:r>
              <w:rPr>
                <w:rFonts w:ascii="Times New Roman" w:hAnsi="Times New Roman" w:cs="Times New Roman"/>
                <w:rFonts w:ascii="Times New Roman" w:hAnsi="Times New Roman"/>
                <w:b w:val="0"/>
                <w:i/>
                <w:sz w:val="20"/>
              </w:rPr>
              <w:t>Green Banking</w:t>
            </w:r>
            <w:r>
              <w:rPr>
                <w:rFonts w:ascii="Times New Roman" w:hAnsi="Times New Roman" w:cs="Times New Roman"/>
                <w:rFonts w:ascii="Times New Roman" w:hAnsi="Times New Roman"/>
                <w:b w:val="0"/>
                <w:i w:val="0"/>
                <w:sz w:val="20"/>
              </w:rPr>
              <w:t xml:space="preserve"> terhadap Kinerja Keuangan Perbankan di Indonesia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GF, CAR, NPL, Size; Y: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Linier Berganda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Penyaluran pembiayaan hijau dan CAR berpengaruh positif signifikan terhadap ROA; NPL berpengaruh negatif signifikan.</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4</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Pradita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Syaichu (2022)</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Analisis Pengaruh NPL, CAR, LDR, dan BOPO terhadap Kinerja Keuangan Bank</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NPL, CAR, LDR, BOPO; Y: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Data Panel</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NPL berpengaruh negatif signifikan terhadap ROA, sedangkan CAR berpengaruh positif signifikan pada bank KBMI 4.</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5</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Wulandari</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Rahardjo (2022)</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 xml:space="preserve">Pengaruh </w:t>
            </w:r>
            <w:r>
              <w:rPr>
                <w:rFonts w:ascii="Times New Roman" w:hAnsi="Times New Roman" w:cs="Times New Roman"/>
                <w:rFonts w:ascii="Times New Roman" w:hAnsi="Times New Roman"/>
                <w:b w:val="0"/>
                <w:i/>
                <w:sz w:val="20"/>
              </w:rPr>
              <w:t>Green Financing</w:t>
            </w:r>
            <w:r>
              <w:rPr>
                <w:rFonts w:ascii="Times New Roman" w:hAnsi="Times New Roman" w:cs="Times New Roman"/>
                <w:rFonts w:ascii="Times New Roman" w:hAnsi="Times New Roman"/>
                <w:b w:val="0"/>
                <w:i w:val="0"/>
                <w:sz w:val="20"/>
              </w:rPr>
              <w:t xml:space="preserve"> dan Manajemen Risiko terhadap Profitabilitas Perbankan</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GF, NPL, CAR, NIM; Y: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Data Panel (FEM)</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Green financing dan CAR terbukti meningkatkan ROA secara simultan dan parsial; NPL menurunkan laba.</w:t>
            </w:r>
          </w:p>
        </w:tc>
      </w:tr>
    </w:tbl>
    <w:p>
      <w:pPr>
        <w:spacing w:before="80" w:after="240" w:lineRule="auto" w:line="360"/>
        <w:jc w:val="left"/>
      </w:pPr>
      <w:r>
        <w:rPr>
          <w:rFonts w:ascii="Times New Roman" w:hAnsi="Times New Roman" w:cs="Times New Roman"/>
          <w:rFonts w:ascii="Times New Roman" w:hAnsi="Times New Roman"/>
          <w:b w:val="0"/>
          <w:i/>
          <w:sz w:val="20"/>
        </w:rPr>
        <w:t>Sumber: Dikompilasi dan disintesis dari berbagai jurnal ilmiah bereputasi, 2024</w:t>
      </w:r>
    </w:p>
    <w:p>
      <w:pPr>
        <w:spacing w:before="240" w:after="120" w:lineRule="auto" w:line="360"/>
        <w:jc w:val="center"/>
      </w:pPr>
      <w:r>
        <w:rPr>
          <w:rFonts w:ascii="Times New Roman" w:hAnsi="Times New Roman" w:cs="Times New Roman"/>
          <w:rFonts w:ascii="Times New Roman" w:hAnsi="Times New Roman"/>
          <w:b/>
          <w:i w:val="0"/>
          <w:sz w:val="22"/>
        </w:rPr>
        <w:t>Matriks Sintesis Penelitian Terdahulu (Bagian 2: Penelitian 6–10)</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82"/>
        <w:gridCol w:w="1182"/>
        <w:gridCol w:w="1182"/>
        <w:gridCol w:w="1182"/>
        <w:gridCol w:w="1182"/>
        <w:gridCol w:w="1182"/>
        <w:gridCol w:w="1182"/>
      </w:tblGrid>
      <w:tr>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|c|&gt;p2.3cm|&gt;X|&gt;p1.9cm|&gt;p1.8cm|&gt;X|</w:t>
              <w:br/>
              <w:t xml:space="preserve"> </w:t>
              <w:br/>
              <w:t xml:space="preserve"> **No**</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**Penulis</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Tahun**</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**Judul Penelitian**</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**Variabel**</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**Metode**</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**Hasil Utama**</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6</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Chiaramonte, Dreassi, Paltrinieri,</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Piser\`a (2020)</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Sustainability Practices and Bank Stability during Financial Distress</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ESG Score, CAR, NPL; Y: Z-score,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Panel Data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Praktik keberlanjutan dan ESG meningkatkan stabilitas keuangan dan profitabilitas perbankan Eropa.</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7</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Cui, Geobey, Weber,</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Lin (2018)</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The Impact of Green Lending on Credit Risk in China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Green Credit Ratio; Y: Credit Risk (NPL)</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Pooled OLS Regression</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Kredit hijau berasosiasi dengan penurunan risiko kredit pada bank komersial di Tiongkok. (Judul asli dan variabel dependen diverifikasi terhadap DOI: 10.3390/su10062008. Variabel dependen utama adalah risiko kredit, bukan ROA/ROE.)</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8</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Sun, Edziah, Sun,</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Kporsu (2021)</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Green Credit Policy and Bank Profitability: Evidence from Commercial Banks in China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Green Credit Policy, CAR; Y: ROA</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Difference-in-Differences</w:t>
            </w:r>
            <w:r>
              <w:rPr>
                <w:rFonts w:ascii="Times New Roman" w:hAnsi="Times New Roman" w:cs="Times New Roman"/>
                <w:rFonts w:ascii="Times New Roman" w:hAnsi="Times New Roman"/>
                <w:b w:val="0"/>
                <w:i w:val="0"/>
                <w:sz w:val="20"/>
              </w:rPr>
              <w:t xml:space="preserve"> (DID)</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Kebijakan kredit hijau secara bertahap mendorong perbaikan profitabilitas bank komersial.</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9</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Handayani</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Subowo (2022)</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Analisis Pengaruh CAR, NPL, dan Penyaluran Kredit terhadap Profitabilitas Perbankan</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CAR, NPL, Kredit; Y: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Linier Berganda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CAR berpengaruh positif signifikan terhadap ROA; NPL berpengaruh negatif signifikan terhadap profitabilitas.</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10</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Haryanto</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Sudarno (2023)</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Analisis Faktor-faktor Penentu Profitabilitas Bank Umum Konvensional di Indonesia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CAR, NPL, BOPO, NIM, LDR; Y: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Data Panel (FEM)</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CAR dan NIM berpengaruh positif signifikan terhadap ROA; NPL dan BOPO berpengaruh negatif signifikan.</w:t>
            </w:r>
          </w:p>
        </w:tc>
      </w:tr>
    </w:tbl>
    <w:p>
      <w:pPr>
        <w:spacing w:before="80" w:after="240" w:lineRule="auto" w:line="360"/>
        <w:jc w:val="left"/>
      </w:pPr>
      <w:r>
        <w:rPr>
          <w:rFonts w:ascii="Times New Roman" w:hAnsi="Times New Roman" w:cs="Times New Roman"/>
          <w:rFonts w:ascii="Times New Roman" w:hAnsi="Times New Roman"/>
          <w:b w:val="0"/>
          <w:i/>
          <w:sz w:val="20"/>
        </w:rPr>
        <w:t>Sumber: Dikompilasi dan disintesis dari berbagai jurnal ilmiah bereputasi, 2024</w:t>
      </w:r>
    </w:p>
    <w:p>
      <w:pPr>
        <w:spacing w:before="240" w:after="120" w:lineRule="auto" w:line="360"/>
        <w:jc w:val="center"/>
      </w:pPr>
      <w:r>
        <w:rPr>
          <w:rFonts w:ascii="Times New Roman" w:hAnsi="Times New Roman" w:cs="Times New Roman"/>
          <w:rFonts w:ascii="Times New Roman" w:hAnsi="Times New Roman"/>
          <w:b/>
          <w:i w:val="0"/>
          <w:sz w:val="22"/>
        </w:rPr>
        <w:t>Matriks Sintesis Penelitian Terdahulu (Bagian 3: Penelitian 11–15)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82"/>
        <w:gridCol w:w="1182"/>
        <w:gridCol w:w="1182"/>
        <w:gridCol w:w="1182"/>
        <w:gridCol w:w="1182"/>
        <w:gridCol w:w="1182"/>
        <w:gridCol w:w="1182"/>
      </w:tblGrid>
      <w:tr>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|c|&gt;p2.3cm|&gt;X|&gt;p1.9cm|&gt;p1.8cm|&gt;X|</w:t>
              <w:br/>
              <w:t xml:space="preserve"> </w:t>
              <w:br/>
              <w:t xml:space="preserve"> **No**</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**Penulis</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Tahun**</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**Judul Penelitian**</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**Variabel**</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**Metode**</w:t>
            </w:r>
          </w:p>
        </w:tc>
        <w:tc>
          <w:tcPr>
            <w:tcW w:type="dxa" w:w="1182"/>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**Hasil Utama**</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11</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Zhang, Yang,</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Bi (2022)</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Green Finance, Green Innovation and Bank Performance: Evidence from Emerging Economies</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Green Finance, Innovation, NPL; Y: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Data Panel Dinamis</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Pembiayaan hijau mendorong inovasi perbankan dan meningkatkan kinerja finansial jangka panjang.</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12</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Zhou, Sun, Luo,</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Liao (2021)</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Sustainable Finance and Bank Risk: The Role of Green Credit</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Green Credit Ratio, CAR; Y: NPL, Z-score,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Panel GMM</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Penyaluran kredit hijau menurunkan risiko kebangkrutan bank dan mendukung perolehan profitabilitas aset.</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13</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Buallay (2019)</w:t>
            </w:r>
          </w:p>
        </w:tc>
        <w:tc>
          <w:tcPr>
            <w:tcW w:type="dxa" w:w="1182"/>
          </w:tcPr>
          <w:p>
            <w:pPr>
              <w:spacing w:before="60" w:after="60" w:lineRule="auto" w:line="276"/>
              <w:jc w:val="both"/>
            </w:pPr>
            <w:r>
              <w:rPr>
                <w:rFonts w:ascii="Times New Roman" w:hAnsi="Times New Roman" w:cs="Times New Roman"/>
                <w:rFonts w:ascii="Times New Roman" w:hAnsi="Times New Roman"/>
                <w:b w:val="0"/>
                <w:i/>
                <w:sz w:val="20"/>
              </w:rPr>
              <w:t>Is Sustainability Reporting Associated with Bank Performance?</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ESG Disclosure, Size, CAR; Y: ROA, ROE</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Data Panel</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Pengungkapan ESG memiliki korelasi positif signifikan dengan ROA pada sektor perbankan internasional.</w:t>
            </w:r>
          </w:p>
        </w:tc>
        <w:tc>
          <w:tcPr>
            <w:tcW w:type="dxa" w:w="1182"/>
          </w:tcP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14</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Lestari</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Purnomo (2023)</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Determinan Profitabilitas Bank KBMI 4 di Era Suku Bunga Tinggi</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CAR, NPL, BOPO, NIM; Y: ROA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Data Panel (FEM)</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CAR terbukti memperkuat ketahanan laba bank KBMI 4 menghadapi siklus pengetatan moneter.</w:t>
            </w:r>
          </w:p>
        </w:tc>
      </w:tr>
      <w:tr>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15</w:t>
            </w:r>
          </w:p>
        </w:tc>
        <w:tc>
          <w:tcPr>
            <w:tcW w:type="dxa" w:w="1182"/>
          </w:tcPr>
          <w:p>
            <w:pPr>
              <w:spacing w:before="60" w:after="60" w:lineRule="auto" w:line="276"/>
              <w:jc w:val="center"/>
            </w:pPr>
            <w:r>
              <w:rPr>
                <w:rFonts w:ascii="Times New Roman" w:hAnsi="Times New Roman" w:cs="Times New Roman"/>
                <w:rFonts w:ascii="Times New Roman" w:hAnsi="Times New Roman"/>
                <w:b w:val="0"/>
                <w:i w:val="0"/>
                <w:sz w:val="20"/>
              </w:rPr>
              <w:t>Fitriani</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Wardani (2024)</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Implementasi Keuangan Berkelanjutan dan Kinerja Keuangan Bank Umum di Indonesia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X: Green Credit, NPL, CAR; Y: ROA, Tobin's Q</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Regresi Panel Data</w:t>
            </w:r>
          </w:p>
        </w:tc>
        <w:tc>
          <w:tcPr>
            <w:tcW w:type="dxa" w:w="1182"/>
          </w:tcPr>
          <w:p>
            <w:pPr>
              <w:spacing w:before="60" w:after="60" w:lineRule="auto" w:line="276"/>
              <w:jc w:val="both"/>
            </w:pPr>
            <w:r>
              <w:rPr>
                <w:rFonts w:ascii="Times New Roman" w:hAnsi="Times New Roman" w:cs="Times New Roman"/>
                <w:rFonts w:ascii="Times New Roman" w:hAnsi="Times New Roman"/>
                <w:b w:val="0"/>
                <w:i w:val="0"/>
                <w:sz w:val="20"/>
              </w:rPr>
              <w:t>Kredit hijau meningkatkan nilai pasar dan ROA bank umum konvensional di Indonesia.</w:t>
            </w:r>
          </w:p>
        </w:tc>
      </w:tr>
    </w:tbl>
    <w:p>
      <w:pPr>
        <w:spacing w:before="80" w:after="240" w:lineRule="auto" w:line="360"/>
        <w:jc w:val="left"/>
      </w:pPr>
      <w:r>
        <w:rPr>
          <w:rFonts w:ascii="Times New Roman" w:hAnsi="Times New Roman" w:cs="Times New Roman"/>
          <w:rFonts w:ascii="Times New Roman" w:hAnsi="Times New Roman"/>
          <w:b w:val="0"/>
          <w:i/>
          <w:sz w:val="20"/>
        </w:rPr>
        <w:t>Sumber: Dikompilasi dan disintesis dari berbagai jurnal ilmiah bereputasi, 2024</w:t>
      </w:r>
    </w:p>
    <w:p>
      <w:pPr>
        <w:spacing w:before="240" w:after="120" w:lineRule="auto" w:line="360"/>
        <w:jc w:val="both"/>
      </w:pPr>
      <w:r>
        <w:rPr>
          <w:rFonts w:ascii="Times New Roman" w:hAnsi="Times New Roman" w:cs="Times New Roman"/>
          <w:rFonts w:ascii="Times New Roman" w:hAnsi="Times New Roman"/>
          <w:b/>
          <w:i w:val="0"/>
          <w:sz w:val="24"/>
        </w:rPr>
        <w:t>Rerangka Pemikiran Konseptual</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telaah teoritis dan sintesis temuan empiris terdahulu, disusunlah rerangka pemikiran konseptual yang menggambarkan keterkaitan kausal antara variabel independen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NPL, CAR) dengan variabel dependen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sebagaimana disajikan pada Gambar 2.1:</w:t>
      </w:r>
    </w:p>
    <w:p>
      <w:pPr>
        <w:spacing w:before="0" w:after="0" w:lineRule="auto" w:line="360"/>
        <w:ind w:firstLine="709"/>
        <w:jc w:val="both"/>
      </w:pPr>
      <w:r>
        <w:rPr>
          <w:rFonts w:ascii="Times New Roman" w:hAnsi="Times New Roman" w:cs="Times New Roman"/>
          <w:rFonts w:ascii="Times New Roman" w:hAnsi="Times New Roman"/>
          <w:b w:val="0"/>
          <w:i w:val="0"/>
          <w:sz w:val="24"/>
        </w:rPr>
        <w:t>[ node distance=2.2cm, varbox/.style=rectangle, draw=black, thick, align=center, minimum width=5.2cm, minimum height=1.3cm, font=, depbox/.style=rectangle, draw=black, thick, align=center, minimum width=4.5cm, minimum height=4.2cm, font=, arrow/.style=-Stealth, thick ]</w:t>
      </w:r>
    </w:p>
    <w:p>
      <w:pPr>
        <w:spacing w:before="0" w:after="0" w:lineRule="auto" w:line="360"/>
        <w:ind w:firstLine="709"/>
        <w:jc w:val="both"/>
      </w:pPr>
      <w:r>
        <w:rPr>
          <w:rFonts w:ascii="Times New Roman" w:hAnsi="Times New Roman" w:cs="Times New Roman"/>
          <w:rFonts w:ascii="Times New Roman" w:hAnsi="Times New Roman"/>
          <w:b w:val="0"/>
          <w:i/>
          <w:sz w:val="24"/>
        </w:rPr>
        <w:t>Sumber: Dikembangkan oleh penulis berdasarkan landasan teoretis dan sintesis Pramono et al. (2022), Yin et al. (2021), Kuncoro &amp; Suhardjono (2018), dan Brigham &amp; Ehrhardt (2020).</w:t>
      </w:r>
    </w:p>
    <w:p>
      <w:pPr>
        <w:spacing w:before="240" w:after="120" w:lineRule="auto" w:line="360"/>
        <w:jc w:val="both"/>
      </w:pPr>
      <w:r>
        <w:rPr>
          <w:rFonts w:ascii="Times New Roman" w:hAnsi="Times New Roman" w:cs="Times New Roman"/>
          <w:rFonts w:ascii="Times New Roman" w:hAnsi="Times New Roman"/>
          <w:b/>
          <w:i w:val="0"/>
          <w:sz w:val="24"/>
        </w:rPr>
        <w:t>Pengembangan Hipotesis Penelitian</w:t>
      </w:r>
    </w:p>
    <w:p>
      <w:pPr>
        <w:spacing w:before="180" w:after="120" w:lineRule="auto" w:line="360"/>
        <w:jc w:val="both"/>
      </w:pPr>
      <w:r>
        <w:rPr>
          <w:rFonts w:ascii="Times New Roman" w:hAnsi="Times New Roman" w:cs="Times New Roman"/>
          <w:rFonts w:ascii="Times New Roman" w:hAnsi="Times New Roman"/>
          <w:b/>
          <w:i w:val="0"/>
          <w:sz w:val="24"/>
        </w:rPr>
        <w:t>Pengaruh Portofolio Kredit Hijau (*Green Financing</w:t>
      </w:r>
    </w:p>
    <w:p>
      <w:pPr>
        <w:spacing w:before="0" w:after="0" w:lineRule="auto" w:line="360"/>
        <w:ind w:firstLine="709"/>
        <w:jc w:val="both"/>
      </w:pPr>
      <w:r>
        <w:rPr>
          <w:rFonts w:ascii="Times New Roman" w:hAnsi="Times New Roman" w:cs="Times New Roman"/>
          <w:rFonts w:ascii="Times New Roman" w:hAnsi="Times New Roman"/>
          <w:b w:val="0"/>
          <w:i w:val="0"/>
          <w:sz w:val="24"/>
        </w:rPr>
        <w:t>)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premis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(Freeman (2010)) dan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(Suchman (1995)), institusi perbankan yang proaktif dalam menyalurkan pembiayaan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akan memperoleh legitimasi sosial yang kuat serta kepercayaan tinggi dari seluruh pemangku kepentingan. Kepercayaan ini bermutasi menjadi keunggulan bersaing yang nyata, antara lain: (1) peningkatan citra positif dan reputasi korporasi yang menarik nasabah dana murah (CASA); (2) kemudahan dalam menerbitkan obligasi hijau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 dan instrumen pendanaan ESG global dengan kupon bunga yang lebih rendah; dan (3) kualitas debitur hijau yang memiliki risiko kegagalan operasional lebih kecil dalam menghadapi regulasi lingkungan di masa depan. Meskipun terdapat biaya kepatuhan di awal, efisiensi pendanaan dan keunggulan marjin yang tercipta secara bersih meningkatkan laba sebelum pajak terhadap total aset perbankan.</w:t>
      </w:r>
    </w:p>
    <w:p>
      <w:pPr>
        <w:spacing w:before="0" w:after="0" w:lineRule="auto" w:line="360"/>
        <w:ind w:firstLine="709"/>
        <w:jc w:val="both"/>
      </w:pPr>
      <w:r>
        <w:rPr>
          <w:rFonts w:ascii="Times New Roman" w:hAnsi="Times New Roman" w:cs="Times New Roman"/>
          <w:rFonts w:ascii="Times New Roman" w:hAnsi="Times New Roman"/>
          <w:b w:val="0"/>
          <w:i w:val="0"/>
          <w:sz w:val="24"/>
        </w:rPr>
        <w:t>Temuan empiris dari Pramono et al. (2022) pada sektor perbankan Indonesia menunjukkan bahwa rasio pembiayaan hijau berasosiasi positif dan signifikan terhadap ROA. Hal ini diperkuat oleh riset Yin et al. (2021) dan Sun et al. (2021) di Tiongkok serta Sari &amp; Astuti (2023) dan Wulandari &amp; Rahardjo (2022) di Indonesia yang mengonfirmasi bahwa alokasi kredit hijau berasosiasi dengan peningkatan efisiensi dan profitabilitas bank. Berdasarkan landasan teori dan bukti empiris tersebut, maka dirumuskan hipotesis pertama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H_1:</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Portofolio Kredit Hijau (Green Financing) berpengaruh positif dan signifikan terhadap Profitabilitas (Return on Assets / ROA) pada Bank KBMI 4 di Indonesia periode 2021–2025.</w:t>
      </w:r>
    </w:p>
    <w:p>
      <w:pPr>
        <w:spacing w:before="180" w:after="120" w:lineRule="auto" w:line="360"/>
        <w:jc w:val="both"/>
      </w:pPr>
      <w:r>
        <w:rPr>
          <w:rFonts w:ascii="Times New Roman" w:hAnsi="Times New Roman" w:cs="Times New Roman"/>
          <w:rFonts w:ascii="Times New Roman" w:hAnsi="Times New Roman"/>
          <w:b/>
          <w:i w:val="0"/>
          <w:sz w:val="24"/>
        </w:rPr>
        <w:t>Pengaruh *Non-Performing Loan</w:t>
      </w:r>
    </w:p>
    <w:p>
      <w:pPr>
        <w:spacing w:before="0" w:after="0" w:lineRule="auto" w:line="360"/>
        <w:ind w:firstLine="709"/>
        <w:jc w:val="both"/>
      </w:pPr>
      <w:r>
        <w:rPr>
          <w:rFonts w:ascii="Times New Roman" w:hAnsi="Times New Roman" w:cs="Times New Roman"/>
          <w:rFonts w:ascii="Times New Roman" w:hAnsi="Times New Roman"/>
          <w:b w:val="0"/>
          <w:i w:val="0"/>
          <w:sz w:val="24"/>
        </w:rPr>
        <w:t>(NPL)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Teori Intermediasi Finansial (Gurley &amp; Shaw (1960), Diamond1984), kualitas aktiva produktif merupakan pilar determinan utama kesehatan finansial bank. Rasio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yang meningkat mencerminkan memburuknya kualitas portofolio kredit bank, di mana debitur mengalami gagal bayar atas pokok dan/atau bunga pinjaman. Secara mekanistik akuntansi perbankan, kenaikan NPL menggerus laba bank melalui dua mekanisme utama: pertama, penurunan penerimaan pendapatan bunga (</w:t>
      </w:r>
      <w:r>
        <w:rPr>
          <w:rFonts w:ascii="Times New Roman" w:hAnsi="Times New Roman" w:cs="Times New Roman"/>
          <w:rFonts w:ascii="Times New Roman" w:hAnsi="Times New Roman"/>
          <w:b w:val="0"/>
          <w:i/>
          <w:sz w:val="24"/>
        </w:rPr>
        <w:t>interest income</w:t>
      </w:r>
      <w:r>
        <w:rPr>
          <w:rFonts w:ascii="Times New Roman" w:hAnsi="Times New Roman" w:cs="Times New Roman"/>
          <w:rFonts w:ascii="Times New Roman" w:hAnsi="Times New Roman"/>
          <w:b w:val="0"/>
          <w:i w:val="0"/>
          <w:sz w:val="24"/>
        </w:rPr>
        <w:t>) yang merupakan komponen utama pendapatan operasional bank; kedua, keharusan bank membentuk beban penyisihan Cadangan Kerugian Penurunan Nilai (CKPN) yang lebih tinggi sesuai PSAK 71. Beban CKPN dibebankan langsung pada laporan laba rugi tahun berjalan, sehingga secara instan memangkas laba sebelum pajak dan menurunkan ROA.</w:t>
      </w:r>
    </w:p>
    <w:p>
      <w:pPr>
        <w:spacing w:before="0" w:after="0" w:lineRule="auto" w:line="360"/>
        <w:ind w:firstLine="709"/>
        <w:jc w:val="both"/>
      </w:pPr>
      <w:r>
        <w:rPr>
          <w:rFonts w:ascii="Times New Roman" w:hAnsi="Times New Roman" w:cs="Times New Roman"/>
          <w:rFonts w:ascii="Times New Roman" w:hAnsi="Times New Roman"/>
          <w:b w:val="0"/>
          <w:i w:val="0"/>
          <w:sz w:val="24"/>
        </w:rPr>
        <w:t>Secara empiris, hubungan negatif antara NPL dan profitabilitas perbankan telah dibuktikan secara konsisten oleh berbagai penelitian terdahulu, di antaranya Pradita &amp; Syaichu (2022), Handayani &amp; Subowo (2022), Haryanto &amp; Sudarno (2023), serta Kuncoro &amp; Suhardjono (2018). Semakin tinggi rasio NPL, semakin tertekan kinerja profitabilitas (ROA) bank. Berdasarkan argumen teoritis dan temuan empiris tersebut, maka dirumuskan hipotesis kedua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H_2:</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 (NPL) berpengaruh negatif dan signifikan terhadap Profitabilitas (Return on Assets / ROA) pada Bank KBMI 4 di Indonesia periode 2021–2025.</w:t>
      </w:r>
    </w:p>
    <w:p>
      <w:pPr>
        <w:spacing w:before="180" w:after="120" w:lineRule="auto" w:line="360"/>
        <w:jc w:val="both"/>
      </w:pPr>
      <w:r>
        <w:rPr>
          <w:rFonts w:ascii="Times New Roman" w:hAnsi="Times New Roman" w:cs="Times New Roman"/>
          <w:rFonts w:ascii="Times New Roman" w:hAnsi="Times New Roman"/>
          <w:b/>
          <w:i w:val="0"/>
          <w:sz w:val="24"/>
        </w:rPr>
        <w:t>Pengaruh *Capital Adequacy Ratio</w:t>
      </w:r>
    </w:p>
    <w:p>
      <w:pPr>
        <w:spacing w:before="0" w:after="0" w:lineRule="auto" w:line="360"/>
        <w:ind w:firstLine="709"/>
        <w:jc w:val="both"/>
      </w:pPr>
      <w:r>
        <w:rPr>
          <w:rFonts w:ascii="Times New Roman" w:hAnsi="Times New Roman" w:cs="Times New Roman"/>
          <w:rFonts w:ascii="Times New Roman" w:hAnsi="Times New Roman"/>
          <w:b w:val="0"/>
          <w:i w:val="0"/>
          <w:sz w:val="24"/>
        </w:rPr>
        <w:t>(CAR)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teori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 xml:space="preserve"> (Brigham &amp; Ehrhardt (2020)) dan kerangka regulasi </w:t>
      </w:r>
      <w:r>
        <w:rPr>
          <w:rFonts w:ascii="Times New Roman" w:hAnsi="Times New Roman" w:cs="Times New Roman"/>
          <w:rFonts w:ascii="Times New Roman" w:hAnsi="Times New Roman"/>
          <w:b w:val="0"/>
          <w:i/>
          <w:sz w:val="24"/>
        </w:rPr>
        <w:t>Basel III</w:t>
      </w:r>
      <w:r>
        <w:rPr>
          <w:rFonts w:ascii="Times New Roman" w:hAnsi="Times New Roman" w:cs="Times New Roman"/>
          <w:rFonts w:ascii="Times New Roman" w:hAnsi="Times New Roman"/>
          <w:b w:val="0"/>
          <w:i w:val="0"/>
          <w:sz w:val="24"/>
        </w:rPr>
        <w:t xml:space="preserve">, permodalan yang kuat dan kokoh merupakan fondasi utama operasional perbankan. Rasio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yang tinggi menunjukkan bahwa bank memiliki kapasitas modal yang sangat memadai untuk menyerap potensi kerugian tak terduga (</w:t>
      </w:r>
      <w:r>
        <w:rPr>
          <w:rFonts w:ascii="Times New Roman" w:hAnsi="Times New Roman" w:cs="Times New Roman"/>
          <w:rFonts w:ascii="Times New Roman" w:hAnsi="Times New Roman"/>
          <w:b w:val="0"/>
          <w:i/>
          <w:sz w:val="24"/>
        </w:rPr>
        <w:t>unexpected losses</w:t>
      </w:r>
      <w:r>
        <w:rPr>
          <w:rFonts w:ascii="Times New Roman" w:hAnsi="Times New Roman" w:cs="Times New Roman"/>
          <w:rFonts w:ascii="Times New Roman" w:hAnsi="Times New Roman"/>
          <w:b w:val="0"/>
          <w:i w:val="0"/>
          <w:sz w:val="24"/>
        </w:rPr>
        <w:t>) tanpa mengganggu kelangsungan usaha bank. Modal yang kuat memberikan sinyal positif (</w:t>
      </w:r>
      <w:r>
        <w:rPr>
          <w:rFonts w:ascii="Times New Roman" w:hAnsi="Times New Roman" w:cs="Times New Roman"/>
          <w:rFonts w:ascii="Times New Roman" w:hAnsi="Times New Roman"/>
          <w:b w:val="0"/>
          <w:i/>
          <w:sz w:val="24"/>
        </w:rPr>
        <w:t>signaling theory</w:t>
      </w:r>
      <w:r>
        <w:rPr>
          <w:rFonts w:ascii="Times New Roman" w:hAnsi="Times New Roman" w:cs="Times New Roman"/>
          <w:rFonts w:ascii="Times New Roman" w:hAnsi="Times New Roman"/>
          <w:b w:val="0"/>
          <w:i w:val="0"/>
          <w:sz w:val="24"/>
        </w:rPr>
        <w:t>) kepada pasar mengenai keamanan bank, sehingga meningkatkan kepercayaan deposan, menurunkan premi risiko, dan memangkas biaya perolehan dana (</w:t>
      </w:r>
      <w:r>
        <w:rPr>
          <w:rFonts w:ascii="Times New Roman" w:hAnsi="Times New Roman" w:cs="Times New Roman"/>
          <w:rFonts w:ascii="Times New Roman" w:hAnsi="Times New Roman"/>
          <w:b w:val="0"/>
          <w:i/>
          <w:sz w:val="24"/>
        </w:rPr>
        <w:t>cost of funds</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Di samping itu, bank dengan rasio CAR yang tebal memiliki fleksibilitas dan kapasitas yang lebih leluasa untuk melakukan ekspansi aset produktif, termasuk pembiayaan proyek-proyek hijau dan korporasi berskala besar dengan marjin imbal hasil yang menguntungkan. Temuan empiris dari Lestari &amp; Purnomo (2023), Nugroho &amp; Utami (2021), Pramono et al. (2022), dan Haryanto &amp; Sudarno (2023) menunjukkan secara konsisten bahwa CAR berasosiasi positif dan signifikan terhadap ROA pada bank-bank umum konvensional di Indonesia. Berdasarkan penalaran teoritis dan dukungan bukti empiris tersebut, maka dirumuskan hipotesis ketiga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H_3:</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Capital Adequacy Ratio (CAR) berpengaruh positif dan signifikan terhadap Profitabilitas (Return on Assets / ROA) pada Bank KBMI 4 di Indonesia periode 2021–2025.</w:t>
      </w:r>
    </w:p>
    <w:p>
      <w:pPr>
        <w:spacing w:before="180" w:after="120" w:lineRule="auto" w:line="360"/>
        <w:jc w:val="both"/>
      </w:pPr>
      <w:r>
        <w:rPr>
          <w:rFonts w:ascii="Times New Roman" w:hAnsi="Times New Roman" w:cs="Times New Roman"/>
          <w:rFonts w:ascii="Times New Roman" w:hAnsi="Times New Roman"/>
          <w:b/>
          <w:i w:val="0"/>
          <w:sz w:val="24"/>
        </w:rPr>
        <w:t>Pengaruh Simultan *Green Financing</w:t>
      </w:r>
    </w:p>
    <w:p>
      <w:pPr>
        <w:spacing w:before="0" w:after="0" w:lineRule="auto" w:line="360"/>
        <w:ind w:firstLine="709"/>
        <w:jc w:val="both"/>
      </w:pPr>
      <w:r>
        <w:rPr>
          <w:rFonts w:ascii="Times New Roman" w:hAnsi="Times New Roman" w:cs="Times New Roman"/>
          <w:rFonts w:ascii="Times New Roman" w:hAnsi="Times New Roman"/>
          <w:b w:val="0"/>
          <w:i w:val="0"/>
          <w:sz w:val="24"/>
        </w:rPr>
        <w:t>, NPL, dan CAR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Secara terintegrasi, profitabilitas perbankan merupakan hasil interaksi dinamis antara strategi alokasi portofolio bisnis, efektivitas mitigasi risiko kredit, dan kecukupan struktur permodalan internal. Portofolio pembiayaan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berfungsi sebagai instrumen penciptaan nilai baru dan pendorong reputasi ESG; pengendalian rasio kredit bermasalah (NPL) berfungsi sebagai benteng perlindungan penerimaan pendapatan bunga dan pencegahan erosi laba akibat beban CKPN; sedangkan ketahanan rasio kecukupan modal (CAR) berfungsi sebagai fondasi stabilitas dan kapasitas ekspansi aset produktif.</w:t>
      </w:r>
    </w:p>
    <w:p>
      <w:pPr>
        <w:spacing w:before="0" w:after="0" w:lineRule="auto" w:line="360"/>
        <w:ind w:firstLine="709"/>
        <w:jc w:val="both"/>
      </w:pPr>
      <w:r>
        <w:rPr>
          <w:rFonts w:ascii="Times New Roman" w:hAnsi="Times New Roman" w:cs="Times New Roman"/>
          <w:rFonts w:ascii="Times New Roman" w:hAnsi="Times New Roman"/>
          <w:b w:val="0"/>
          <w:i w:val="0"/>
          <w:sz w:val="24"/>
        </w:rPr>
        <w:t>Kombinasi harmonis antara alokasi kredit hijau yang selektif, kontrol risiko kredit macet yang disiplin, serta kecukupan modal yang tangguh secara bersama-sama diharapkan menciptakan ekosistem operasional bank yang kondusif bagi pencapaian laba aset (ROA) yang optimal dan berdaya tahan tinggi terhadap siklus ekonomi. Hal ini sejalan dengan temuan Pramono et al. (2022) dan Wulandari &amp; Rahardjo (2022) yang menemukan asosiasi simultan yang signifikan dari variabel-variabel tersebut terhadap kinerja profitabilitas bank. Berdasarkan kerangka pemikiran tersebut, dirumuskan hipotesis keempat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H_4:</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Portofolio Kredit Hijau (Green Financing), Non-Performing Loan (NPL), dan Capital Adequacy Ratio (CAR) secara simultan (bersama-sama) berpengaruh signifikan terhadap Profitabilitas (Return on Assets / ROA) pada Bank KBMI 4 di Indonesia periode 2021–2025.</w:t>
      </w:r>
    </w:p>
    <w:p>
      <w:r>
        <w:br w:type="page"/>
      </w:r>
    </w:p>
    <w:p>
      <w:pPr>
        <w:spacing w:before="0" w:after="240" w:lineRule="auto" w:line="360"/>
        <w:jc w:val="center"/>
      </w:pPr>
      <w:r>
        <w:rPr>
          <w:rFonts w:ascii="Times New Roman" w:hAnsi="Times New Roman" w:cs="Times New Roman"/>
          <w:rFonts w:ascii="Times New Roman" w:hAnsi="Times New Roman"/>
          <w:b/>
          <w:i w:val="0"/>
          <w:sz w:val="24"/>
        </w:rPr>
        <w:t>BAB 3</w:t>
        <w:br/>
        <w:t>METODE PENELITIAN</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Desain Penelitian dan Paradigma Keilmuan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Penelitian ini dirancang menggunakan pendekatan </w:t>
      </w:r>
      <w:r>
        <w:rPr>
          <w:rFonts w:ascii="Times New Roman" w:hAnsi="Times New Roman" w:cs="Times New Roman"/>
          <w:rFonts w:ascii="Times New Roman" w:hAnsi="Times New Roman"/>
          <w:b/>
          <w:i w:val="0"/>
          <w:sz w:val="24"/>
        </w:rPr>
        <w:t>kuantitatif asosiatif</w:t>
      </w:r>
      <w:r>
        <w:rPr>
          <w:rFonts w:ascii="Times New Roman" w:hAnsi="Times New Roman" w:cs="Times New Roman"/>
          <w:rFonts w:ascii="Times New Roman" w:hAnsi="Times New Roman"/>
          <w:b w:val="0"/>
          <w:i w:val="0"/>
          <w:sz w:val="24"/>
        </w:rPr>
        <w:t xml:space="preserve"> yang berlandaskan pada paradigma </w:t>
      </w:r>
      <w:r>
        <w:rPr>
          <w:rFonts w:ascii="Times New Roman" w:hAnsi="Times New Roman" w:cs="Times New Roman"/>
          <w:rFonts w:ascii="Times New Roman" w:hAnsi="Times New Roman"/>
          <w:b/>
          <w:i w:val="0"/>
          <w:sz w:val="24"/>
        </w:rPr>
        <w:t>positivisme</w:t>
      </w:r>
      <w:r>
        <w:rPr>
          <w:rFonts w:ascii="Times New Roman" w:hAnsi="Times New Roman" w:cs="Times New Roman"/>
          <w:rFonts w:ascii="Times New Roman" w:hAnsi="Times New Roman"/>
          <w:b w:val="0"/>
          <w:i w:val="0"/>
          <w:sz w:val="24"/>
        </w:rPr>
        <w:t xml:space="preserve"> (Sugiyono2019). Pendekatan kuantitatif berfokus pada pengujian teori-teori objektif melalui pengujian hubungan antarvariabel yang diukur secara numerik dan dianalisis menggunakan prosedur statistik dan ekonometrika. Desain asosiatif bertujuan untuk menguji hubungan antara variabel independen, yaitu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 X_1),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 X_2),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 X_3) terhadap variabel dependen, yaitu Profitabilitas yang diproksikan dengan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(ROA / Y). Perlu dicatat bahwa desain observasional ini tidak dapat menetapkan hubungan sebab-akibat secara definitif.</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Struktur data yang digunakan dalam penelitian ini adalah </w:t>
      </w:r>
      <w:r>
        <w:rPr>
          <w:rFonts w:ascii="Times New Roman" w:hAnsi="Times New Roman" w:cs="Times New Roman"/>
          <w:rFonts w:ascii="Times New Roman" w:hAnsi="Times New Roman"/>
          <w:b/>
          <w:i w:val="0"/>
          <w:sz w:val="24"/>
        </w:rPr>
        <w:t>data panel</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panel data / pooled time-series and cross-section data</w:t>
      </w:r>
      <w:r>
        <w:rPr>
          <w:rFonts w:ascii="Times New Roman" w:hAnsi="Times New Roman" w:cs="Times New Roman"/>
          <w:rFonts w:ascii="Times New Roman" w:hAnsi="Times New Roman"/>
          <w:b w:val="0"/>
          <w:i w:val="0"/>
          <w:sz w:val="24"/>
        </w:rPr>
        <w:t>), yaitu penggabungan antara data deret waktu (</w:t>
      </w:r>
      <w:r>
        <w:rPr>
          <w:rFonts w:ascii="Times New Roman" w:hAnsi="Times New Roman" w:cs="Times New Roman"/>
          <w:rFonts w:ascii="Times New Roman" w:hAnsi="Times New Roman"/>
          <w:b w:val="0"/>
          <w:i/>
          <w:sz w:val="24"/>
        </w:rPr>
        <w:t>time-series</w:t>
      </w:r>
      <w:r>
        <w:rPr>
          <w:rFonts w:ascii="Times New Roman" w:hAnsi="Times New Roman" w:cs="Times New Roman"/>
          <w:rFonts w:ascii="Times New Roman" w:hAnsi="Times New Roman"/>
          <w:b w:val="0"/>
          <w:i w:val="0"/>
          <w:sz w:val="24"/>
        </w:rPr>
        <w:t>) selama 20 kuartal (2021–2025) dengan data lintas entitas (</w:t>
      </w:r>
      <w:r>
        <w:rPr>
          <w:rFonts w:ascii="Times New Roman" w:hAnsi="Times New Roman" w:cs="Times New Roman"/>
          <w:rFonts w:ascii="Times New Roman" w:hAnsi="Times New Roman"/>
          <w:b w:val="0"/>
          <w:i/>
          <w:sz w:val="24"/>
        </w:rPr>
        <w:t>cross-section</w:t>
      </w:r>
      <w:r>
        <w:rPr>
          <w:rFonts w:ascii="Times New Roman" w:hAnsi="Times New Roman" w:cs="Times New Roman"/>
          <w:rFonts w:ascii="Times New Roman" w:hAnsi="Times New Roman"/>
          <w:b w:val="0"/>
          <w:i w:val="0"/>
          <w:sz w:val="24"/>
        </w:rPr>
        <w:t>) sebanyak 4 bank KBMI 4, menghasilkan struktur data panel seimbang (</w:t>
      </w:r>
      <w:r>
        <w:rPr>
          <w:rFonts w:ascii="Times New Roman" w:hAnsi="Times New Roman" w:cs="Times New Roman"/>
          <w:rFonts w:ascii="Times New Roman" w:hAnsi="Times New Roman"/>
          <w:b w:val="0"/>
          <w:i/>
          <w:sz w:val="24"/>
        </w:rPr>
        <w:t>balanced panel data</w:t>
      </w:r>
      <w:r>
        <w:rPr>
          <w:rFonts w:ascii="Times New Roman" w:hAnsi="Times New Roman" w:cs="Times New Roman"/>
          <w:rFonts w:ascii="Times New Roman" w:hAnsi="Times New Roman"/>
          <w:b w:val="0"/>
          <w:i w:val="0"/>
          <w:sz w:val="24"/>
        </w:rPr>
        <w:t>).</w:t>
      </w:r>
    </w:p>
    <w:p>
      <w:pPr>
        <w:spacing w:before="240" w:after="120" w:lineRule="auto" w:line="360"/>
        <w:jc w:val="both"/>
      </w:pPr>
      <w:r>
        <w:rPr>
          <w:rFonts w:ascii="Times New Roman" w:hAnsi="Times New Roman" w:cs="Times New Roman"/>
          <w:rFonts w:ascii="Times New Roman" w:hAnsi="Times New Roman"/>
          <w:b/>
          <w:i w:val="0"/>
          <w:sz w:val="24"/>
        </w:rPr>
        <w:t>Populasi, Sampel, dan Teknik Pengambilan Sampel</w:t>
      </w:r>
    </w:p>
    <w:p>
      <w:pPr>
        <w:spacing w:before="180" w:after="120" w:lineRule="auto" w:line="360"/>
        <w:jc w:val="both"/>
      </w:pPr>
      <w:r>
        <w:rPr>
          <w:rFonts w:ascii="Times New Roman" w:hAnsi="Times New Roman" w:cs="Times New Roman"/>
          <w:rFonts w:ascii="Times New Roman" w:hAnsi="Times New Roman"/>
          <w:b/>
          <w:i w:val="0"/>
          <w:sz w:val="24"/>
        </w:rPr>
        <w:t>Populasi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Populasi sasaran dalam penelitian ini adalah seluruh Bank Umum Konvensional yang terdaftar di Bursa Efek Indonesia (BEI) selama periode pengamatan tahun 2021 sampai dengan tahun 2025.</w:t>
      </w:r>
    </w:p>
    <w:p>
      <w:pPr>
        <w:spacing w:before="180" w:after="120" w:lineRule="auto" w:line="360"/>
        <w:jc w:val="both"/>
      </w:pPr>
      <w:r>
        <w:rPr>
          <w:rFonts w:ascii="Times New Roman" w:hAnsi="Times New Roman" w:cs="Times New Roman"/>
          <w:rFonts w:ascii="Times New Roman" w:hAnsi="Times New Roman"/>
          <w:b/>
          <w:i w:val="0"/>
          <w:sz w:val="24"/>
        </w:rPr>
        <w:t>Teknik Pengambilan Sampel</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Pengambilan sampel dilakukan menggunakan teknik </w:t>
      </w:r>
      <w:r>
        <w:rPr>
          <w:rFonts w:ascii="Times New Roman" w:hAnsi="Times New Roman" w:cs="Times New Roman"/>
          <w:rFonts w:ascii="Times New Roman" w:hAnsi="Times New Roman"/>
          <w:b w:val="0"/>
          <w:i/>
          <w:sz w:val="24"/>
        </w:rPr>
        <w:t>non-probability sampling</w:t>
      </w:r>
      <w:r>
        <w:rPr>
          <w:rFonts w:ascii="Times New Roman" w:hAnsi="Times New Roman" w:cs="Times New Roman"/>
          <w:rFonts w:ascii="Times New Roman" w:hAnsi="Times New Roman"/>
          <w:b w:val="0"/>
          <w:i w:val="0"/>
          <w:sz w:val="24"/>
        </w:rPr>
        <w:t xml:space="preserve"> dengan metode </w:t>
      </w:r>
      <w:r>
        <w:rPr>
          <w:rFonts w:ascii="Times New Roman" w:hAnsi="Times New Roman" w:cs="Times New Roman"/>
          <w:rFonts w:ascii="Times New Roman" w:hAnsi="Times New Roman"/>
          <w:b/>
          <w:i w:val="0"/>
          <w:sz w:val="24"/>
        </w:rPr>
        <w:t>purposive sampling</w:t>
      </w:r>
      <w:r>
        <w:rPr>
          <w:rFonts w:ascii="Times New Roman" w:hAnsi="Times New Roman" w:cs="Times New Roman"/>
          <w:rFonts w:ascii="Times New Roman" w:hAnsi="Times New Roman"/>
          <w:b w:val="0"/>
          <w:i w:val="0"/>
          <w:sz w:val="24"/>
        </w:rPr>
        <w:t>, yaitu penentuan sampel berdasarkan kriteria pertimbangan tertentu (</w:t>
      </w:r>
      <w:r>
        <w:rPr>
          <w:rFonts w:ascii="Times New Roman" w:hAnsi="Times New Roman" w:cs="Times New Roman"/>
          <w:rFonts w:ascii="Times New Roman" w:hAnsi="Times New Roman"/>
          <w:b w:val="0"/>
          <w:i/>
          <w:sz w:val="24"/>
        </w:rPr>
        <w:t>judgment sampling</w:t>
      </w:r>
      <w:r>
        <w:rPr>
          <w:rFonts w:ascii="Times New Roman" w:hAnsi="Times New Roman" w:cs="Times New Roman"/>
          <w:rFonts w:ascii="Times New Roman" w:hAnsi="Times New Roman"/>
          <w:b w:val="0"/>
          <w:i w:val="0"/>
          <w:sz w:val="24"/>
        </w:rPr>
        <w:t>) yang diselaraskan dengan tujuan dan kebutuhan analisis penelitian (Sugiyono2019). Kriteria inklusi sampel yang ditetapkan adalah sebagai berikut: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 xml:space="preserve">Bank umum konvensional yang terdaftar di Bursa Efek Indonesia (BEI) dan masuk dalam klasifikasi </w:t>
      </w:r>
      <w:r>
        <w:rPr>
          <w:rFonts w:ascii="Times New Roman" w:hAnsi="Times New Roman" w:cs="Times New Roman"/>
          <w:rFonts w:ascii="Times New Roman" w:hAnsi="Times New Roman"/>
          <w:b/>
          <w:i w:val="0"/>
          <w:sz w:val="24"/>
        </w:rPr>
        <w:t>KBMI 4</w:t>
      </w:r>
      <w:r>
        <w:rPr>
          <w:rFonts w:ascii="Times New Roman" w:hAnsi="Times New Roman" w:cs="Times New Roman"/>
          <w:rFonts w:ascii="Times New Roman" w:hAnsi="Times New Roman"/>
          <w:b w:val="0"/>
          <w:i w:val="0"/>
          <w:sz w:val="24"/>
        </w:rPr>
        <w:t xml:space="preserve"> (Modal Inti &gt; textRp70 text Triliun) berdasarkan POJK No. 12/POJK.03/2021 secara konsisten berturut-turut selama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Menerbitkan Laporan Keuangan Tahunan (</w:t>
      </w:r>
      <w:r>
        <w:rPr>
          <w:rFonts w:ascii="Times New Roman" w:hAnsi="Times New Roman" w:cs="Times New Roman"/>
          <w:rFonts w:ascii="Times New Roman" w:hAnsi="Times New Roman"/>
          <w:b w:val="0"/>
          <w:i/>
          <w:sz w:val="24"/>
        </w:rPr>
        <w:t>Annual Report</w:t>
      </w:r>
      <w:r>
        <w:rPr>
          <w:rFonts w:ascii="Times New Roman" w:hAnsi="Times New Roman" w:cs="Times New Roman"/>
          <w:rFonts w:ascii="Times New Roman" w:hAnsi="Times New Roman"/>
          <w:b w:val="0"/>
          <w:i w:val="0"/>
          <w:sz w:val="24"/>
        </w:rPr>
        <w:t>) dan Laporan Keuangan Triwulanan publikasi resmi yang telah diaudit selama periode kuartal I-2021 sampai kuartal IV-2025 secara lengkap.</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Menerbitkan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xml:space="preserve">) tahunan yang menyajikan pengungkapan data alokasi pembiayaan Kegiatan Usaha Berwawasan Lingkungan (KUBL) /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selama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Menghasilkan laba bersih tahunan positif (tidak membukukan kerugian operasional bersih) selama seluruh periode observasi penelitian agar rasio ROA terukur secara valid dan konsisten.</w:t>
      </w:r>
    </w:p>
    <w:p>
      <w:pPr>
        <w:spacing w:before="180" w:after="120" w:lineRule="auto" w:line="360"/>
        <w:jc w:val="both"/>
      </w:pPr>
      <w:r>
        <w:rPr>
          <w:rFonts w:ascii="Times New Roman" w:hAnsi="Times New Roman" w:cs="Times New Roman"/>
          <w:rFonts w:ascii="Times New Roman" w:hAnsi="Times New Roman"/>
          <w:b/>
          <w:i w:val="0"/>
          <w:sz w:val="24"/>
        </w:rPr>
        <w:t>Sampel Final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tahapan seleksi purposive sampling dengan kriteria di atas, diperoleh sampel final sebanyak </w:t>
      </w:r>
      <w:r>
        <w:rPr>
          <w:rFonts w:ascii="Times New Roman" w:hAnsi="Times New Roman" w:cs="Times New Roman"/>
          <w:rFonts w:ascii="Times New Roman" w:hAnsi="Times New Roman"/>
          <w:b/>
          <w:i w:val="0"/>
          <w:sz w:val="24"/>
        </w:rPr>
        <w:t>4 bank umum KBMI 4</w:t>
      </w:r>
      <w:r>
        <w:rPr>
          <w:rFonts w:ascii="Times New Roman" w:hAnsi="Times New Roman" w:cs="Times New Roman"/>
          <w:rFonts w:ascii="Times New Roman" w:hAnsi="Times New Roman"/>
          <w:b w:val="0"/>
          <w:i w:val="0"/>
          <w:sz w:val="24"/>
        </w:rPr>
        <w:t>, sebagaimana disajikan pada Tabel 3.1:</w:t>
      </w:r>
    </w:p>
    <w:p>
      <w:pPr>
        <w:spacing w:before="240" w:after="120" w:lineRule="auto" w:line="360"/>
        <w:jc w:val="center"/>
      </w:pPr>
      <w:r>
        <w:rPr>
          <w:rFonts w:ascii="Times New Roman" w:hAnsi="Times New Roman" w:cs="Times New Roman"/>
          <w:rFonts w:ascii="Times New Roman" w:hAnsi="Times New Roman"/>
          <w:b/>
          <w:i w:val="0"/>
          <w:sz w:val="22"/>
        </w:rPr>
        <w:t>Daftar Entitas Sampel Penelitian Bank KBMI 4</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54"/>
        <w:gridCol w:w="1654"/>
        <w:gridCol w:w="1654"/>
        <w:gridCol w:w="1654"/>
        <w:gridCol w:w="1654"/>
      </w:tblGrid>
      <w:tr>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|c|c|&gt;X|c|c|</w:t>
              <w:br/>
              <w:t xml:space="preserve"> </w:t>
              <w:br/>
              <w:t xml:space="preserve"> **No**</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**Kode Saham**</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**Nama Entitas Perbankan**</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**Kategori KBMI**</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**Periode Observasi**</w:t>
            </w:r>
          </w:p>
        </w:tc>
      </w:tr>
      <w:tr>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1</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BBRI</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PT Bank Rakyat Indonesia (Persero) Tbk</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KBMI 4</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2021-Q1 s.d. 2025-Q4</w:t>
            </w:r>
          </w:p>
        </w:tc>
      </w:tr>
      <w:tr>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2</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BMRI</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PT Bank Mandiri (Persero) Tbk</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KBMI 4</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2021-Q1 s.d. 2025-Q4</w:t>
            </w:r>
          </w:p>
        </w:tc>
      </w:tr>
      <w:tr>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3</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BBCA</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PT Bank Central Asia Tbk</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KBMI 4</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2021-Q1 s.d. 2025-Q4</w:t>
            </w:r>
          </w:p>
        </w:tc>
      </w:tr>
      <w:tr>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4</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BBNI</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PT Bank Negara Indonesia (Persero) Tbk</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KBMI 4</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2021-Q1 s.d. 2025-Q4</w:t>
            </w:r>
          </w:p>
        </w:tc>
      </w:tr>
    </w:tbl>
    <w:p>
      <w:pPr>
        <w:spacing w:before="80" w:after="240" w:lineRule="auto" w:line="360"/>
        <w:jc w:val="left"/>
      </w:pPr>
      <w:r>
        <w:rPr>
          <w:rFonts w:ascii="Times New Roman" w:hAnsi="Times New Roman" w:cs="Times New Roman"/>
          <w:rFonts w:ascii="Times New Roman" w:hAnsi="Times New Roman"/>
          <w:b w:val="0"/>
          <w:i/>
          <w:sz w:val="20"/>
        </w:rPr>
        <w:t>Sumber: Bursa Efek Indonesia (BEI) &amp; Laporan Otoritas Jasa Keuangan, 2025</w:t>
      </w:r>
    </w:p>
    <w:p>
      <w:pPr>
        <w:spacing w:before="0" w:after="0" w:lineRule="auto" w:line="360"/>
        <w:ind w:firstLine="709"/>
        <w:jc w:val="both"/>
      </w:pPr>
      <w:r>
        <w:rPr>
          <w:rFonts w:ascii="Times New Roman" w:hAnsi="Times New Roman" w:cs="Times New Roman"/>
          <w:rFonts w:ascii="Times New Roman" w:hAnsi="Times New Roman"/>
          <w:b w:val="0"/>
          <w:i w:val="0"/>
          <w:sz w:val="24"/>
        </w:rPr>
        <w:t>Dengan jumlah entitas bank N = 4 dan jumlah periode kuartal T = 20 (4 kuartal × 5 tahun), maka total sampel observasi panel yang dianalisis dalam penelitian ini adalah:</w:t>
      </w:r>
    </w:p>
    <w:p>
      <w:pPr>
        <w:spacing w:before="120" w:after="120" w:lineRule="auto" w:line="360"/>
        <w:jc w:val="center"/>
      </w:pPr>
      <w:r>
        <w:rPr>
          <w:rFonts w:ascii="Times New Roman" w:hAnsi="Times New Roman" w:cs="Times New Roman"/>
          <w:rFonts w:ascii="Times New Roman" w:hAnsi="Times New Roman"/>
          <w:b/>
          <w:i w:val="0"/>
          <w:sz w:val="22"/>
        </w:rPr>
        <w:t>= N × T = 4 × 20 =</w:t>
      </w:r>
    </w:p>
    <w:p>
      <w:pPr>
        <w:spacing w:before="240" w:after="120" w:lineRule="auto" w:line="360"/>
        <w:jc w:val="both"/>
      </w:pPr>
      <w:r>
        <w:rPr>
          <w:rFonts w:ascii="Times New Roman" w:hAnsi="Times New Roman" w:cs="Times New Roman"/>
          <w:rFonts w:ascii="Times New Roman" w:hAnsi="Times New Roman"/>
          <w:b/>
          <w:i w:val="0"/>
          <w:sz w:val="24"/>
        </w:rPr>
        <w:t>Jenis, Sumber, dan Teknik Pengumpulan Data</w:t>
      </w:r>
    </w:p>
    <w:p>
      <w:pPr>
        <w:spacing w:before="180" w:after="120" w:lineRule="auto" w:line="360"/>
        <w:jc w:val="both"/>
      </w:pPr>
      <w:r>
        <w:rPr>
          <w:rFonts w:ascii="Times New Roman" w:hAnsi="Times New Roman" w:cs="Times New Roman"/>
          <w:rFonts w:ascii="Times New Roman" w:hAnsi="Times New Roman"/>
          <w:b/>
          <w:i w:val="0"/>
          <w:sz w:val="24"/>
        </w:rPr>
        <w:t>Jenis Data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Jenis data yang digunakan adalah </w:t>
      </w:r>
      <w:r>
        <w:rPr>
          <w:rFonts w:ascii="Times New Roman" w:hAnsi="Times New Roman" w:cs="Times New Roman"/>
          <w:rFonts w:ascii="Times New Roman" w:hAnsi="Times New Roman"/>
          <w:b/>
          <w:i w:val="0"/>
          <w:sz w:val="24"/>
        </w:rPr>
        <w:t>data sekunder kuantitatif</w:t>
      </w:r>
      <w:r>
        <w:rPr>
          <w:rFonts w:ascii="Times New Roman" w:hAnsi="Times New Roman" w:cs="Times New Roman"/>
          <w:rFonts w:ascii="Times New Roman" w:hAnsi="Times New Roman"/>
          <w:b w:val="0"/>
          <w:i w:val="0"/>
          <w:sz w:val="24"/>
        </w:rPr>
        <w:t>, yaitu data numerik yang telah disusun dan dipublikasikan oleh pihak ketiga yang memiliki otoritas resmi.</w:t>
      </w:r>
    </w:p>
    <w:p>
      <w:pPr>
        <w:spacing w:before="180" w:after="120" w:lineRule="auto" w:line="360"/>
        <w:jc w:val="both"/>
      </w:pPr>
      <w:r>
        <w:rPr>
          <w:rFonts w:ascii="Times New Roman" w:hAnsi="Times New Roman" w:cs="Times New Roman"/>
          <w:rFonts w:ascii="Times New Roman" w:hAnsi="Times New Roman"/>
          <w:b/>
          <w:i w:val="0"/>
          <w:sz w:val="24"/>
        </w:rPr>
        <w:t>Sumber Data</w:t>
      </w:r>
    </w:p>
    <w:p>
      <w:pPr>
        <w:spacing w:before="0" w:after="0" w:lineRule="auto" w:line="360"/>
        <w:ind w:firstLine="709"/>
        <w:jc w:val="both"/>
      </w:pPr>
      <w:r>
        <w:rPr>
          <w:rFonts w:ascii="Times New Roman" w:hAnsi="Times New Roman" w:cs="Times New Roman"/>
          <w:rFonts w:ascii="Times New Roman" w:hAnsi="Times New Roman"/>
          <w:b w:val="0"/>
          <w:i w:val="0"/>
          <w:sz w:val="24"/>
        </w:rPr>
        <w:t>Data sekunder diperoleh dari sumber-sumber resmi yang dapat dipertanggungjawabkan validitasnya, antara lain: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Laporan Keuangan Publikasi Triwulanan dan Tahunan (</w:t>
      </w:r>
      <w:r>
        <w:rPr>
          <w:rFonts w:ascii="Times New Roman" w:hAnsi="Times New Roman" w:cs="Times New Roman"/>
          <w:rFonts w:ascii="Times New Roman" w:hAnsi="Times New Roman"/>
          <w:b w:val="0"/>
          <w:i/>
          <w:sz w:val="24"/>
        </w:rPr>
        <w:t>Annual Report</w:t>
      </w:r>
      <w:r>
        <w:rPr>
          <w:rFonts w:ascii="Times New Roman" w:hAnsi="Times New Roman" w:cs="Times New Roman"/>
          <w:rFonts w:ascii="Times New Roman" w:hAnsi="Times New Roman"/>
          <w:b w:val="0"/>
          <w:i w:val="0"/>
          <w:sz w:val="24"/>
        </w:rPr>
        <w:t xml:space="preserve">) masing-masing bank yang diunduh dari situs resmi Bursa Efek Indonesia (www.idx.co.id) dan portal </w:t>
      </w:r>
      <w:r>
        <w:rPr>
          <w:rFonts w:ascii="Times New Roman" w:hAnsi="Times New Roman" w:cs="Times New Roman"/>
          <w:rFonts w:ascii="Times New Roman" w:hAnsi="Times New Roman"/>
          <w:b w:val="0"/>
          <w:i/>
          <w:sz w:val="24"/>
        </w:rPr>
        <w:t>Investor Relations</w:t>
      </w:r>
      <w:r>
        <w:rPr>
          <w:rFonts w:ascii="Times New Roman" w:hAnsi="Times New Roman" w:cs="Times New Roman"/>
          <w:rFonts w:ascii="Times New Roman" w:hAnsi="Times New Roman"/>
          <w:b w:val="0"/>
          <w:i w:val="0"/>
          <w:sz w:val="24"/>
        </w:rPr>
        <w:t xml:space="preserve"> perbankan terkait.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tahunan masing-masing bank periode 2021–2025.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Statistik Perbankan Indonesia (SPI) yang diterbitkan secara berkala oleh Otoritas Jasa Keuangan (www.ojk.go.id).</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Publikasi indikator makroekonomi dan suku bunga acuan dari Bank Indonesia (www.bi.go.id).</w:t>
      </w:r>
    </w:p>
    <w:p>
      <w:pPr>
        <w:spacing w:before="180" w:after="120" w:lineRule="auto" w:line="360"/>
        <w:jc w:val="both"/>
      </w:pPr>
      <w:r>
        <w:rPr>
          <w:rFonts w:ascii="Times New Roman" w:hAnsi="Times New Roman" w:cs="Times New Roman"/>
          <w:rFonts w:ascii="Times New Roman" w:hAnsi="Times New Roman"/>
          <w:b/>
          <w:i w:val="0"/>
          <w:sz w:val="24"/>
        </w:rPr>
        <w:t>Teknik Pengumpulan Data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Teknik pengumpulan data dilakukan melalui metode </w:t>
      </w:r>
      <w:r>
        <w:rPr>
          <w:rFonts w:ascii="Times New Roman" w:hAnsi="Times New Roman" w:cs="Times New Roman"/>
          <w:rFonts w:ascii="Times New Roman" w:hAnsi="Times New Roman"/>
          <w:b/>
          <w:i w:val="0"/>
          <w:sz w:val="24"/>
        </w:rPr>
        <w:t>dokumentasi</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i w:val="0"/>
          <w:sz w:val="24"/>
        </w:rPr>
        <w:t>studi kepustakaan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library research</w:t>
      </w:r>
      <w:r>
        <w:rPr>
          <w:rFonts w:ascii="Times New Roman" w:hAnsi="Times New Roman" w:cs="Times New Roman"/>
          <w:rFonts w:ascii="Times New Roman" w:hAnsi="Times New Roman"/>
          <w:b w:val="0"/>
          <w:i w:val="0"/>
          <w:sz w:val="24"/>
        </w:rPr>
        <w:t>), yaitu mencatat, mentabulasi, merekonsiliasi, dan menghitung angka-angka rasio keuangan dari catatan atas laporan keuangan (CALK) dan laporan keberlanjutan ke dalam format basis data ekonometrika.</w:t>
      </w:r>
    </w:p>
    <w:p>
      <w:pPr>
        <w:spacing w:before="240" w:after="120" w:lineRule="auto" w:line="360"/>
        <w:jc w:val="both"/>
      </w:pPr>
      <w:r>
        <w:rPr>
          <w:rFonts w:ascii="Times New Roman" w:hAnsi="Times New Roman" w:cs="Times New Roman"/>
          <w:rFonts w:ascii="Times New Roman" w:hAnsi="Times New Roman"/>
          <w:b/>
          <w:i w:val="0"/>
          <w:sz w:val="24"/>
        </w:rPr>
        <w:t>Operasionalisasi Variabel</w:t>
      </w:r>
    </w:p>
    <w:p>
      <w:pPr>
        <w:spacing w:before="0" w:after="0" w:lineRule="auto" w:line="360"/>
        <w:ind w:firstLine="709"/>
        <w:jc w:val="both"/>
      </w:pPr>
      <w:r>
        <w:rPr>
          <w:rFonts w:ascii="Times New Roman" w:hAnsi="Times New Roman" w:cs="Times New Roman"/>
          <w:rFonts w:ascii="Times New Roman" w:hAnsi="Times New Roman"/>
          <w:b w:val="0"/>
          <w:i w:val="0"/>
          <w:sz w:val="24"/>
        </w:rPr>
        <w:t>Operasionalisasi variabel memaparkan definisi konseptual, indikator pengukuran empiris, rumus matematis, skala data, dan sumber data dari setiap variabel penelitian, sebagaimana disajikan pada Tabel 3.2 berikut:</w:t>
      </w:r>
    </w:p>
    <w:p>
      <w:pPr>
        <w:spacing w:before="240" w:after="120" w:lineRule="auto" w:line="360"/>
        <w:jc w:val="center"/>
      </w:pPr>
      <w:r>
        <w:rPr>
          <w:rFonts w:ascii="Times New Roman" w:hAnsi="Times New Roman" w:cs="Times New Roman"/>
          <w:rFonts w:ascii="Times New Roman" w:hAnsi="Times New Roman"/>
          <w:b/>
          <w:i w:val="0"/>
          <w:sz w:val="22"/>
        </w:rPr>
        <w:t>Matriks Operasionalisasi Variabel Penelitian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54"/>
        <w:gridCol w:w="1654"/>
        <w:gridCol w:w="1654"/>
        <w:gridCol w:w="1654"/>
        <w:gridCol w:w="1654"/>
      </w:tblGrid>
      <w:tr>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|&gt;p2.1cm|&gt;X|&gt;p4.1cm|c|&gt;p2.1cm|</w:t>
              <w:br/>
              <w:t xml:space="preserve"> </w:t>
              <w:br/>
              <w:t xml:space="preserve"> **Variabel**</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**Definisi Konseptual**</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**Indikator / Rumus Matematis**</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**Skala**</w:t>
            </w:r>
          </w:p>
        </w:tc>
        <w:tc>
          <w:tcPr>
            <w:tcW w:type="dxa" w:w="1654"/>
            <w:shd w:val="clear" w:color="auto" w:fill="EBF3FB"/>
          </w:tcPr>
          <w:p>
            <w:pPr>
              <w:spacing w:before="80" w:after="80" w:lineRule="auto" w:line="360"/>
              <w:jc w:val="center"/>
            </w:pPr>
            <w:r>
              <w:rPr>
                <w:rFonts w:ascii="Times New Roman" w:hAnsi="Times New Roman" w:cs="Times New Roman"/>
                <w:rFonts w:ascii="Times New Roman" w:hAnsi="Times New Roman"/>
                <w:b/>
                <w:i w:val="0"/>
                <w:sz w:val="20"/>
              </w:rPr>
              <w:t>**Sumber Data**</w:t>
            </w:r>
          </w:p>
        </w:tc>
      </w:tr>
      <w:tr>
        <w:tc>
          <w:tcPr>
            <w:tcW w:type="dxa" w:w="1654"/>
          </w:tcPr>
          <w:p>
            <w:pPr>
              <w:spacing w:before="60" w:after="60" w:lineRule="auto" w:line="276"/>
              <w:jc w:val="center"/>
            </w:pPr>
            <w:r>
              <w:rPr>
                <w:rFonts w:ascii="Times New Roman" w:hAnsi="Times New Roman" w:cs="Times New Roman"/>
                <w:rFonts w:ascii="Times New Roman" w:hAnsi="Times New Roman"/>
                <w:b/>
                <w:i w:val="0"/>
                <w:sz w:val="20"/>
              </w:rPr>
              <w:t>Return on Assets (ROA)</w:t>
            </w:r>
            <w:r>
              <w:rPr>
                <w:rFonts w:ascii="Times New Roman" w:hAnsi="Times New Roman" w:cs="Times New Roman"/>
                <w:rFonts w:ascii="Times New Roman" w:hAnsi="Times New Roman"/>
                <w:b w:val="0"/>
                <w:i w:val="0"/>
                <w:sz w:val="20"/>
              </w:rPr>
              <w:t xml:space="preserve"> (Y)</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Kemampuan manajemen menghasilkan laba sebelum pajak dari total aktiva yang dikelola (Dendawijaya (2015))</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 = × 100</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Rasio (</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Laporan Laba Rugi Publikasi BEI</w:t>
            </w:r>
          </w:p>
        </w:tc>
      </w:tr>
      <w:tr>
        <w:tc>
          <w:tcPr>
            <w:tcW w:type="dxa" w:w="1654"/>
          </w:tcPr>
          <w:p>
            <w:pPr>
              <w:spacing w:before="60" w:after="60" w:lineRule="auto" w:line="276"/>
              <w:jc w:val="center"/>
            </w:pPr>
            <w:r>
              <w:rPr>
                <w:rFonts w:ascii="Times New Roman" w:hAnsi="Times New Roman" w:cs="Times New Roman"/>
                <w:rFonts w:ascii="Times New Roman" w:hAnsi="Times New Roman"/>
                <w:b/>
                <w:i w:val="0"/>
                <w:sz w:val="20"/>
              </w:rPr>
              <w:t>Green Financing (GF)</w:t>
            </w:r>
            <w:r>
              <w:rPr>
                <w:rFonts w:ascii="Times New Roman" w:hAnsi="Times New Roman" w:cs="Times New Roman"/>
                <w:rFonts w:ascii="Times New Roman" w:hAnsi="Times New Roman"/>
                <w:b w:val="0"/>
                <w:i w:val="0"/>
                <w:sz w:val="20"/>
              </w:rPr>
              <w:t xml:space="preserve"> (X_1)</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Porsi alokasi kredit pembiayaan Kegiatan Usaha Berwawasan Lingkungan terhadap total kredit (OJK (2017))</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 = × 100</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Rasio (</w:t>
            </w:r>
          </w:p>
        </w:tc>
        <w:tc>
          <w:tcPr>
            <w:tcW w:type="dxa" w:w="1654"/>
          </w:tcPr>
          <w:p>
            <w:pPr>
              <w:spacing w:before="60" w:after="60" w:lineRule="auto" w:line="276"/>
              <w:jc w:val="both"/>
            </w:pPr>
            <w:r>
              <w:rPr>
                <w:rFonts w:ascii="Times New Roman" w:hAnsi="Times New Roman" w:cs="Times New Roman"/>
                <w:rFonts w:ascii="Times New Roman" w:hAnsi="Times New Roman"/>
                <w:b w:val="0"/>
                <w:i/>
                <w:sz w:val="20"/>
              </w:rPr>
              <w:t>Sustainability Report</w:t>
            </w:r>
          </w:p>
        </w:tc>
      </w:tr>
      <w:tr>
        <w:tc>
          <w:tcPr>
            <w:tcW w:type="dxa" w:w="1654"/>
          </w:tcPr>
          <w:p>
            <w:pPr>
              <w:spacing w:before="60" w:after="60" w:lineRule="auto" w:line="276"/>
              <w:jc w:val="center"/>
            </w:pPr>
            <w:r>
              <w:rPr>
                <w:rFonts w:ascii="Times New Roman" w:hAnsi="Times New Roman" w:cs="Times New Roman"/>
                <w:rFonts w:ascii="Times New Roman" w:hAnsi="Times New Roman"/>
                <w:b/>
                <w:i w:val="0"/>
                <w:sz w:val="20"/>
              </w:rPr>
              <w:t>Non-Performing Loan (NPL)</w:t>
            </w:r>
            <w:r>
              <w:rPr>
                <w:rFonts w:ascii="Times New Roman" w:hAnsi="Times New Roman" w:cs="Times New Roman"/>
                <w:rFonts w:ascii="Times New Roman" w:hAnsi="Times New Roman"/>
                <w:b w:val="0"/>
                <w:i w:val="0"/>
                <w:sz w:val="20"/>
              </w:rPr>
              <w:t xml:space="preserve"> (X_2)</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Rasio kredit bermasalah (Kolektibilitas 3, 4, 5) terhadap total penyaluran kredit (Kuncoro &amp; Suhardjono (2018))</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 = × 100</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Rasio (</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Laporan Keuangan Publikasi / CALK</w:t>
            </w:r>
          </w:p>
        </w:tc>
      </w:tr>
      <w:tr>
        <w:tc>
          <w:tcPr>
            <w:tcW w:type="dxa" w:w="1654"/>
          </w:tcPr>
          <w:p>
            <w:pPr>
              <w:spacing w:before="60" w:after="60" w:lineRule="auto" w:line="276"/>
              <w:jc w:val="center"/>
            </w:pPr>
            <w:r>
              <w:rPr>
                <w:rFonts w:ascii="Times New Roman" w:hAnsi="Times New Roman" w:cs="Times New Roman"/>
                <w:rFonts w:ascii="Times New Roman" w:hAnsi="Times New Roman"/>
                <w:b/>
                <w:i w:val="0"/>
                <w:sz w:val="20"/>
              </w:rPr>
              <w:t>Capital Adequacy Ratio (CAR)</w:t>
            </w:r>
            <w:r>
              <w:rPr>
                <w:rFonts w:ascii="Times New Roman" w:hAnsi="Times New Roman" w:cs="Times New Roman"/>
                <w:rFonts w:ascii="Times New Roman" w:hAnsi="Times New Roman"/>
                <w:b w:val="0"/>
                <w:i w:val="0"/>
                <w:sz w:val="20"/>
              </w:rPr>
              <w:t xml:space="preserve"> (X_3)</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Rasio kecukupan modal bank dalam menanggung risiko aktiva tertimbang (Brigham &amp; Ehrhardt (2020))</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 = × 100</w:t>
            </w:r>
          </w:p>
        </w:tc>
        <w:tc>
          <w:tcPr>
            <w:tcW w:type="dxa" w:w="1654"/>
          </w:tcPr>
          <w:p>
            <w:pPr>
              <w:spacing w:before="60" w:after="60" w:lineRule="auto" w:line="276"/>
              <w:jc w:val="center"/>
            </w:pPr>
            <w:r>
              <w:rPr>
                <w:rFonts w:ascii="Times New Roman" w:hAnsi="Times New Roman" w:cs="Times New Roman"/>
                <w:rFonts w:ascii="Times New Roman" w:hAnsi="Times New Roman"/>
                <w:b w:val="0"/>
                <w:i w:val="0"/>
                <w:sz w:val="20"/>
              </w:rPr>
              <w:t>Rasio (</w:t>
            </w:r>
          </w:p>
        </w:tc>
        <w:tc>
          <w:tcPr>
            <w:tcW w:type="dxa" w:w="1654"/>
          </w:tcPr>
          <w:p>
            <w:pPr>
              <w:spacing w:before="60" w:after="60" w:lineRule="auto" w:line="276"/>
              <w:jc w:val="both"/>
            </w:pPr>
            <w:r>
              <w:rPr>
                <w:rFonts w:ascii="Times New Roman" w:hAnsi="Times New Roman" w:cs="Times New Roman"/>
                <w:rFonts w:ascii="Times New Roman" w:hAnsi="Times New Roman"/>
                <w:b w:val="0"/>
                <w:i w:val="0"/>
                <w:sz w:val="20"/>
              </w:rPr>
              <w:t>Laporan Kewajiban KPMM / CALK</w:t>
            </w:r>
          </w:p>
        </w:tc>
      </w:tr>
    </w:tbl>
    <w:p>
      <w:pPr>
        <w:spacing w:before="80" w:after="240" w:lineRule="auto" w:line="360"/>
        <w:jc w:val="left"/>
      </w:pPr>
      <w:r>
        <w:rPr>
          <w:rFonts w:ascii="Times New Roman" w:hAnsi="Times New Roman" w:cs="Times New Roman"/>
          <w:rFonts w:ascii="Times New Roman" w:hAnsi="Times New Roman"/>
          <w:b w:val="0"/>
          <w:i/>
          <w:sz w:val="20"/>
        </w:rPr>
        <w:t>Sumber: Dikembangkan oleh penulis dari regulasi OJK dan literatur manajemen keuangan, 2024</w:t>
      </w:r>
    </w:p>
    <w:p>
      <w:pPr>
        <w:spacing w:before="240" w:after="120" w:lineRule="auto" w:line="360"/>
        <w:jc w:val="both"/>
      </w:pPr>
      <w:r>
        <w:rPr>
          <w:rFonts w:ascii="Times New Roman" w:hAnsi="Times New Roman" w:cs="Times New Roman"/>
          <w:rFonts w:ascii="Times New Roman" w:hAnsi="Times New Roman"/>
          <w:b/>
          <w:i w:val="0"/>
          <w:sz w:val="24"/>
        </w:rPr>
        <w:t>Spesifikasi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Untuk menguji hipotesis penelitian secara empiris, disusun persamaan model regresi data panel linier berganda sebagai berikut (Gujarati &amp; Porter (2020), Wooldridge (2020)):</w:t>
      </w:r>
    </w:p>
    <w:p>
      <w:pPr>
        <w:spacing w:before="120" w:after="120" w:lineRule="auto" w:line="360"/>
        <w:jc w:val="center"/>
      </w:pPr>
      <w:r>
        <w:rPr>
          <w:rFonts w:ascii="Times New Roman" w:hAnsi="Times New Roman" w:cs="Times New Roman"/>
          <w:rFonts w:ascii="Times New Roman" w:hAnsi="Times New Roman"/>
          <w:b/>
          <w:i w:val="0"/>
          <w:sz w:val="22"/>
        </w:rPr>
        <w:t>_it = α_i + β1 _it + β2 _it + β3 _it + ε_it</w:t>
      </w:r>
    </w:p>
    <w:p>
      <w:pPr>
        <w:spacing w:before="0" w:after="0" w:lineRule="auto" w:line="360"/>
        <w:ind w:firstLine="709"/>
        <w:jc w:val="both"/>
      </w:pPr>
      <w:r>
        <w:rPr>
          <w:rFonts w:ascii="Times New Roman" w:hAnsi="Times New Roman" w:cs="Times New Roman"/>
          <w:rFonts w:ascii="Times New Roman" w:hAnsi="Times New Roman"/>
          <w:b w:val="0"/>
          <w:i w:val="0"/>
          <w:sz w:val="24"/>
        </w:rPr>
        <w:t>Di mana: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textROA_it : Kinerja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α_i : Intersep spesifik individual masing-masing entitas bank 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β1, β2, β3 : Koefisien regresi parameter masing-masing variabel independen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textGF_it : Rasio portofolio pembiayaan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textNPL_it : Rasio kredit bermasalah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Gross)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textCAR_it : Rasio kecukupan modal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ε_it : Galat pengganggu (</w:t>
      </w:r>
      <w:r>
        <w:rPr>
          <w:rFonts w:ascii="Times New Roman" w:hAnsi="Times New Roman" w:cs="Times New Roman"/>
          <w:rFonts w:ascii="Times New Roman" w:hAnsi="Times New Roman"/>
          <w:b w:val="0"/>
          <w:i/>
          <w:sz w:val="24"/>
        </w:rPr>
        <w:t>error term</w:t>
      </w:r>
      <w:r>
        <w:rPr>
          <w:rFonts w:ascii="Times New Roman" w:hAnsi="Times New Roman" w:cs="Times New Roman"/>
          <w:rFonts w:ascii="Times New Roman" w:hAnsi="Times New Roman"/>
          <w:b w:val="0"/>
          <w:i w:val="0"/>
          <w:sz w:val="24"/>
        </w:rPr>
        <w:t>) gabungan waktu dan individu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i : Entitas unit cross-section (1 = textBBRI, 2 = textBMRI, 3 = textBBCA, 4 = textBBNI)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 : Periode waktu kuartalan (t = 1, 2, dots, 20, melambangkan Q1-2021 s.d. Q4-2025)</w:t>
      </w:r>
    </w:p>
    <w:p>
      <w:pPr>
        <w:spacing w:before="240" w:after="120" w:lineRule="auto" w:line="360"/>
        <w:jc w:val="both"/>
      </w:pPr>
      <w:r>
        <w:rPr>
          <w:rFonts w:ascii="Times New Roman" w:hAnsi="Times New Roman" w:cs="Times New Roman"/>
          <w:rFonts w:ascii="Times New Roman" w:hAnsi="Times New Roman"/>
          <w:b/>
          <w:i w:val="0"/>
          <w:sz w:val="24"/>
        </w:rPr>
        <w:t>Tahapan Analisis Data dan Uji Ekonometrika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Pengolahan dan pengujian data dilakukan secara sistematis menggunakan bantuan perangkat lunak ekonometrika </w:t>
      </w:r>
      <w:r>
        <w:rPr>
          <w:rFonts w:ascii="Times New Roman" w:hAnsi="Times New Roman" w:cs="Times New Roman"/>
          <w:rFonts w:ascii="Times New Roman" w:hAnsi="Times New Roman"/>
          <w:b/>
          <w:i w:val="0"/>
          <w:sz w:val="24"/>
        </w:rPr>
        <w:t>EViews 12</w:t>
      </w:r>
      <w:r>
        <w:rPr>
          <w:rFonts w:ascii="Times New Roman" w:hAnsi="Times New Roman" w:cs="Times New Roman"/>
          <w:rFonts w:ascii="Times New Roman" w:hAnsi="Times New Roman"/>
          <w:b w:val="0"/>
          <w:i w:val="0"/>
          <w:sz w:val="24"/>
        </w:rPr>
        <w:t>, melalui tahapan-tahapan sebagai berikut:</w:t>
      </w:r>
    </w:p>
    <w:p>
      <w:pPr>
        <w:spacing w:before="180" w:after="120" w:lineRule="auto" w:line="360"/>
        <w:jc w:val="both"/>
      </w:pPr>
      <w:r>
        <w:rPr>
          <w:rFonts w:ascii="Times New Roman" w:hAnsi="Times New Roman" w:cs="Times New Roman"/>
          <w:rFonts w:ascii="Times New Roman" w:hAnsi="Times New Roman"/>
          <w:b/>
          <w:i w:val="0"/>
          <w:sz w:val="24"/>
        </w:rPr>
        <w:t>Analisis Statistik Deskriptif</w:t>
      </w:r>
    </w:p>
    <w:p>
      <w:pPr>
        <w:spacing w:before="0" w:after="0" w:lineRule="auto" w:line="360"/>
        <w:ind w:firstLine="709"/>
        <w:jc w:val="both"/>
      </w:pPr>
      <w:r>
        <w:rPr>
          <w:rFonts w:ascii="Times New Roman" w:hAnsi="Times New Roman" w:cs="Times New Roman"/>
          <w:rFonts w:ascii="Times New Roman" w:hAnsi="Times New Roman"/>
          <w:b w:val="0"/>
          <w:i w:val="0"/>
          <w:sz w:val="24"/>
        </w:rPr>
        <w:t>Statistik deskriptif digunakan untuk menyajikan karakteristik distribusi data secara komprehensif, mencakup nilai rata-rata hitung (</w:t>
      </w:r>
      <w:r>
        <w:rPr>
          <w:rFonts w:ascii="Times New Roman" w:hAnsi="Times New Roman" w:cs="Times New Roman"/>
          <w:rFonts w:ascii="Times New Roman" w:hAnsi="Times New Roman"/>
          <w:b w:val="0"/>
          <w:i/>
          <w:sz w:val="24"/>
        </w:rPr>
        <w:t>mean</w:t>
      </w:r>
      <w:r>
        <w:rPr>
          <w:rFonts w:ascii="Times New Roman" w:hAnsi="Times New Roman" w:cs="Times New Roman"/>
          <w:rFonts w:ascii="Times New Roman" w:hAnsi="Times New Roman"/>
          <w:b w:val="0"/>
          <w:i w:val="0"/>
          <w:sz w:val="24"/>
        </w:rPr>
        <w:t>), nilai tengah (</w:t>
      </w:r>
      <w:r>
        <w:rPr>
          <w:rFonts w:ascii="Times New Roman" w:hAnsi="Times New Roman" w:cs="Times New Roman"/>
          <w:rFonts w:ascii="Times New Roman" w:hAnsi="Times New Roman"/>
          <w:b w:val="0"/>
          <w:i/>
          <w:sz w:val="24"/>
        </w:rPr>
        <w:t>median</w:t>
      </w:r>
      <w:r>
        <w:rPr>
          <w:rFonts w:ascii="Times New Roman" w:hAnsi="Times New Roman" w:cs="Times New Roman"/>
          <w:rFonts w:ascii="Times New Roman" w:hAnsi="Times New Roman"/>
          <w:b w:val="0"/>
          <w:i w:val="0"/>
          <w:sz w:val="24"/>
        </w:rPr>
        <w:t>), nilai tertinggi (</w:t>
      </w:r>
      <w:r>
        <w:rPr>
          <w:rFonts w:ascii="Times New Roman" w:hAnsi="Times New Roman" w:cs="Times New Roman"/>
          <w:rFonts w:ascii="Times New Roman" w:hAnsi="Times New Roman"/>
          <w:b w:val="0"/>
          <w:i/>
          <w:sz w:val="24"/>
        </w:rPr>
        <w:t>maximum</w:t>
      </w:r>
      <w:r>
        <w:rPr>
          <w:rFonts w:ascii="Times New Roman" w:hAnsi="Times New Roman" w:cs="Times New Roman"/>
          <w:rFonts w:ascii="Times New Roman" w:hAnsi="Times New Roman"/>
          <w:b w:val="0"/>
          <w:i w:val="0"/>
          <w:sz w:val="24"/>
        </w:rPr>
        <w:t>), nilai terendah (</w:t>
      </w:r>
      <w:r>
        <w:rPr>
          <w:rFonts w:ascii="Times New Roman" w:hAnsi="Times New Roman" w:cs="Times New Roman"/>
          <w:rFonts w:ascii="Times New Roman" w:hAnsi="Times New Roman"/>
          <w:b w:val="0"/>
          <w:i/>
          <w:sz w:val="24"/>
        </w:rPr>
        <w:t>minimum</w:t>
      </w:r>
      <w:r>
        <w:rPr>
          <w:rFonts w:ascii="Times New Roman" w:hAnsi="Times New Roman" w:cs="Times New Roman"/>
          <w:rFonts w:ascii="Times New Roman" w:hAnsi="Times New Roman"/>
          <w:b w:val="0"/>
          <w:i w:val="0"/>
          <w:sz w:val="24"/>
        </w:rPr>
        <w:t>), ukuran penyebaran simpangan baku (</w:t>
      </w:r>
      <w:r>
        <w:rPr>
          <w:rFonts w:ascii="Times New Roman" w:hAnsi="Times New Roman" w:cs="Times New Roman"/>
          <w:rFonts w:ascii="Times New Roman" w:hAnsi="Times New Roman"/>
          <w:b w:val="0"/>
          <w:i/>
          <w:sz w:val="24"/>
        </w:rPr>
        <w:t>standard deviation</w:t>
      </w:r>
      <w:r>
        <w:rPr>
          <w:rFonts w:ascii="Times New Roman" w:hAnsi="Times New Roman" w:cs="Times New Roman"/>
          <w:rFonts w:ascii="Times New Roman" w:hAnsi="Times New Roman"/>
          <w:b w:val="0"/>
          <w:i w:val="0"/>
          <w:sz w:val="24"/>
        </w:rPr>
        <w:t>), serta ukuran kemencengan distribusi (</w:t>
      </w:r>
      <w:r>
        <w:rPr>
          <w:rFonts w:ascii="Times New Roman" w:hAnsi="Times New Roman" w:cs="Times New Roman"/>
          <w:rFonts w:ascii="Times New Roman" w:hAnsi="Times New Roman"/>
          <w:b w:val="0"/>
          <w:i/>
          <w:sz w:val="24"/>
        </w:rPr>
        <w:t>skewness</w:t>
      </w:r>
      <w:r>
        <w:rPr>
          <w:rFonts w:ascii="Times New Roman" w:hAnsi="Times New Roman" w:cs="Times New Roman"/>
          <w:rFonts w:ascii="Times New Roman" w:hAnsi="Times New Roman"/>
          <w:b w:val="0"/>
          <w:i w:val="0"/>
          <w:sz w:val="24"/>
        </w:rPr>
        <w:t>) dan keruncingan (</w:t>
      </w:r>
      <w:r>
        <w:rPr>
          <w:rFonts w:ascii="Times New Roman" w:hAnsi="Times New Roman" w:cs="Times New Roman"/>
          <w:rFonts w:ascii="Times New Roman" w:hAnsi="Times New Roman"/>
          <w:b w:val="0"/>
          <w:i/>
          <w:sz w:val="24"/>
        </w:rPr>
        <w:t>kurtosis</w:t>
      </w:r>
      <w:r>
        <w:rPr>
          <w:rFonts w:ascii="Times New Roman" w:hAnsi="Times New Roman" w:cs="Times New Roman"/>
          <w:rFonts w:ascii="Times New Roman" w:hAnsi="Times New Roman"/>
          <w:b w:val="0"/>
          <w:i w:val="0"/>
          <w:sz w:val="24"/>
        </w:rPr>
        <w:t>).</w:t>
      </w:r>
    </w:p>
    <w:p>
      <w:pPr>
        <w:spacing w:before="180" w:after="120" w:lineRule="auto" w:line="360"/>
        <w:jc w:val="both"/>
      </w:pPr>
      <w:r>
        <w:rPr>
          <w:rFonts w:ascii="Times New Roman" w:hAnsi="Times New Roman" w:cs="Times New Roman"/>
          <w:rFonts w:ascii="Times New Roman" w:hAnsi="Times New Roman"/>
          <w:b/>
          <w:i w:val="0"/>
          <w:sz w:val="24"/>
        </w:rPr>
        <w:t>Uji Stasioneritas / Unit Root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Sebelum melakukan estimasi regresi, dilakukan uji akar unit data panel (</w:t>
      </w:r>
      <w:r>
        <w:rPr>
          <w:rFonts w:ascii="Times New Roman" w:hAnsi="Times New Roman" w:cs="Times New Roman"/>
          <w:rFonts w:ascii="Times New Roman" w:hAnsi="Times New Roman"/>
          <w:b w:val="0"/>
          <w:i/>
          <w:sz w:val="24"/>
        </w:rPr>
        <w:t>panel unit root test</w:t>
      </w:r>
      <w:r>
        <w:rPr>
          <w:rFonts w:ascii="Times New Roman" w:hAnsi="Times New Roman" w:cs="Times New Roman"/>
          <w:rFonts w:ascii="Times New Roman" w:hAnsi="Times New Roman"/>
          <w:b w:val="0"/>
          <w:i w:val="0"/>
          <w:sz w:val="24"/>
        </w:rPr>
        <w:t>) untuk memastikan bahwa data tidak mengandung tren stokastik yang dapat menghasilkan regresi palsu (</w:t>
      </w:r>
      <w:r>
        <w:rPr>
          <w:rFonts w:ascii="Times New Roman" w:hAnsi="Times New Roman" w:cs="Times New Roman"/>
          <w:rFonts w:ascii="Times New Roman" w:hAnsi="Times New Roman"/>
          <w:b w:val="0"/>
          <w:i/>
          <w:sz w:val="24"/>
        </w:rPr>
        <w:t>spurious regression</w:t>
      </w:r>
      <w:r>
        <w:rPr>
          <w:rFonts w:ascii="Times New Roman" w:hAnsi="Times New Roman" w:cs="Times New Roman"/>
          <w:rFonts w:ascii="Times New Roman" w:hAnsi="Times New Roman"/>
          <w:b w:val="0"/>
          <w:i w:val="0"/>
          <w:sz w:val="24"/>
        </w:rPr>
        <w:t xml:space="preserve">). Pengujian dilakukan menggunakan metode </w:t>
      </w:r>
      <w:r>
        <w:rPr>
          <w:rFonts w:ascii="Times New Roman" w:hAnsi="Times New Roman" w:cs="Times New Roman"/>
          <w:rFonts w:ascii="Times New Roman" w:hAnsi="Times New Roman"/>
          <w:b/>
          <w:i w:val="0"/>
          <w:sz w:val="24"/>
        </w:rPr>
        <w:t>Levin, Lin &amp; Chu (LLC)</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i w:val="0"/>
          <w:sz w:val="24"/>
        </w:rPr>
        <w:t>Im, Pesaran and Shin (IPS) W-stat</w:t>
      </w:r>
      <w:r>
        <w:rPr>
          <w:rFonts w:ascii="Times New Roman" w:hAnsi="Times New Roman" w:cs="Times New Roman"/>
          <w:rFonts w:ascii="Times New Roman" w:hAnsi="Times New Roman"/>
          <w:b w:val="0"/>
          <w:i w:val="0"/>
          <w:sz w:val="24"/>
        </w:rPr>
        <w:t xml:space="preserve">. Data dinyatakan stasioner jika nilai p-value &lt; 0,05 pada tingkat level atau </w:t>
      </w:r>
      <w:r>
        <w:rPr>
          <w:rFonts w:ascii="Times New Roman" w:hAnsi="Times New Roman" w:cs="Times New Roman"/>
          <w:rFonts w:ascii="Times New Roman" w:hAnsi="Times New Roman"/>
          <w:b w:val="0"/>
          <w:i/>
          <w:sz w:val="24"/>
        </w:rPr>
        <w:t>first difference</w:t>
      </w:r>
      <w:r>
        <w:rPr>
          <w:rFonts w:ascii="Times New Roman" w:hAnsi="Times New Roman" w:cs="Times New Roman"/>
          <w:rFonts w:ascii="Times New Roman" w:hAnsi="Times New Roman"/>
          <w:b w:val="0"/>
          <w:i w:val="0"/>
          <w:sz w:val="24"/>
        </w:rPr>
        <w:t xml:space="preserve"> (Gujarati &amp; Porter (2020)).</w:t>
      </w:r>
    </w:p>
    <w:p>
      <w:pPr>
        <w:spacing w:before="180" w:after="120" w:lineRule="auto" w:line="360"/>
        <w:jc w:val="both"/>
      </w:pPr>
      <w:r>
        <w:rPr>
          <w:rFonts w:ascii="Times New Roman" w:hAnsi="Times New Roman" w:cs="Times New Roman"/>
          <w:rFonts w:ascii="Times New Roman" w:hAnsi="Times New Roman"/>
          <w:b/>
          <w:i w:val="0"/>
          <w:sz w:val="24"/>
        </w:rPr>
        <w:t>Teknik Estimasi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Dalam ekonometrika data panel, terdapat tiga pendekatan model estimasi: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Common Effect Model</w:t>
      </w:r>
      <w:r>
        <w:rPr>
          <w:rFonts w:ascii="Times New Roman" w:hAnsi="Times New Roman" w:cs="Times New Roman"/>
          <w:rFonts w:ascii="Times New Roman" w:hAnsi="Times New Roman"/>
          <w:b w:val="0"/>
          <w:i w:val="0"/>
          <w:sz w:val="24"/>
        </w:rPr>
        <w:t xml:space="preserve"> (CEM) / </w:t>
      </w:r>
      <w:r>
        <w:rPr>
          <w:rFonts w:ascii="Times New Roman" w:hAnsi="Times New Roman" w:cs="Times New Roman"/>
          <w:rFonts w:ascii="Times New Roman" w:hAnsi="Times New Roman"/>
          <w:b w:val="0"/>
          <w:i/>
          <w:sz w:val="24"/>
        </w:rPr>
        <w:t>Pooled OLS</w:t>
      </w:r>
      <w:r>
        <w:rPr>
          <w:rFonts w:ascii="Times New Roman" w:hAnsi="Times New Roman" w:cs="Times New Roman"/>
          <w:rFonts w:ascii="Times New Roman" w:hAnsi="Times New Roman"/>
          <w:b w:val="0"/>
          <w:i w:val="0"/>
          <w:sz w:val="24"/>
        </w:rPr>
        <w:t>:** Mengasumsikan bahwa perilaku antar-bank adalah homogen (tidak ada perbedaan intersep maupun kemiringan antar-entitas bank sepanjang waktu).</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 </w:t>
      </w:r>
      <w:r>
        <w:rPr>
          <w:rFonts w:ascii="Times New Roman" w:hAnsi="Times New Roman" w:cs="Times New Roman"/>
          <w:rFonts w:ascii="Times New Roman" w:hAnsi="Times New Roman"/>
          <w:b w:val="0"/>
          <w:i/>
          <w:sz w:val="24"/>
        </w:rPr>
        <w:t>Least Squares Dummy Variable</w:t>
      </w:r>
      <w:r>
        <w:rPr>
          <w:rFonts w:ascii="Times New Roman" w:hAnsi="Times New Roman" w:cs="Times New Roman"/>
          <w:rFonts w:ascii="Times New Roman" w:hAnsi="Times New Roman"/>
          <w:b w:val="0"/>
          <w:i w:val="0"/>
          <w:sz w:val="24"/>
        </w:rPr>
        <w:t xml:space="preserve"> (LSDV):*</w:t>
      </w:r>
      <w:r>
        <w:rPr>
          <w:rFonts w:ascii="Times New Roman" w:hAnsi="Times New Roman" w:cs="Times New Roman"/>
          <w:rFonts w:ascii="Times New Roman" w:hAnsi="Times New Roman"/>
          <w:b w:val="0"/>
          <w:i/>
          <w:sz w:val="24"/>
        </w:rPr>
        <w:t xml:space="preserve"> Mengasumsikan bahwa setiap bank memiliki karakteristik unik yang tidak teramati (</w:t>
      </w:r>
      <w:r>
        <w:rPr>
          <w:rFonts w:ascii="Times New Roman" w:hAnsi="Times New Roman" w:cs="Times New Roman"/>
          <w:rFonts w:ascii="Times New Roman" w:hAnsi="Times New Roman"/>
          <w:b w:val="0"/>
          <w:i w:val="0"/>
          <w:sz w:val="24"/>
        </w:rPr>
        <w:t>unobserved heterogeneity*) yang tercermin dalam perbedaan nilai intersep (α_i), namun kemiringan koefisien (β) antar-bank diasumsikan tetap.</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Random Effect Model</w:t>
      </w:r>
      <w:r>
        <w:rPr>
          <w:rFonts w:ascii="Times New Roman" w:hAnsi="Times New Roman" w:cs="Times New Roman"/>
          <w:rFonts w:ascii="Times New Roman" w:hAnsi="Times New Roman"/>
          <w:b w:val="0"/>
          <w:i w:val="0"/>
          <w:sz w:val="24"/>
        </w:rPr>
        <w:t xml:space="preserve"> (REM) / </w:t>
      </w:r>
      <w:r>
        <w:rPr>
          <w:rFonts w:ascii="Times New Roman" w:hAnsi="Times New Roman" w:cs="Times New Roman"/>
          <w:rFonts w:ascii="Times New Roman" w:hAnsi="Times New Roman"/>
          <w:b w:val="0"/>
          <w:i/>
          <w:sz w:val="24"/>
        </w:rPr>
        <w:t>Generalized Least Squares</w:t>
      </w:r>
      <w:r>
        <w:rPr>
          <w:rFonts w:ascii="Times New Roman" w:hAnsi="Times New Roman" w:cs="Times New Roman"/>
          <w:rFonts w:ascii="Times New Roman" w:hAnsi="Times New Roman"/>
          <w:b w:val="0"/>
          <w:i w:val="0"/>
          <w:sz w:val="24"/>
        </w:rPr>
        <w:t xml:space="preserve"> (GLS):*</w:t>
      </w:r>
      <w:r>
        <w:rPr>
          <w:rFonts w:ascii="Times New Roman" w:hAnsi="Times New Roman" w:cs="Times New Roman"/>
          <w:rFonts w:ascii="Times New Roman" w:hAnsi="Times New Roman"/>
          <w:b w:val="0"/>
          <w:i/>
          <w:sz w:val="24"/>
        </w:rPr>
        <w:t xml:space="preserve"> Mengasumsikan bahwa perbedaan karakteristik individual antar-bank bersifat acak dan diakomodasi sebagai bagian dari galat pengganggu (</w:t>
      </w:r>
      <w:r>
        <w:rPr>
          <w:rFonts w:ascii="Times New Roman" w:hAnsi="Times New Roman" w:cs="Times New Roman"/>
          <w:rFonts w:ascii="Times New Roman" w:hAnsi="Times New Roman"/>
          <w:b w:val="0"/>
          <w:i w:val="0"/>
          <w:sz w:val="24"/>
        </w:rPr>
        <w:t>error term*).</w:t>
      </w:r>
    </w:p>
    <w:p>
      <w:pPr>
        <w:spacing w:before="180" w:after="120" w:lineRule="auto" w:line="360"/>
        <w:jc w:val="both"/>
      </w:pPr>
      <w:r>
        <w:rPr>
          <w:rFonts w:ascii="Times New Roman" w:hAnsi="Times New Roman" w:cs="Times New Roman"/>
          <w:rFonts w:ascii="Times New Roman" w:hAnsi="Times New Roman"/>
          <w:b/>
          <w:i w:val="0"/>
          <w:sz w:val="24"/>
        </w:rPr>
        <w:t>Uji Pemilihan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Untuk menentukan model terbaik dari ketiga pendekatan di atas, dilakukan serangkaian uji formal:</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Uji Chow (</w:t>
      </w:r>
      <w:r>
        <w:rPr>
          <w:rFonts w:ascii="Times New Roman" w:hAnsi="Times New Roman" w:cs="Times New Roman"/>
          <w:rFonts w:ascii="Times New Roman" w:hAnsi="Times New Roman"/>
          <w:b w:val="0"/>
          <w:i w:val="0"/>
          <w:sz w:val="24"/>
        </w:rPr>
        <w:t>Chow Test</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Menguji perbandingan kelayakan antara CEM dengan FEM. Formulasi statistik uji F-Chow adalah:</w:t>
      </w:r>
    </w:p>
    <w:p>
      <w:pPr>
        <w:spacing w:before="120" w:after="120" w:lineRule="auto" w:line="360"/>
        <w:jc w:val="center"/>
      </w:pPr>
      <w:r>
        <w:rPr>
          <w:rFonts w:ascii="Times New Roman" w:hAnsi="Times New Roman" w:cs="Times New Roman"/>
          <w:rFonts w:ascii="Times New Roman" w:hAnsi="Times New Roman"/>
          <w:b/>
          <w:i w:val="0"/>
          <w:sz w:val="22"/>
        </w:rPr>
        <w:t>F_ = _ - _) / (N - 1)_ / (NT - N - K)</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Di mana textRSS adalah </w:t>
      </w:r>
      <w:r>
        <w:rPr>
          <w:rFonts w:ascii="Times New Roman" w:hAnsi="Times New Roman" w:cs="Times New Roman"/>
          <w:rFonts w:ascii="Times New Roman" w:hAnsi="Times New Roman"/>
          <w:b w:val="0"/>
          <w:i/>
          <w:sz w:val="24"/>
        </w:rPr>
        <w:t>Residual Sum of Squares</w:t>
      </w:r>
      <w:r>
        <w:rPr>
          <w:rFonts w:ascii="Times New Roman" w:hAnsi="Times New Roman" w:cs="Times New Roman"/>
          <w:rFonts w:ascii="Times New Roman" w:hAnsi="Times New Roman"/>
          <w:b w:val="0"/>
          <w:i w:val="0"/>
          <w:sz w:val="24"/>
        </w:rPr>
        <w:t>, N adalah jumlah bank (4), T adalah jumlah kuartal (20), dan K adalah jumlah variabel independen (3).</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 xml:space="preserve">H_0: </w:t>
      </w:r>
      <w:r>
        <w:rPr>
          <w:rFonts w:ascii="Times New Roman" w:hAnsi="Times New Roman" w:cs="Times New Roman"/>
          <w:rFonts w:ascii="Times New Roman" w:hAnsi="Times New Roman"/>
          <w:b w:val="0"/>
          <w:i/>
          <w:sz w:val="24"/>
        </w:rPr>
        <w:t>Common Effect Model</w:t>
      </w:r>
      <w:r>
        <w:rPr>
          <w:rFonts w:ascii="Times New Roman" w:hAnsi="Times New Roman" w:cs="Times New Roman"/>
          <w:rFonts w:ascii="Times New Roman" w:hAnsi="Times New Roman"/>
          <w:b w:val="0"/>
          <w:i w:val="0"/>
          <w:sz w:val="24"/>
        </w:rPr>
        <w:t xml:space="preserve"> (CEM) lebih tepat.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 xml:space="preserve">H_1: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lebih tepat.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Kriteria Keputusan: Jika nilai textProb. Cross-section F &lt; 0,05, maka H_0 ditolak dan FEM terpilih.</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Uji Hausman (</w:t>
      </w:r>
      <w:r>
        <w:rPr>
          <w:rFonts w:ascii="Times New Roman" w:hAnsi="Times New Roman" w:cs="Times New Roman"/>
          <w:rFonts w:ascii="Times New Roman" w:hAnsi="Times New Roman"/>
          <w:b w:val="0"/>
          <w:i w:val="0"/>
          <w:sz w:val="24"/>
        </w:rPr>
        <w:t>Hausman Test</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Menguji perbandingan kelayakan antara FEM dengan REM. Statistik uji Hausman mengikuti distribusi Chi-Square (chi^2):</w:t>
      </w:r>
    </w:p>
    <w:p>
      <w:pPr>
        <w:spacing w:before="120" w:after="120" w:lineRule="auto" w:line="360"/>
        <w:jc w:val="center"/>
      </w:pPr>
      <w:r>
        <w:rPr>
          <w:rFonts w:ascii="Times New Roman" w:hAnsi="Times New Roman" w:cs="Times New Roman"/>
          <w:rFonts w:ascii="Times New Roman" w:hAnsi="Times New Roman"/>
          <w:b/>
          <w:i w:val="0"/>
          <w:sz w:val="22"/>
        </w:rPr>
        <w:t>W = (_ - _)' ^-1 (_ - _) ^2(K)</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6. </w:t>
      </w:r>
      <w:r>
        <w:rPr>
          <w:rFonts w:ascii="Times New Roman" w:hAnsi="Times New Roman" w:cs="Times New Roman"/>
          <w:rFonts w:ascii="Times New Roman" w:hAnsi="Times New Roman"/>
          <w:b w:val="0"/>
          <w:i w:val="0"/>
          <w:sz w:val="24"/>
        </w:rPr>
        <w:t xml:space="preserve">H_0: </w:t>
      </w:r>
      <w:r>
        <w:rPr>
          <w:rFonts w:ascii="Times New Roman" w:hAnsi="Times New Roman" w:cs="Times New Roman"/>
          <w:rFonts w:ascii="Times New Roman" w:hAnsi="Times New Roman"/>
          <w:b w:val="0"/>
          <w:i/>
          <w:sz w:val="24"/>
        </w:rPr>
        <w:t>Random Effect Model</w:t>
      </w:r>
      <w:r>
        <w:rPr>
          <w:rFonts w:ascii="Times New Roman" w:hAnsi="Times New Roman" w:cs="Times New Roman"/>
          <w:rFonts w:ascii="Times New Roman" w:hAnsi="Times New Roman"/>
          <w:b w:val="0"/>
          <w:i w:val="0"/>
          <w:sz w:val="24"/>
        </w:rPr>
        <w:t xml:space="preserve"> (REM) lebih tepat (efek individu bersifat acak dan tidak berkorelasi dengan regressor).</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7. </w:t>
      </w:r>
      <w:r>
        <w:rPr>
          <w:rFonts w:ascii="Times New Roman" w:hAnsi="Times New Roman" w:cs="Times New Roman"/>
          <w:rFonts w:ascii="Times New Roman" w:hAnsi="Times New Roman"/>
          <w:b w:val="0"/>
          <w:i w:val="0"/>
          <w:sz w:val="24"/>
        </w:rPr>
        <w:t xml:space="preserve">H_1: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lebih tepat (efek individu berkorelasi dengan regressor).</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8. </w:t>
      </w:r>
      <w:r>
        <w:rPr>
          <w:rFonts w:ascii="Times New Roman" w:hAnsi="Times New Roman" w:cs="Times New Roman"/>
          <w:rFonts w:ascii="Times New Roman" w:hAnsi="Times New Roman"/>
          <w:b w:val="0"/>
          <w:i w:val="0"/>
          <w:sz w:val="24"/>
        </w:rPr>
        <w:t>Kriteria Keputusan: Jika nilai textProb. Cross-section Random &lt; 0,05, maka H_0 ditolak dan FEM ditetapkan sebagai model terbaik.</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9.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 xml:space="preserve">Uji </w:t>
      </w:r>
      <w:r>
        <w:rPr>
          <w:rFonts w:ascii="Times New Roman" w:hAnsi="Times New Roman" w:cs="Times New Roman"/>
          <w:rFonts w:ascii="Times New Roman" w:hAnsi="Times New Roman"/>
          <w:b w:val="0"/>
          <w:i w:val="0"/>
          <w:sz w:val="24"/>
        </w:rPr>
        <w:t>Lagrange Multiplier</w:t>
      </w:r>
      <w:r>
        <w:rPr>
          <w:rFonts w:ascii="Times New Roman" w:hAnsi="Times New Roman" w:cs="Times New Roman"/>
          <w:rFonts w:ascii="Times New Roman" w:hAnsi="Times New Roman"/>
          <w:b w:val="0"/>
          <w:i/>
          <w:sz w:val="24"/>
        </w:rPr>
        <w:t xml:space="preserve"> (LM Test):</w:t>
      </w:r>
      <w:r>
        <w:rPr>
          <w:rFonts w:ascii="Times New Roman" w:hAnsi="Times New Roman" w:cs="Times New Roman"/>
          <w:rFonts w:ascii="Times New Roman" w:hAnsi="Times New Roman"/>
          <w:b w:val="0"/>
          <w:i w:val="0"/>
          <w:sz w:val="24"/>
        </w:rPr>
        <w:t>* Digunakan untuk membandingkan antara CEM dengan REM berdasarkan metode Breusch-Pagan:</w:t>
      </w:r>
    </w:p>
    <w:p>
      <w:pPr>
        <w:spacing w:before="120" w:after="120" w:lineRule="auto" w:line="360"/>
        <w:jc w:val="center"/>
      </w:pPr>
      <w:r>
        <w:rPr>
          <w:rFonts w:ascii="Times New Roman" w:hAnsi="Times New Roman" w:cs="Times New Roman"/>
          <w:rFonts w:ascii="Times New Roman" w:hAnsi="Times New Roman"/>
          <w:b/>
          <w:i w:val="0"/>
          <w:sz w:val="22"/>
        </w:rPr>
        <w:t>LM = (NT / 2(T-1)) ^2 ^2(1)</w:t>
      </w:r>
    </w:p>
    <w:p>
      <w:pPr>
        <w:spacing w:before="180" w:after="120" w:lineRule="auto" w:line="360"/>
        <w:jc w:val="both"/>
      </w:pPr>
      <w:r>
        <w:rPr>
          <w:rFonts w:ascii="Times New Roman" w:hAnsi="Times New Roman" w:cs="Times New Roman"/>
          <w:rFonts w:ascii="Times New Roman" w:hAnsi="Times New Roman"/>
          <w:b/>
          <w:i w:val="0"/>
          <w:sz w:val="24"/>
        </w:rPr>
        <w:t>Uji Asumsi Klasik Ekonometrika (BLUE)</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Setelah model panel terbaik terpilih, dilakukan pengujian asumsi klasik untuk memastikan bahwa parameter estimator memenuhi kriteria </w:t>
      </w:r>
      <w:r>
        <w:rPr>
          <w:rFonts w:ascii="Times New Roman" w:hAnsi="Times New Roman" w:cs="Times New Roman"/>
          <w:rFonts w:ascii="Times New Roman" w:hAnsi="Times New Roman"/>
          <w:b w:val="0"/>
          <w:i/>
          <w:sz w:val="24"/>
        </w:rPr>
        <w:t>Best Linear Unbiased Estimator</w:t>
      </w:r>
      <w:r>
        <w:rPr>
          <w:rFonts w:ascii="Times New Roman" w:hAnsi="Times New Roman" w:cs="Times New Roman"/>
          <w:rFonts w:ascii="Times New Roman" w:hAnsi="Times New Roman"/>
          <w:b w:val="0"/>
          <w:i w:val="0"/>
          <w:sz w:val="24"/>
        </w:rPr>
        <w:t xml:space="preserve"> (BLUE) (Gujarati &amp; Porter (2020)):</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Uji Normalitas Residual:</w:t>
      </w:r>
      <w:r>
        <w:rPr>
          <w:rFonts w:ascii="Times New Roman" w:hAnsi="Times New Roman" w:cs="Times New Roman"/>
          <w:rFonts w:ascii="Times New Roman" w:hAnsi="Times New Roman"/>
          <w:b w:val="0"/>
          <w:i w:val="0"/>
          <w:sz w:val="24"/>
        </w:rPr>
        <w:t xml:space="preserve"> Menguji apakah residual model terdistribusi normal menggunakan uji </w:t>
      </w:r>
      <w:r>
        <w:rPr>
          <w:rFonts w:ascii="Times New Roman" w:hAnsi="Times New Roman" w:cs="Times New Roman"/>
          <w:rFonts w:ascii="Times New Roman" w:hAnsi="Times New Roman"/>
          <w:b/>
          <w:i w:val="0"/>
          <w:sz w:val="24"/>
        </w:rPr>
        <w:t>Jarque-Bera (JB)</w:t>
      </w:r>
      <w:r>
        <w:rPr>
          <w:rFonts w:ascii="Times New Roman" w:hAnsi="Times New Roman" w:cs="Times New Roman"/>
          <w:rFonts w:ascii="Times New Roman" w:hAnsi="Times New Roman"/>
          <w:b w:val="0"/>
          <w:i w:val="0"/>
          <w:sz w:val="24"/>
        </w:rPr>
        <w:t>:</w:t>
      </w:r>
    </w:p>
    <w:p>
      <w:pPr>
        <w:spacing w:before="120" w:after="120" w:lineRule="auto" w:line="360"/>
        <w:jc w:val="center"/>
      </w:pPr>
      <w:r>
        <w:rPr>
          <w:rFonts w:ascii="Times New Roman" w:hAnsi="Times New Roman" w:cs="Times New Roman"/>
          <w:rFonts w:ascii="Times New Roman" w:hAnsi="Times New Roman"/>
          <w:b/>
          <w:i w:val="0"/>
          <w:sz w:val="22"/>
        </w:rPr>
        <w:t>JB = (n / 6) ^2(2)</w:t>
      </w:r>
    </w:p>
    <w:p>
      <w:pPr>
        <w:spacing w:before="0" w:after="0" w:lineRule="auto" w:line="360"/>
        <w:ind w:firstLine="709"/>
        <w:jc w:val="both"/>
      </w:pPr>
      <w:r>
        <w:rPr>
          <w:rFonts w:ascii="Times New Roman" w:hAnsi="Times New Roman" w:cs="Times New Roman"/>
          <w:rFonts w:ascii="Times New Roman" w:hAnsi="Times New Roman"/>
          <w:b w:val="0"/>
          <w:i w:val="0"/>
          <w:sz w:val="24"/>
        </w:rPr>
        <w:t>Di mana n = NT = 80 adalah jumlah seluruh observasi panel, S adalah koefisien kemencengan (</w:t>
      </w:r>
      <w:r>
        <w:rPr>
          <w:rFonts w:ascii="Times New Roman" w:hAnsi="Times New Roman" w:cs="Times New Roman"/>
          <w:rFonts w:ascii="Times New Roman" w:hAnsi="Times New Roman"/>
          <w:b w:val="0"/>
          <w:i/>
          <w:sz w:val="24"/>
        </w:rPr>
        <w:t>skewness</w:t>
      </w:r>
      <w:r>
        <w:rPr>
          <w:rFonts w:ascii="Times New Roman" w:hAnsi="Times New Roman" w:cs="Times New Roman"/>
          <w:rFonts w:ascii="Times New Roman" w:hAnsi="Times New Roman"/>
          <w:b w:val="0"/>
          <w:i w:val="0"/>
          <w:sz w:val="24"/>
        </w:rPr>
        <w:t>), dan kappa adalah kurtosis. Residual dinyatakan berdistribusi normal apabila nilai textProb. JB &gt; 0,05.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Uji Multikolinearitas:</w:t>
      </w:r>
      <w:r>
        <w:rPr>
          <w:rFonts w:ascii="Times New Roman" w:hAnsi="Times New Roman" w:cs="Times New Roman"/>
          <w:rFonts w:ascii="Times New Roman" w:hAnsi="Times New Roman"/>
          <w:b w:val="0"/>
          <w:i w:val="0"/>
          <w:sz w:val="24"/>
        </w:rPr>
        <w:t xml:space="preserve"> Menguji ada tidaknya korelasi linier sempurna antarvariabel independen menggunakan nilai </w:t>
      </w:r>
      <w:r>
        <w:rPr>
          <w:rFonts w:ascii="Times New Roman" w:hAnsi="Times New Roman" w:cs="Times New Roman"/>
          <w:rFonts w:ascii="Times New Roman" w:hAnsi="Times New Roman"/>
          <w:b/>
          <w:i w:val="0"/>
          <w:sz w:val="24"/>
        </w:rPr>
        <w:t>Variance Inflation Factor (VIF)</w:t>
      </w:r>
      <w:r>
        <w:rPr>
          <w:rFonts w:ascii="Times New Roman" w:hAnsi="Times New Roman" w:cs="Times New Roman"/>
          <w:rFonts w:ascii="Times New Roman" w:hAnsi="Times New Roman"/>
          <w:b w:val="0"/>
          <w:i w:val="0"/>
          <w:sz w:val="24"/>
        </w:rPr>
        <w:t>:</w:t>
      </w:r>
    </w:p>
    <w:p>
      <w:pPr>
        <w:spacing w:before="120" w:after="120" w:lineRule="auto" w:line="360"/>
        <w:jc w:val="center"/>
      </w:pPr>
      <w:r>
        <w:rPr>
          <w:rFonts w:ascii="Times New Roman" w:hAnsi="Times New Roman" w:cs="Times New Roman"/>
          <w:rFonts w:ascii="Times New Roman" w:hAnsi="Times New Roman"/>
          <w:b/>
          <w:i w:val="0"/>
          <w:sz w:val="22"/>
        </w:rPr>
        <w:t>_j = (1 / 1 - R_j^2)</w:t>
      </w:r>
    </w:p>
    <w:p>
      <w:pPr>
        <w:spacing w:before="0" w:after="0" w:lineRule="auto" w:line="360"/>
        <w:ind w:firstLine="709"/>
        <w:jc w:val="both"/>
      </w:pPr>
      <w:r>
        <w:rPr>
          <w:rFonts w:ascii="Times New Roman" w:hAnsi="Times New Roman" w:cs="Times New Roman"/>
          <w:rFonts w:ascii="Times New Roman" w:hAnsi="Times New Roman"/>
          <w:b w:val="0"/>
          <w:i w:val="0"/>
          <w:sz w:val="24"/>
        </w:rPr>
        <w:t>Model dinyatakan bebas dari gangguan multikolinearitas apabila nilai textVIF &lt; 10.</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Uji Heteroskedastisitas:</w:t>
      </w:r>
      <w:r>
        <w:rPr>
          <w:rFonts w:ascii="Times New Roman" w:hAnsi="Times New Roman" w:cs="Times New Roman"/>
          <w:rFonts w:ascii="Times New Roman" w:hAnsi="Times New Roman"/>
          <w:b w:val="0"/>
          <w:i w:val="0"/>
          <w:sz w:val="24"/>
        </w:rPr>
        <w:t xml:space="preserve"> Menguji ada tidaknya ketidaksamaan varians residual antar-observasi menggunakan </w:t>
      </w:r>
      <w:r>
        <w:rPr>
          <w:rFonts w:ascii="Times New Roman" w:hAnsi="Times New Roman" w:cs="Times New Roman"/>
          <w:rFonts w:ascii="Times New Roman" w:hAnsi="Times New Roman"/>
          <w:b/>
          <w:i w:val="0"/>
          <w:sz w:val="24"/>
        </w:rPr>
        <w:t>Uji Glejser</w:t>
      </w:r>
      <w:r>
        <w:rPr>
          <w:rFonts w:ascii="Times New Roman" w:hAnsi="Times New Roman" w:cs="Times New Roman"/>
          <w:rFonts w:ascii="Times New Roman" w:hAnsi="Times New Roman"/>
          <w:b w:val="0"/>
          <w:i w:val="0"/>
          <w:sz w:val="24"/>
        </w:rPr>
        <w:t xml:space="preserve"> (meregresikan nilai absolut residual |e_it| terhadap variabel independen). Model dinyatakan homoskedastis apabila seluruh nilai signifikansi &gt; 0,05.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Uji Autokorelasi:</w:t>
      </w:r>
      <w:r>
        <w:rPr>
          <w:rFonts w:ascii="Times New Roman" w:hAnsi="Times New Roman" w:cs="Times New Roman"/>
          <w:rFonts w:ascii="Times New Roman" w:hAnsi="Times New Roman"/>
          <w:b w:val="0"/>
          <w:i w:val="0"/>
          <w:sz w:val="24"/>
        </w:rPr>
        <w:t xml:space="preserve"> Menguji ada tidaknya korelasi serial antar-kesalahan pengganggu menggunakan uji </w:t>
      </w:r>
      <w:r>
        <w:rPr>
          <w:rFonts w:ascii="Times New Roman" w:hAnsi="Times New Roman" w:cs="Times New Roman"/>
          <w:rFonts w:ascii="Times New Roman" w:hAnsi="Times New Roman"/>
          <w:b/>
          <w:i w:val="0"/>
          <w:sz w:val="24"/>
        </w:rPr>
        <w:t>Durbin-Watson (DW)</w:t>
      </w:r>
      <w:r>
        <w:rPr>
          <w:rFonts w:ascii="Times New Roman" w:hAnsi="Times New Roman" w:cs="Times New Roman"/>
          <w:rFonts w:ascii="Times New Roman" w:hAnsi="Times New Roman"/>
          <w:b w:val="0"/>
          <w:i w:val="0"/>
          <w:sz w:val="24"/>
        </w:rPr>
        <w:t>:</w:t>
      </w:r>
    </w:p>
    <w:p>
      <w:pPr>
        <w:spacing w:before="120" w:after="120" w:lineRule="auto" w:line="360"/>
        <w:jc w:val="center"/>
      </w:pPr>
      <w:r>
        <w:rPr>
          <w:rFonts w:ascii="Times New Roman" w:hAnsi="Times New Roman" w:cs="Times New Roman"/>
          <w:rFonts w:ascii="Times New Roman" w:hAnsi="Times New Roman"/>
          <w:b/>
          <w:i w:val="0"/>
          <w:sz w:val="22"/>
        </w:rPr>
        <w:t>d = ^T (e_t - e_t-1)^2_t=1^T e_t^2</w:t>
      </w:r>
    </w:p>
    <w:p>
      <w:pPr>
        <w:spacing w:before="0" w:after="0" w:lineRule="auto" w:line="360"/>
        <w:ind w:firstLine="709"/>
        <w:jc w:val="both"/>
      </w:pPr>
      <w:r>
        <w:rPr>
          <w:rFonts w:ascii="Times New Roman" w:hAnsi="Times New Roman" w:cs="Times New Roman"/>
          <w:rFonts w:ascii="Times New Roman" w:hAnsi="Times New Roman"/>
          <w:b w:val="0"/>
          <w:i w:val="0"/>
          <w:sz w:val="24"/>
        </w:rPr>
        <w:t>Model dinyatakan bebas autokorelasi apabila d_U &lt; d &lt; 4 - d_U.</w:t>
      </w:r>
    </w:p>
    <w:p>
      <w:pPr>
        <w:spacing w:before="180" w:after="120" w:lineRule="auto" w:line="360"/>
        <w:jc w:val="both"/>
      </w:pPr>
      <w:r>
        <w:rPr>
          <w:rFonts w:ascii="Times New Roman" w:hAnsi="Times New Roman" w:cs="Times New Roman"/>
          <w:rFonts w:ascii="Times New Roman" w:hAnsi="Times New Roman"/>
          <w:b/>
          <w:i w:val="0"/>
          <w:sz w:val="24"/>
        </w:rPr>
        <w:t>Uji Kelayakan Model dan Pengujian Hipotesis</w:t>
      </w:r>
    </w:p>
    <w:p>
      <w:pPr>
        <w:spacing w:before="0" w:after="0" w:lineRule="auto" w:line="360"/>
        <w:ind w:firstLine="709"/>
        <w:jc w:val="both"/>
      </w:pPr>
      <w:r>
        <w:rPr>
          <w:rFonts w:ascii="Times New Roman" w:hAnsi="Times New Roman" w:cs="Times New Roman"/>
          <w:rFonts w:ascii="Times New Roman" w:hAnsi="Times New Roman"/>
          <w:b w:val="0"/>
          <w:i w:val="0"/>
          <w:sz w:val="24"/>
        </w:rPr>
        <w:t>Pengujian hipotesis dilakukan pada tingkat signifikansi $α = 5</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Koefisien Determinasi (</w:t>
      </w:r>
      <w:r>
        <w:rPr>
          <w:rFonts w:ascii="Times New Roman" w:hAnsi="Times New Roman" w:cs="Times New Roman"/>
          <w:rFonts w:ascii="Times New Roman" w:hAnsi="Times New Roman"/>
          <w:b w:val="0"/>
          <w:i w:val="0"/>
          <w:sz w:val="24"/>
        </w:rPr>
        <w:t>Adjusted</w:t>
      </w:r>
      <w:r>
        <w:rPr>
          <w:rFonts w:ascii="Times New Roman" w:hAnsi="Times New Roman" w:cs="Times New Roman"/>
          <w:rFonts w:ascii="Times New Roman" w:hAnsi="Times New Roman"/>
          <w:b w:val="0"/>
          <w:i/>
          <w:sz w:val="24"/>
        </w:rPr>
        <w:t xml:space="preserve"> R^2):</w:t>
      </w:r>
      <w:r>
        <w:rPr>
          <w:rFonts w:ascii="Times New Roman" w:hAnsi="Times New Roman" w:cs="Times New Roman"/>
          <w:rFonts w:ascii="Times New Roman" w:hAnsi="Times New Roman"/>
          <w:b w:val="0"/>
          <w:i/>
          <w:sz w:val="24"/>
        </w:rPr>
      </w:r>
    </w:p>
    <w:p>
      <w:pPr>
        <w:spacing w:before="120" w:after="120" w:lineRule="auto" w:line="360"/>
        <w:jc w:val="center"/>
      </w:pPr>
      <w:r>
        <w:rPr>
          <w:rFonts w:ascii="Times New Roman" w:hAnsi="Times New Roman" w:cs="Times New Roman"/>
          <w:rFonts w:ascii="Times New Roman" w:hAnsi="Times New Roman"/>
          <w:b/>
          <w:i w:val="0"/>
          <w:sz w:val="22"/>
        </w:rPr>
        <w:t>R^2 = 1 -</w:t>
      </w:r>
    </w:p>
    <w:p>
      <w:pPr>
        <w:spacing w:before="0" w:after="0" w:lineRule="auto" w:line="360"/>
        <w:ind w:firstLine="709"/>
        <w:jc w:val="both"/>
      </w:pPr>
      <w:r>
        <w:rPr>
          <w:rFonts w:ascii="Times New Roman" w:hAnsi="Times New Roman" w:cs="Times New Roman"/>
          <w:rFonts w:ascii="Times New Roman" w:hAnsi="Times New Roman"/>
          <w:b w:val="0"/>
          <w:i w:val="0"/>
          <w:sz w:val="24"/>
        </w:rPr>
        <w:t>Di mana n = NT = 80 adalah total observasi sampel, N = 4 adalah jumlah entitas bank (parameter intersep individual), dan K = 3 adalah jumlah variabel independen parameter lereng (sehingga derajat kebebasan residu yang tepat adalah df = 80 - 4 - 3 = 73).</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Uji Signifikansi Simultan (Uji F):</w:t>
      </w:r>
    </w:p>
    <w:p>
      <w:pPr>
        <w:spacing w:before="120" w:after="120" w:lineRule="auto" w:line="360"/>
        <w:jc w:val="center"/>
      </w:pPr>
      <w:r>
        <w:rPr>
          <w:rFonts w:ascii="Times New Roman" w:hAnsi="Times New Roman" w:cs="Times New Roman"/>
          <w:rFonts w:ascii="Times New Roman" w:hAnsi="Times New Roman"/>
          <w:b/>
          <w:i w:val="0"/>
          <w:sz w:val="22"/>
        </w:rPr>
        <w:t>F = (R^2 / K / (1 - R^2) / (NT - K - 1))</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Uji Signifikansi Parsial (Uji t):</w:t>
      </w:r>
    </w:p>
    <w:p>
      <w:pPr>
        <w:spacing w:before="120" w:after="120" w:lineRule="auto" w:line="360"/>
        <w:jc w:val="center"/>
      </w:pPr>
      <w:r>
        <w:rPr>
          <w:rFonts w:ascii="Times New Roman" w:hAnsi="Times New Roman" w:cs="Times New Roman"/>
          <w:rFonts w:ascii="Times New Roman" w:hAnsi="Times New Roman"/>
          <w:b/>
          <w:i w:val="0"/>
          <w:sz w:val="22"/>
        </w:rPr>
        <w:t>t_ = _j - 0(_j)</w:t>
      </w:r>
    </w:p>
    <w:p>
      <w:pPr>
        <w:spacing w:before="180" w:after="120" w:lineRule="auto" w:line="360"/>
        <w:jc w:val="both"/>
      </w:pPr>
      <w:r>
        <w:rPr>
          <w:rFonts w:ascii="Times New Roman" w:hAnsi="Times New Roman" w:cs="Times New Roman"/>
          <w:rFonts w:ascii="Times New Roman" w:hAnsi="Times New Roman"/>
          <w:b/>
          <w:i w:val="0"/>
          <w:sz w:val="24"/>
        </w:rPr>
        <w:t>Spesifikasi Aljabar Matriks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Dalam notasi matriks komprehensif (Greene2018, Wooldridge (2020)), sistem persamaan data panel untuk N = 4 dan T = 20 (total observasi NT = 80) dapat diformulasikan sebagai:</w:t>
      </w:r>
    </w:p>
    <w:p>
      <w:pPr>
        <w:spacing w:before="120" w:after="120" w:lineRule="auto" w:line="360"/>
        <w:jc w:val="center"/>
      </w:pPr>
      <w:r>
        <w:rPr>
          <w:rFonts w:ascii="Times New Roman" w:hAnsi="Times New Roman" w:cs="Times New Roman"/>
          <w:rFonts w:ascii="Times New Roman" w:hAnsi="Times New Roman"/>
          <w:b/>
          <w:i w:val="0"/>
          <w:sz w:val="22"/>
        </w:rPr>
        <w:t>= + +</w:t>
      </w:r>
    </w:p>
    <w:p>
      <w:pPr>
        <w:spacing w:before="0" w:after="0" w:lineRule="auto" w:line="360"/>
        <w:ind w:firstLine="709"/>
        <w:jc w:val="both"/>
      </w:pPr>
      <w:r>
        <w:rPr>
          <w:rFonts w:ascii="Times New Roman" w:hAnsi="Times New Roman" w:cs="Times New Roman"/>
          <w:rFonts w:ascii="Times New Roman" w:hAnsi="Times New Roman"/>
          <w:b w:val="0"/>
          <w:i w:val="0"/>
          <w:sz w:val="24"/>
        </w:rPr>
        <w:t>Di mana:</w:t>
      </w:r>
    </w:p>
    <w:p>
      <w:pPr>
        <w:spacing w:before="120" w:after="120" w:lineRule="auto" w:line="360"/>
        <w:jc w:val="center"/>
      </w:pPr>
      <w:r>
        <w:rPr>
          <w:rFonts w:ascii="Times New Roman" w:hAnsi="Times New Roman" w:cs="Times New Roman"/>
          <w:rFonts w:ascii="Times New Roman" w:hAnsi="Times New Roman"/>
          <w:b/>
          <w:i w:val="0"/>
          <w:sz w:val="22"/>
        </w:rPr>
        <w:t>= _1   _2   _3   _4 _80 × 1, = _T &amp; &amp; &amp;   &amp; _T &amp; &amp;   &amp; &amp; _T &amp;   &amp; &amp; &amp; _T _80 × 4, = α_1   α_2   α_3   α_4 _4 × 1, = β1   β2   β3 _3 × 1</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Vektor mathbfX merepresentasikan matriks berukuran 80 × 3 yang memuat variabel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NPL Gross, dan CAR. Estimator </w:t>
      </w:r>
      <w:r>
        <w:rPr>
          <w:rFonts w:ascii="Times New Roman" w:hAnsi="Times New Roman" w:cs="Times New Roman"/>
          <w:rFonts w:ascii="Times New Roman" w:hAnsi="Times New Roman"/>
          <w:b w:val="0"/>
          <w:i/>
          <w:sz w:val="24"/>
        </w:rPr>
        <w:t>Within Transformation</w:t>
      </w:r>
      <w:r>
        <w:rPr>
          <w:rFonts w:ascii="Times New Roman" w:hAnsi="Times New Roman" w:cs="Times New Roman"/>
          <w:rFonts w:ascii="Times New Roman" w:hAnsi="Times New Roman"/>
          <w:b w:val="0"/>
          <w:i w:val="0"/>
          <w:sz w:val="24"/>
        </w:rPr>
        <w:t xml:space="preserve"> untuk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diperoleh melalui proyeksi ortogonal menggunakan matriks penyapu rata-rata mathbfQ = mathbfI_NT - mathbfD(mathbfD'mathbfD)^-1mathbfD':</w:t>
      </w:r>
    </w:p>
    <w:p>
      <w:pPr>
        <w:spacing w:before="120" w:after="120" w:lineRule="auto" w:line="360"/>
        <w:jc w:val="center"/>
      </w:pPr>
      <w:r>
        <w:rPr>
          <w:rFonts w:ascii="Times New Roman" w:hAnsi="Times New Roman" w:cs="Times New Roman"/>
          <w:rFonts w:ascii="Times New Roman" w:hAnsi="Times New Roman"/>
          <w:b/>
          <w:i w:val="0"/>
          <w:sz w:val="22"/>
        </w:rPr>
        <w:t>_ = (')^-1 '</w:t>
      </w:r>
    </w:p>
    <w:p>
      <w:pPr>
        <w:spacing w:before="0" w:after="0" w:lineRule="auto" w:line="360"/>
        <w:ind w:firstLine="709"/>
        <w:jc w:val="both"/>
      </w:pPr>
      <w:r>
        <w:rPr>
          <w:rFonts w:ascii="Times New Roman" w:hAnsi="Times New Roman" w:cs="Times New Roman"/>
          <w:rFonts w:ascii="Times New Roman" w:hAnsi="Times New Roman"/>
          <w:b w:val="0"/>
          <w:i w:val="0"/>
          <w:sz w:val="24"/>
        </w:rPr>
        <w:t>Estimator hatboldsymbolβ_textFEM bersifat konsisten dan tidak bias (</w:t>
      </w:r>
      <w:r>
        <w:rPr>
          <w:rFonts w:ascii="Times New Roman" w:hAnsi="Times New Roman" w:cs="Times New Roman"/>
          <w:rFonts w:ascii="Times New Roman" w:hAnsi="Times New Roman"/>
          <w:b w:val="0"/>
          <w:i/>
          <w:sz w:val="24"/>
        </w:rPr>
        <w:t>unbiased</w:t>
      </w:r>
      <w:r>
        <w:rPr>
          <w:rFonts w:ascii="Times New Roman" w:hAnsi="Times New Roman" w:cs="Times New Roman"/>
          <w:rFonts w:ascii="Times New Roman" w:hAnsi="Times New Roman"/>
          <w:b w:val="0"/>
          <w:i w:val="0"/>
          <w:sz w:val="24"/>
        </w:rPr>
        <w:t>) sekalipun terdapat korelasi antara efek individual bank (α_i) dengan variabel penjelas (mathbfX).</w:t>
      </w:r>
    </w:p>
    <w:p>
      <w:pPr>
        <w:spacing w:before="180" w:after="120" w:lineRule="auto" w:line="360"/>
        <w:jc w:val="both"/>
      </w:pPr>
      <w:r>
        <w:rPr>
          <w:rFonts w:ascii="Times New Roman" w:hAnsi="Times New Roman" w:cs="Times New Roman"/>
          <w:rFonts w:ascii="Times New Roman" w:hAnsi="Times New Roman"/>
          <w:b/>
          <w:i w:val="0"/>
          <w:sz w:val="24"/>
        </w:rPr>
        <w:t>Formulasi Sintaks Perintah EViews dan Alur Kerja Estimasi</w:t>
      </w:r>
    </w:p>
    <w:p>
      <w:pPr>
        <w:spacing w:before="0" w:after="0" w:lineRule="auto" w:line="360"/>
        <w:ind w:firstLine="709"/>
        <w:jc w:val="both"/>
      </w:pPr>
      <w:r>
        <w:rPr>
          <w:rFonts w:ascii="Times New Roman" w:hAnsi="Times New Roman" w:cs="Times New Roman"/>
          <w:rFonts w:ascii="Times New Roman" w:hAnsi="Times New Roman"/>
          <w:b w:val="0"/>
          <w:i w:val="0"/>
          <w:sz w:val="24"/>
        </w:rPr>
        <w:t>Proses estimasi dan pengujian ekonometrika di dalam perangkat lunak EViews 12 dieksekusi melalui urutan perintah sintaks (</w:t>
      </w:r>
      <w:r>
        <w:rPr>
          <w:rFonts w:ascii="Times New Roman" w:hAnsi="Times New Roman" w:cs="Times New Roman"/>
          <w:rFonts w:ascii="Times New Roman" w:hAnsi="Times New Roman"/>
          <w:b w:val="0"/>
          <w:i/>
          <w:sz w:val="24"/>
        </w:rPr>
        <w:t>command line script</w:t>
      </w:r>
      <w:r>
        <w:rPr>
          <w:rFonts w:ascii="Times New Roman" w:hAnsi="Times New Roman" w:cs="Times New Roman"/>
          <w:rFonts w:ascii="Times New Roman" w:hAnsi="Times New Roman"/>
          <w:b w:val="0"/>
          <w:i w:val="0"/>
          <w:sz w:val="24"/>
        </w:rPr>
        <w:t>) sebagai berikut:</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Deklarasi Struktur Panel:</w:t>
      </w:r>
    </w:p>
    <w:p>
      <w:pPr>
        <w:spacing w:before="0" w:after="0" w:lineRule="auto" w:line="360"/>
        <w:ind w:firstLine="709"/>
        <w:jc w:val="both"/>
      </w:pPr>
      <w:r>
        <w:rPr>
          <w:rFonts w:ascii="Times New Roman" w:hAnsi="Times New Roman" w:cs="Times New Roman"/>
          <w:rFonts w:ascii="Times New Roman" w:hAnsi="Times New Roman"/>
          <w:b w:val="0"/>
          <w:i w:val="0"/>
          <w:sz w:val="24"/>
        </w:rPr>
        <w:t>wfcreate(wf=skripsi_kbmi4) m 2021Q1 2025Q4 4 pagestruct id_bank @date</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Estimasi Model Fixed Effects:</w:t>
      </w:r>
    </w:p>
    <w:p>
      <w:pPr>
        <w:spacing w:before="0" w:after="0" w:lineRule="auto" w:line="360"/>
        <w:ind w:firstLine="709"/>
        <w:jc w:val="both"/>
      </w:pPr>
      <w:r>
        <w:rPr>
          <w:rFonts w:ascii="Times New Roman" w:hAnsi="Times New Roman" w:cs="Times New Roman"/>
          <w:rFonts w:ascii="Times New Roman" w:hAnsi="Times New Roman"/>
          <w:b w:val="0"/>
          <w:i w:val="0"/>
          <w:sz w:val="24"/>
        </w:rPr>
        <w:t>equation eq_fem.ls(cx=f) roa c green_financing npl_gross car</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Uji Spesifikasi dan Diagnostik:</w:t>
      </w:r>
    </w:p>
    <w:p>
      <w:pPr>
        <w:spacing w:before="0" w:after="0" w:lineRule="auto" w:line="360"/>
        <w:ind w:firstLine="709"/>
        <w:jc w:val="both"/>
      </w:pPr>
      <w:r>
        <w:rPr>
          <w:rFonts w:ascii="Times New Roman" w:hAnsi="Times New Roman" w:cs="Times New Roman"/>
          <w:rFonts w:ascii="Times New Roman" w:hAnsi="Times New Roman"/>
          <w:b w:val="0"/>
          <w:i w:val="0"/>
          <w:sz w:val="24"/>
        </w:rPr>
        <w:t>eq_fem.fixedtest 'Uji Chow Redundant Fixed Effects eq_rem.hausman 'Uji Hausman Correlated Random Effects eq_fem.vif 'Uji Variance Inflation Factors eq_fem.resids(g) resid_fem 'Ekstraksi Residual untuk Jarque-Bera &amp; Glejser</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PUSTAKA</w:t>
      </w:r>
    </w:p>
    <w:p>
      <w:pPr>
        <w:spacing w:before="0" w:after="0" w:lineRule="auto" w:line="360"/>
        <w:jc w:val="both"/>
      </w:pPr>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Akomea, S. Y., Simpson, S. N. Y., &amp; Agyei-Mensah, B. K. (2022). The cost of compliance: Green financing and immediate bank profitability. </w:t>
      </w:r>
      <w:r>
        <w:rPr>
          <w:rFonts w:ascii="Times New Roman" w:hAnsi="Times New Roman" w:cs="Times New Roman"/>
          <w:rFonts w:ascii="Times New Roman" w:hAnsi="Times New Roman"/>
          <w:b w:val="0"/>
          <w:i/>
          <w:sz w:val="24"/>
        </w:rPr>
        <w:t>Emerging Markets Review</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51</w:t>
      </w:r>
      <w:r>
        <w:rPr>
          <w:rFonts w:ascii="Times New Roman" w:hAnsi="Times New Roman" w:cs="Times New Roman"/>
          <w:rFonts w:ascii="Times New Roman" w:hAnsi="Times New Roman"/>
          <w:b w:val="0"/>
          <w:i w:val="0"/>
          <w:sz w:val="24"/>
        </w:rPr>
        <w:t>, 100882. https://doi.org/10.1016/j.ememar.2022.100882</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Baltagi, B. H. (2021). </w:t>
      </w:r>
      <w:r>
        <w:rPr>
          <w:rFonts w:ascii="Times New Roman" w:hAnsi="Times New Roman" w:cs="Times New Roman"/>
          <w:rFonts w:ascii="Times New Roman" w:hAnsi="Times New Roman"/>
          <w:b w:val="0"/>
          <w:i/>
          <w:sz w:val="24"/>
        </w:rPr>
        <w:t>Econometric Analysis of Panel Data</w:t>
      </w:r>
      <w:r>
        <w:rPr>
          <w:rFonts w:ascii="Times New Roman" w:hAnsi="Times New Roman" w:cs="Times New Roman"/>
          <w:rFonts w:ascii="Times New Roman" w:hAnsi="Times New Roman"/>
          <w:b w:val="0"/>
          <w:i w:val="0"/>
          <w:sz w:val="24"/>
        </w:rPr>
        <w:t xml:space="preserve"> (6th ed.). Cham: Springer.</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Barney, J. (1991). Firm resources and sustained competitive advantage. </w:t>
      </w:r>
      <w:r>
        <w:rPr>
          <w:rFonts w:ascii="Times New Roman" w:hAnsi="Times New Roman" w:cs="Times New Roman"/>
          <w:rFonts w:ascii="Times New Roman" w:hAnsi="Times New Roman"/>
          <w:b w:val="0"/>
          <w:i/>
          <w:sz w:val="24"/>
        </w:rPr>
        <w:t>Journal of Management</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17</w:t>
      </w:r>
      <w:r>
        <w:rPr>
          <w:rFonts w:ascii="Times New Roman" w:hAnsi="Times New Roman" w:cs="Times New Roman"/>
          <w:rFonts w:ascii="Times New Roman" w:hAnsi="Times New Roman"/>
          <w:b w:val="0"/>
          <w:i w:val="0"/>
          <w:sz w:val="24"/>
        </w:rPr>
        <w:t>(1), 99–120. https://doi.org/10.1177/014920639101700108</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Brigham, E. F., &amp; Ehrhardt, M. C. (2020). </w:t>
      </w:r>
      <w:r>
        <w:rPr>
          <w:rFonts w:ascii="Times New Roman" w:hAnsi="Times New Roman" w:cs="Times New Roman"/>
          <w:rFonts w:ascii="Times New Roman" w:hAnsi="Times New Roman"/>
          <w:b w:val="0"/>
          <w:i/>
          <w:sz w:val="24"/>
        </w:rPr>
        <w:t>Financial Management: Theory and Practice</w:t>
      </w:r>
      <w:r>
        <w:rPr>
          <w:rFonts w:ascii="Times New Roman" w:hAnsi="Times New Roman" w:cs="Times New Roman"/>
          <w:rFonts w:ascii="Times New Roman" w:hAnsi="Times New Roman"/>
          <w:b w:val="0"/>
          <w:i w:val="0"/>
          <w:sz w:val="24"/>
        </w:rPr>
        <w:t xml:space="preserve"> (16th ed.). Boston: Cengage Learning.</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Brigham, E. F., &amp; Houston, J. F. (2021). </w:t>
      </w:r>
      <w:r>
        <w:rPr>
          <w:rFonts w:ascii="Times New Roman" w:hAnsi="Times New Roman" w:cs="Times New Roman"/>
          <w:rFonts w:ascii="Times New Roman" w:hAnsi="Times New Roman"/>
          <w:b w:val="0"/>
          <w:i/>
          <w:sz w:val="24"/>
        </w:rPr>
        <w:t>Fundamentals of Financial Management</w:t>
      </w:r>
      <w:r>
        <w:rPr>
          <w:rFonts w:ascii="Times New Roman" w:hAnsi="Times New Roman" w:cs="Times New Roman"/>
          <w:rFonts w:ascii="Times New Roman" w:hAnsi="Times New Roman"/>
          <w:b w:val="0"/>
          <w:i w:val="0"/>
          <w:sz w:val="24"/>
        </w:rPr>
        <w:t xml:space="preserve"> (15th ed.). Boston: Cengage Learning.</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Buallay, A. (2019). Is ESG reporting associated with corporate performance? Evidence from European banking sector. </w:t>
      </w:r>
      <w:r>
        <w:rPr>
          <w:rFonts w:ascii="Times New Roman" w:hAnsi="Times New Roman" w:cs="Times New Roman"/>
          <w:rFonts w:ascii="Times New Roman" w:hAnsi="Times New Roman"/>
          <w:b w:val="0"/>
          <w:i/>
          <w:sz w:val="24"/>
        </w:rPr>
        <w:t>International Journal of Bank Marketing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37</w:t>
      </w:r>
      <w:r>
        <w:rPr>
          <w:rFonts w:ascii="Times New Roman" w:hAnsi="Times New Roman" w:cs="Times New Roman"/>
          <w:rFonts w:ascii="Times New Roman" w:hAnsi="Times New Roman"/>
          <w:b w:val="0"/>
          <w:i w:val="0"/>
          <w:sz w:val="24"/>
        </w:rPr>
        <w:t>(7), 1730–1748. https://doi.org/10.1108/IJBM-10-2018-0270</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Chiaramonte, L., Dreassi, A., Paltrinieri, A., &amp; Piser\`a, S. (2020). Sustainability practices and stability in the insurance industry. </w:t>
      </w:r>
      <w:r>
        <w:rPr>
          <w:rFonts w:ascii="Times New Roman" w:hAnsi="Times New Roman" w:cs="Times New Roman"/>
          <w:rFonts w:ascii="Times New Roman" w:hAnsi="Times New Roman"/>
          <w:b w:val="0"/>
          <w:i/>
          <w:sz w:val="24"/>
        </w:rPr>
        <w:t>Sustainability</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12</w:t>
      </w:r>
      <w:r>
        <w:rPr>
          <w:rFonts w:ascii="Times New Roman" w:hAnsi="Times New Roman" w:cs="Times New Roman"/>
          <w:rFonts w:ascii="Times New Roman" w:hAnsi="Times New Roman"/>
          <w:b w:val="0"/>
          <w:i w:val="0"/>
          <w:sz w:val="24"/>
        </w:rPr>
        <w:t>(14), 5530. https://doi.org/10.3390/su12145530</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Cui, Y., Geobey, S., Weber, O., &amp; Lin, H. (2018). The impact of green lending on credit risk in China. </w:t>
      </w:r>
      <w:r>
        <w:rPr>
          <w:rFonts w:ascii="Times New Roman" w:hAnsi="Times New Roman" w:cs="Times New Roman"/>
          <w:rFonts w:ascii="Times New Roman" w:hAnsi="Times New Roman"/>
          <w:b w:val="0"/>
          <w:i/>
          <w:sz w:val="24"/>
        </w:rPr>
        <w:t>Sustainability</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10</w:t>
      </w:r>
      <w:r>
        <w:rPr>
          <w:rFonts w:ascii="Times New Roman" w:hAnsi="Times New Roman" w:cs="Times New Roman"/>
          <w:rFonts w:ascii="Times New Roman" w:hAnsi="Times New Roman"/>
          <w:b w:val="0"/>
          <w:i w:val="0"/>
          <w:sz w:val="24"/>
        </w:rPr>
        <w:t>(6), 2008. https://doi.org/10.3390/su10062008</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Deegan, C. (2002). Introduction: The legitimising effect of social and environmental disclosures -- a theoretical foundation. </w:t>
      </w:r>
      <w:r>
        <w:rPr>
          <w:rFonts w:ascii="Times New Roman" w:hAnsi="Times New Roman" w:cs="Times New Roman"/>
          <w:rFonts w:ascii="Times New Roman" w:hAnsi="Times New Roman"/>
          <w:b w:val="0"/>
          <w:i/>
          <w:sz w:val="24"/>
        </w:rPr>
        <w:t>Accounting, Auditing \&amp; Accountability Journal</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15</w:t>
      </w:r>
      <w:r>
        <w:rPr>
          <w:rFonts w:ascii="Times New Roman" w:hAnsi="Times New Roman" w:cs="Times New Roman"/>
          <w:rFonts w:ascii="Times New Roman" w:hAnsi="Times New Roman"/>
          <w:b w:val="0"/>
          <w:i w:val="0"/>
          <w:sz w:val="24"/>
        </w:rPr>
        <w:t>(3), 282–311. https://doi.org/10.1108/09513570210435852</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Dendawijaya, L. (2015). </w:t>
      </w:r>
      <w:r>
        <w:rPr>
          <w:rFonts w:ascii="Times New Roman" w:hAnsi="Times New Roman" w:cs="Times New Roman"/>
          <w:rFonts w:ascii="Times New Roman" w:hAnsi="Times New Roman"/>
          <w:b w:val="0"/>
          <w:i/>
          <w:sz w:val="24"/>
        </w:rPr>
        <w:t>Manajemen Perbankan</w:t>
      </w:r>
      <w:r>
        <w:rPr>
          <w:rFonts w:ascii="Times New Roman" w:hAnsi="Times New Roman" w:cs="Times New Roman"/>
          <w:rFonts w:ascii="Times New Roman" w:hAnsi="Times New Roman"/>
          <w:b w:val="0"/>
          <w:i w:val="0"/>
          <w:sz w:val="24"/>
        </w:rPr>
        <w:t xml:space="preserve"> (2th ed.). Jakarta: Ghalia Indonesia.</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Diamond, D. W. (1984). Financial intermediation and delegated monitoring. </w:t>
      </w:r>
      <w:r>
        <w:rPr>
          <w:rFonts w:ascii="Times New Roman" w:hAnsi="Times New Roman" w:cs="Times New Roman"/>
          <w:rFonts w:ascii="Times New Roman" w:hAnsi="Times New Roman"/>
          <w:b w:val="0"/>
          <w:i/>
          <w:sz w:val="24"/>
        </w:rPr>
        <w:t>The Review of Economic Studies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51</w:t>
      </w:r>
      <w:r>
        <w:rPr>
          <w:rFonts w:ascii="Times New Roman" w:hAnsi="Times New Roman" w:cs="Times New Roman"/>
          <w:rFonts w:ascii="Times New Roman" w:hAnsi="Times New Roman"/>
          <w:b w:val="0"/>
          <w:i w:val="0"/>
          <w:sz w:val="24"/>
        </w:rPr>
        <w:t>(3), 393–414. https://doi.org/10.2307/2297430</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Donaldson, T., &amp; Preston, L. E. (1995). The stakeholder theory of the corporation: Concepts, evidence, and implications. </w:t>
      </w:r>
      <w:r>
        <w:rPr>
          <w:rFonts w:ascii="Times New Roman" w:hAnsi="Times New Roman" w:cs="Times New Roman"/>
          <w:rFonts w:ascii="Times New Roman" w:hAnsi="Times New Roman"/>
          <w:b w:val="0"/>
          <w:i/>
          <w:sz w:val="24"/>
        </w:rPr>
        <w:t>Academy of Management Review</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20</w:t>
      </w:r>
      <w:r>
        <w:rPr>
          <w:rFonts w:ascii="Times New Roman" w:hAnsi="Times New Roman" w:cs="Times New Roman"/>
          <w:rFonts w:ascii="Times New Roman" w:hAnsi="Times New Roman"/>
          <w:b w:val="0"/>
          <w:i w:val="0"/>
          <w:sz w:val="24"/>
        </w:rPr>
        <w:t>(1), 65–91. https://doi.org/10.2307/258887</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Driscoll, J. C., &amp; Kraay, A. C. (1998). Consistent covariance matrix estimation with spatially dependent panel data. </w:t>
      </w:r>
      <w:r>
        <w:rPr>
          <w:rFonts w:ascii="Times New Roman" w:hAnsi="Times New Roman" w:cs="Times New Roman"/>
          <w:rFonts w:ascii="Times New Roman" w:hAnsi="Times New Roman"/>
          <w:b w:val="0"/>
          <w:i/>
          <w:sz w:val="24"/>
        </w:rPr>
        <w:t>Review of Economics and Statistics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80</w:t>
      </w:r>
      <w:r>
        <w:rPr>
          <w:rFonts w:ascii="Times New Roman" w:hAnsi="Times New Roman" w:cs="Times New Roman"/>
          <w:rFonts w:ascii="Times New Roman" w:hAnsi="Times New Roman"/>
          <w:b w:val="0"/>
          <w:i w:val="0"/>
          <w:sz w:val="24"/>
        </w:rPr>
        <w:t>(4), 549–560. https://doi.org/10.1162/003465398557825</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Fachrudin, K. A. (2021). Financial intermediation and corporate performance in Indonesian banking industry. </w:t>
      </w:r>
      <w:r>
        <w:rPr>
          <w:rFonts w:ascii="Times New Roman" w:hAnsi="Times New Roman" w:cs="Times New Roman"/>
          <w:rFonts w:ascii="Times New Roman" w:hAnsi="Times New Roman"/>
          <w:b w:val="0"/>
          <w:i/>
          <w:sz w:val="24"/>
        </w:rPr>
        <w:t>Journal of Asian Finance, Economics and Business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8</w:t>
      </w:r>
      <w:r>
        <w:rPr>
          <w:rFonts w:ascii="Times New Roman" w:hAnsi="Times New Roman" w:cs="Times New Roman"/>
          <w:rFonts w:ascii="Times New Roman" w:hAnsi="Times New Roman"/>
          <w:b w:val="0"/>
          <w:i w:val="0"/>
          <w:sz w:val="24"/>
        </w:rPr>
        <w:t>(3), 1141–1149. https://doi.org/10.13106/jafeb.2021.vol8.no3.1141</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Fitriani, D., &amp; Wardani, M. K. (2024). Implementasi POJK No.\ 51/POJK.03/2017 dan implikasinya terhadap kinerja finansial perbankan. </w:t>
      </w:r>
      <w:r>
        <w:rPr>
          <w:rFonts w:ascii="Times New Roman" w:hAnsi="Times New Roman" w:cs="Times New Roman"/>
          <w:rFonts w:ascii="Times New Roman" w:hAnsi="Times New Roman"/>
          <w:b w:val="0"/>
          <w:i/>
          <w:sz w:val="24"/>
        </w:rPr>
        <w:t>Jurnal Riset Akuntansi dan Keuangan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12</w:t>
      </w:r>
      <w:r>
        <w:rPr>
          <w:rFonts w:ascii="Times New Roman" w:hAnsi="Times New Roman" w:cs="Times New Roman"/>
          <w:rFonts w:ascii="Times New Roman" w:hAnsi="Times New Roman"/>
          <w:b w:val="0"/>
          <w:i w:val="0"/>
          <w:sz w:val="24"/>
        </w:rPr>
        <w:t>(1), 45–58.</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Freeman, R. E. (2010). </w:t>
      </w:r>
      <w:r>
        <w:rPr>
          <w:rFonts w:ascii="Times New Roman" w:hAnsi="Times New Roman" w:cs="Times New Roman"/>
          <w:rFonts w:ascii="Times New Roman" w:hAnsi="Times New Roman"/>
          <w:b w:val="0"/>
          <w:i/>
          <w:sz w:val="24"/>
        </w:rPr>
        <w:t>Strategic Management: A Stakeholder Approach</w:t>
      </w:r>
      <w:r>
        <w:rPr>
          <w:rFonts w:ascii="Times New Roman" w:hAnsi="Times New Roman" w:cs="Times New Roman"/>
          <w:rFonts w:ascii="Times New Roman" w:hAnsi="Times New Roman"/>
          <w:b w:val="0"/>
          <w:i w:val="0"/>
          <w:sz w:val="24"/>
        </w:rPr>
        <w:t>. Cambridge: Cambridge University Press.</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Gozali, A., &amp; Suhardi,  (2022). Determinan profitabilitas bank KBMI 4 di Indonesia. </w:t>
      </w:r>
      <w:r>
        <w:rPr>
          <w:rFonts w:ascii="Times New Roman" w:hAnsi="Times New Roman" w:cs="Times New Roman"/>
          <w:rFonts w:ascii="Times New Roman" w:hAnsi="Times New Roman"/>
          <w:b w:val="0"/>
          <w:i/>
          <w:sz w:val="24"/>
        </w:rPr>
        <w:t>Jurnal Riset Perbankan Manajemen dan Akuntansi</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6</w:t>
      </w:r>
      <w:r>
        <w:rPr>
          <w:rFonts w:ascii="Times New Roman" w:hAnsi="Times New Roman" w:cs="Times New Roman"/>
          <w:rFonts w:ascii="Times New Roman" w:hAnsi="Times New Roman"/>
          <w:b w:val="0"/>
          <w:i w:val="0"/>
          <w:sz w:val="24"/>
        </w:rPr>
        <w:t>(2), 89–102.</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Greene, W. H. (2018). </w:t>
      </w:r>
      <w:r>
        <w:rPr>
          <w:rFonts w:ascii="Times New Roman" w:hAnsi="Times New Roman" w:cs="Times New Roman"/>
          <w:rFonts w:ascii="Times New Roman" w:hAnsi="Times New Roman"/>
          <w:b w:val="0"/>
          <w:i/>
          <w:sz w:val="24"/>
        </w:rPr>
        <w:t>Econometric Analysis</w:t>
      </w:r>
      <w:r>
        <w:rPr>
          <w:rFonts w:ascii="Times New Roman" w:hAnsi="Times New Roman" w:cs="Times New Roman"/>
          <w:rFonts w:ascii="Times New Roman" w:hAnsi="Times New Roman"/>
          <w:b w:val="0"/>
          <w:i w:val="0"/>
          <w:sz w:val="24"/>
        </w:rPr>
        <w:t xml:space="preserve"> (8th ed.). New York: Pearson.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Gujarati, D. N., &amp; Porter, D. C. (2020). </w:t>
      </w:r>
      <w:r>
        <w:rPr>
          <w:rFonts w:ascii="Times New Roman" w:hAnsi="Times New Roman" w:cs="Times New Roman"/>
          <w:rFonts w:ascii="Times New Roman" w:hAnsi="Times New Roman"/>
          <w:b w:val="0"/>
          <w:i/>
          <w:sz w:val="24"/>
        </w:rPr>
        <w:t>Basic Econometrics</w:t>
      </w:r>
      <w:r>
        <w:rPr>
          <w:rFonts w:ascii="Times New Roman" w:hAnsi="Times New Roman" w:cs="Times New Roman"/>
          <w:rFonts w:ascii="Times New Roman" w:hAnsi="Times New Roman"/>
          <w:b w:val="0"/>
          <w:i w:val="0"/>
          <w:sz w:val="24"/>
        </w:rPr>
        <w:t xml:space="preserve"> (6th ed.). New York: McGraw-Hill Education.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Gurley, J. G., &amp; Shaw, E. S. (1960). </w:t>
      </w:r>
      <w:r>
        <w:rPr>
          <w:rFonts w:ascii="Times New Roman" w:hAnsi="Times New Roman" w:cs="Times New Roman"/>
          <w:rFonts w:ascii="Times New Roman" w:hAnsi="Times New Roman"/>
          <w:b w:val="0"/>
          <w:i/>
          <w:sz w:val="24"/>
        </w:rPr>
        <w:t>Money in a Theory of Finance</w:t>
      </w:r>
      <w:r>
        <w:rPr>
          <w:rFonts w:ascii="Times New Roman" w:hAnsi="Times New Roman" w:cs="Times New Roman"/>
          <w:rFonts w:ascii="Times New Roman" w:hAnsi="Times New Roman"/>
          <w:b w:val="0"/>
          <w:i w:val="0"/>
          <w:sz w:val="24"/>
        </w:rPr>
        <w:t>. Washington, D.C.: Brookings Institution.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Handayani, T., &amp; Subowo,  (2022). Analisis pengaruh CAR, NPL, dan penyaluran kredit terhadap profitabilitas perbankan. </w:t>
      </w:r>
      <w:r>
        <w:rPr>
          <w:rFonts w:ascii="Times New Roman" w:hAnsi="Times New Roman" w:cs="Times New Roman"/>
          <w:rFonts w:ascii="Times New Roman" w:hAnsi="Times New Roman"/>
          <w:b w:val="0"/>
          <w:i/>
          <w:sz w:val="24"/>
        </w:rPr>
        <w:t>Economic Education Analysis Journal</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11</w:t>
      </w:r>
      <w:r>
        <w:rPr>
          <w:rFonts w:ascii="Times New Roman" w:hAnsi="Times New Roman" w:cs="Times New Roman"/>
          <w:rFonts w:ascii="Times New Roman" w:hAnsi="Times New Roman"/>
          <w:b w:val="0"/>
          <w:i w:val="0"/>
          <w:sz w:val="24"/>
        </w:rPr>
        <w:t>(2), 167–179.</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Hart, S. L. (1995). A natural-resource-based view of the firm. </w:t>
      </w:r>
      <w:r>
        <w:rPr>
          <w:rFonts w:ascii="Times New Roman" w:hAnsi="Times New Roman" w:cs="Times New Roman"/>
          <w:rFonts w:ascii="Times New Roman" w:hAnsi="Times New Roman"/>
          <w:b w:val="0"/>
          <w:i/>
          <w:sz w:val="24"/>
        </w:rPr>
        <w:t>Academy of Management Review</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20</w:t>
      </w:r>
      <w:r>
        <w:rPr>
          <w:rFonts w:ascii="Times New Roman" w:hAnsi="Times New Roman" w:cs="Times New Roman"/>
          <w:rFonts w:ascii="Times New Roman" w:hAnsi="Times New Roman"/>
          <w:b w:val="0"/>
          <w:i w:val="0"/>
          <w:sz w:val="24"/>
        </w:rPr>
        <w:t>(4), 986–1014. https://doi.org/10.5465/amr.1995.9512280033</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Haryanto, S., &amp; Sudarno,  (2023). Analisis faktor-faktor penentu profitabilitas bank umum konvensional di Indonesia. </w:t>
      </w:r>
      <w:r>
        <w:rPr>
          <w:rFonts w:ascii="Times New Roman" w:hAnsi="Times New Roman" w:cs="Times New Roman"/>
          <w:rFonts w:ascii="Times New Roman" w:hAnsi="Times New Roman"/>
          <w:b w:val="0"/>
          <w:i/>
          <w:sz w:val="24"/>
        </w:rPr>
        <w:t>Diponegoro Journal of Accounting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12</w:t>
      </w:r>
      <w:r>
        <w:rPr>
          <w:rFonts w:ascii="Times New Roman" w:hAnsi="Times New Roman" w:cs="Times New Roman"/>
          <w:rFonts w:ascii="Times New Roman" w:hAnsi="Times New Roman"/>
          <w:b w:val="0"/>
          <w:i w:val="0"/>
          <w:sz w:val="24"/>
        </w:rPr>
        <w:t>(3), 1–14.</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Jensen, M. C., &amp; Meckling, W. H. (1976). Theory of the firm: Managerial behavior, agency costs and ownership structure. </w:t>
      </w:r>
      <w:r>
        <w:rPr>
          <w:rFonts w:ascii="Times New Roman" w:hAnsi="Times New Roman" w:cs="Times New Roman"/>
          <w:rFonts w:ascii="Times New Roman" w:hAnsi="Times New Roman"/>
          <w:b w:val="0"/>
          <w:i/>
          <w:sz w:val="24"/>
        </w:rPr>
        <w:t>Journal of Financial Economics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3</w:t>
      </w:r>
      <w:r>
        <w:rPr>
          <w:rFonts w:ascii="Times New Roman" w:hAnsi="Times New Roman" w:cs="Times New Roman"/>
          <w:rFonts w:ascii="Times New Roman" w:hAnsi="Times New Roman"/>
          <w:b w:val="0"/>
          <w:i w:val="0"/>
          <w:sz w:val="24"/>
        </w:rPr>
        <w:t>(4), 305–360. https://doi.org/10.1016/0304-405X(76)90026-X</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Kuncoro, M., &amp; Suhardjono,  (2018). </w:t>
      </w:r>
      <w:r>
        <w:rPr>
          <w:rFonts w:ascii="Times New Roman" w:hAnsi="Times New Roman" w:cs="Times New Roman"/>
          <w:rFonts w:ascii="Times New Roman" w:hAnsi="Times New Roman"/>
          <w:b w:val="0"/>
          <w:i/>
          <w:sz w:val="24"/>
        </w:rPr>
        <w:t>Manajemen Perbankan: Teori, Akuntansi, dan Manajemen Risiko</w:t>
      </w:r>
      <w:r>
        <w:rPr>
          <w:rFonts w:ascii="Times New Roman" w:hAnsi="Times New Roman" w:cs="Times New Roman"/>
          <w:rFonts w:ascii="Times New Roman" w:hAnsi="Times New Roman"/>
          <w:b w:val="0"/>
          <w:i w:val="0"/>
          <w:sz w:val="24"/>
        </w:rPr>
        <w:t xml:space="preserve"> (2th ed.). Yogyakarta: BPFE.</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Kurniawati, L., &amp; Yuliana, I. (2023). Analisis pengaruh pembiayaan berkelanjutan terhadap kinerja perbankan nasional. </w:t>
      </w:r>
      <w:r>
        <w:rPr>
          <w:rFonts w:ascii="Times New Roman" w:hAnsi="Times New Roman" w:cs="Times New Roman"/>
          <w:rFonts w:ascii="Times New Roman" w:hAnsi="Times New Roman"/>
          <w:b w:val="0"/>
          <w:i/>
          <w:sz w:val="24"/>
        </w:rPr>
        <w:t>Jurnal Manajemen Teori dan Terapan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16</w:t>
      </w:r>
      <w:r>
        <w:rPr>
          <w:rFonts w:ascii="Times New Roman" w:hAnsi="Times New Roman" w:cs="Times New Roman"/>
          <w:rFonts w:ascii="Times New Roman" w:hAnsi="Times New Roman"/>
          <w:b w:val="0"/>
          <w:i w:val="0"/>
          <w:sz w:val="24"/>
        </w:rPr>
        <w:t>(2), 215–228.</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Lestari, E. S., &amp; Purnomo, H. (2023). Pengaruh rasio kecukupan modal dan kualitas aset terhadap profitabilitas bank BUMN. </w:t>
      </w:r>
      <w:r>
        <w:rPr>
          <w:rFonts w:ascii="Times New Roman" w:hAnsi="Times New Roman" w:cs="Times New Roman"/>
          <w:rFonts w:ascii="Times New Roman" w:hAnsi="Times New Roman"/>
          <w:b w:val="0"/>
          <w:i/>
          <w:sz w:val="24"/>
        </w:rPr>
        <w:t>Jurnal Akuntansi dan Auditing Indonesia</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27</w:t>
      </w:r>
      <w:r>
        <w:rPr>
          <w:rFonts w:ascii="Times New Roman" w:hAnsi="Times New Roman" w:cs="Times New Roman"/>
          <w:rFonts w:ascii="Times New Roman" w:hAnsi="Times New Roman"/>
          <w:b w:val="0"/>
          <w:i w:val="0"/>
          <w:sz w:val="24"/>
        </w:rPr>
        <w:t>(1), 33–44.</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Markowitz, H. (1952). Portfolio selection. </w:t>
      </w:r>
      <w:r>
        <w:rPr>
          <w:rFonts w:ascii="Times New Roman" w:hAnsi="Times New Roman" w:cs="Times New Roman"/>
          <w:rFonts w:ascii="Times New Roman" w:hAnsi="Times New Roman"/>
          <w:b w:val="0"/>
          <w:i/>
          <w:sz w:val="24"/>
        </w:rPr>
        <w:t>The Journal of Finance</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7</w:t>
      </w:r>
      <w:r>
        <w:rPr>
          <w:rFonts w:ascii="Times New Roman" w:hAnsi="Times New Roman" w:cs="Times New Roman"/>
          <w:rFonts w:ascii="Times New Roman" w:hAnsi="Times New Roman"/>
          <w:b w:val="0"/>
          <w:i w:val="0"/>
          <w:sz w:val="24"/>
        </w:rPr>
        <w:t>(1), 77–91. https://doi.org/10.1111/j.1540-6261.1952.tb01525.x</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Nugroho, A. S., &amp; Utami, W. (2021). Pengaruh Capital Adequacy Ratio (CAR) dan Non Performing Loan (NPL) terhadap Return on Assets (ROA) pada bank konvensional. </w:t>
      </w:r>
      <w:r>
        <w:rPr>
          <w:rFonts w:ascii="Times New Roman" w:hAnsi="Times New Roman" w:cs="Times New Roman"/>
          <w:rFonts w:ascii="Times New Roman" w:hAnsi="Times New Roman"/>
          <w:b w:val="0"/>
          <w:i/>
          <w:sz w:val="24"/>
        </w:rPr>
        <w:t>Jurnal Ilmiah Akuntansi dan Finansial Indonesia</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5</w:t>
      </w:r>
      <w:r>
        <w:rPr>
          <w:rFonts w:ascii="Times New Roman" w:hAnsi="Times New Roman" w:cs="Times New Roman"/>
          <w:rFonts w:ascii="Times New Roman" w:hAnsi="Times New Roman"/>
          <w:b w:val="0"/>
          <w:i w:val="0"/>
          <w:sz w:val="24"/>
        </w:rPr>
        <w:t>(1), 55–66.</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Otoritas Jasa Keuangan (2017). </w:t>
      </w:r>
      <w:r>
        <w:rPr>
          <w:rFonts w:ascii="Times New Roman" w:hAnsi="Times New Roman" w:cs="Times New Roman"/>
          <w:rFonts w:ascii="Times New Roman" w:hAnsi="Times New Roman"/>
          <w:b w:val="0"/>
          <w:i/>
          <w:sz w:val="24"/>
        </w:rPr>
        <w:t>Peraturan Otoritas Jasa Keuangan Nomor 51/POJK.03/2017 tentang Penerapan Keuangan Berkelanjutan bagi Lembaga Jasa Keuangan, Emiten, dan Perusahaan Publik</w:t>
      </w:r>
      <w:r>
        <w:rPr>
          <w:rFonts w:ascii="Times New Roman" w:hAnsi="Times New Roman" w:cs="Times New Roman"/>
          <w:rFonts w:ascii="Times New Roman" w:hAnsi="Times New Roman"/>
          <w:b w:val="0"/>
          <w:i w:val="0"/>
          <w:sz w:val="24"/>
        </w:rPr>
        <w:t>. Otoritas Jasa Keuangan.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Otoritas Jasa Keuangan (2017). </w:t>
      </w:r>
      <w:r>
        <w:rPr>
          <w:rFonts w:ascii="Times New Roman" w:hAnsi="Times New Roman" w:cs="Times New Roman"/>
          <w:rFonts w:ascii="Times New Roman" w:hAnsi="Times New Roman"/>
          <w:b w:val="0"/>
          <w:i/>
          <w:sz w:val="24"/>
        </w:rPr>
        <w:t>Peraturan Otoritas Jasa Keuangan Nomor 60/POJK.04/2017 tentang Penerbitan dan Persyaratan Efek Bersifat Utang Berwawasan Lingkungan (Green Bond)</w:t>
      </w:r>
      <w:r>
        <w:rPr>
          <w:rFonts w:ascii="Times New Roman" w:hAnsi="Times New Roman" w:cs="Times New Roman"/>
          <w:rFonts w:ascii="Times New Roman" w:hAnsi="Times New Roman"/>
          <w:b w:val="0"/>
          <w:i w:val="0"/>
          <w:sz w:val="24"/>
        </w:rPr>
        <w:t>. Otoritas Jasa Keuangan.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Otoritas Jasa Keuangan (2021). </w:t>
      </w:r>
      <w:r>
        <w:rPr>
          <w:rFonts w:ascii="Times New Roman" w:hAnsi="Times New Roman" w:cs="Times New Roman"/>
          <w:rFonts w:ascii="Times New Roman" w:hAnsi="Times New Roman"/>
          <w:b w:val="0"/>
          <w:i/>
          <w:sz w:val="24"/>
        </w:rPr>
        <w:t>Peraturan Otoritas Jasa Keuangan Nomor 12/POJK.03/2021 tentang Bank Umum</w:t>
      </w:r>
      <w:r>
        <w:rPr>
          <w:rFonts w:ascii="Times New Roman" w:hAnsi="Times New Roman" w:cs="Times New Roman"/>
          <w:rFonts w:ascii="Times New Roman" w:hAnsi="Times New Roman"/>
          <w:b w:val="0"/>
          <w:i w:val="0"/>
          <w:sz w:val="24"/>
        </w:rPr>
        <w:t>. Otoritas Jasa Keuangan.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Otoritas Jasa Keuangan (2022). </w:t>
      </w:r>
      <w:r>
        <w:rPr>
          <w:rFonts w:ascii="Times New Roman" w:hAnsi="Times New Roman" w:cs="Times New Roman"/>
          <w:rFonts w:ascii="Times New Roman" w:hAnsi="Times New Roman"/>
          <w:b w:val="0"/>
          <w:i/>
          <w:sz w:val="24"/>
        </w:rPr>
        <w:t>Taksonomi Hijau Indonesia Edisi 1.0</w:t>
      </w:r>
      <w:r>
        <w:rPr>
          <w:rFonts w:ascii="Times New Roman" w:hAnsi="Times New Roman" w:cs="Times New Roman"/>
          <w:rFonts w:ascii="Times New Roman" w:hAnsi="Times New Roman"/>
          <w:b w:val="0"/>
          <w:i w:val="0"/>
          <w:sz w:val="24"/>
        </w:rPr>
        <w:t>. Otoritas Jasa Keuangan.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Otoritas Jasa Keuangan (2023). </w:t>
      </w:r>
      <w:r>
        <w:rPr>
          <w:rFonts w:ascii="Times New Roman" w:hAnsi="Times New Roman" w:cs="Times New Roman"/>
          <w:rFonts w:ascii="Times New Roman" w:hAnsi="Times New Roman"/>
          <w:b w:val="0"/>
          <w:i/>
          <w:sz w:val="24"/>
        </w:rPr>
        <w:t>Peraturan Otoritas Jasa Keuangan Nomor 18 Tahun 2023 tentang Penerbitan dan Persyaratan Efek Bersifat Utang dan Sukuk Berlandaskan Keberlanjutan</w:t>
      </w:r>
      <w:r>
        <w:rPr>
          <w:rFonts w:ascii="Times New Roman" w:hAnsi="Times New Roman" w:cs="Times New Roman"/>
          <w:rFonts w:ascii="Times New Roman" w:hAnsi="Times New Roman"/>
          <w:b w:val="0"/>
          <w:i w:val="0"/>
          <w:sz w:val="24"/>
        </w:rPr>
        <w:t>. Otoritas Jasa Keuangan.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Otoritas Jasa Keuangan (2024). </w:t>
      </w:r>
      <w:r>
        <w:rPr>
          <w:rFonts w:ascii="Times New Roman" w:hAnsi="Times New Roman" w:cs="Times New Roman"/>
          <w:rFonts w:ascii="Times New Roman" w:hAnsi="Times New Roman"/>
          <w:b w:val="0"/>
          <w:i/>
          <w:sz w:val="24"/>
        </w:rPr>
        <w:t>Taksonomi Keuangan Berkelanjutan Indonesia (TKBI) Versi 2024</w:t>
      </w:r>
      <w:r>
        <w:rPr>
          <w:rFonts w:ascii="Times New Roman" w:hAnsi="Times New Roman" w:cs="Times New Roman"/>
          <w:rFonts w:ascii="Times New Roman" w:hAnsi="Times New Roman"/>
          <w:b w:val="0"/>
          <w:i w:val="0"/>
          <w:sz w:val="24"/>
        </w:rPr>
        <w:t>. Otoritas Jasa Keuangan.</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Pesaran, M. H. (2004). </w:t>
      </w:r>
      <w:r>
        <w:rPr>
          <w:rFonts w:ascii="Times New Roman" w:hAnsi="Times New Roman" w:cs="Times New Roman"/>
          <w:rFonts w:ascii="Times New Roman" w:hAnsi="Times New Roman"/>
          <w:b w:val="0"/>
          <w:i/>
          <w:sz w:val="24"/>
        </w:rPr>
        <w:t>General diagnostic tests for cross section dependence in panels</w:t>
      </w:r>
      <w:r>
        <w:rPr>
          <w:rFonts w:ascii="Times New Roman" w:hAnsi="Times New Roman" w:cs="Times New Roman"/>
          <w:rFonts w:ascii="Times New Roman" w:hAnsi="Times New Roman"/>
          <w:b w:val="0"/>
          <w:i w:val="0"/>
          <w:sz w:val="24"/>
        </w:rPr>
        <w:t>. University of Cambridge.</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Pradita, A. M., &amp; Syaichu, M. (2022). Analisis pengaruh NPL, CAR, LDR, dan BOPO terhadap kinerja keuangan bank. </w:t>
      </w:r>
      <w:r>
        <w:rPr>
          <w:rFonts w:ascii="Times New Roman" w:hAnsi="Times New Roman" w:cs="Times New Roman"/>
          <w:rFonts w:ascii="Times New Roman" w:hAnsi="Times New Roman"/>
          <w:b w:val="0"/>
          <w:i/>
          <w:sz w:val="24"/>
        </w:rPr>
        <w:t>Jurnal Studi Manajemen Organisasi</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19</w:t>
      </w:r>
      <w:r>
        <w:rPr>
          <w:rFonts w:ascii="Times New Roman" w:hAnsi="Times New Roman" w:cs="Times New Roman"/>
          <w:rFonts w:ascii="Times New Roman" w:hAnsi="Times New Roman"/>
          <w:b w:val="0"/>
          <w:i w:val="0"/>
          <w:sz w:val="24"/>
        </w:rPr>
        <w:t>(1), 12–23.</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Pramono, R., Subroto, B., &amp; Saraswati, E. (2022). Green banking and bank profitability: Empirical evidence from Indonesian banking sector. </w:t>
      </w:r>
      <w:r>
        <w:rPr>
          <w:rFonts w:ascii="Times New Roman" w:hAnsi="Times New Roman" w:cs="Times New Roman"/>
          <w:rFonts w:ascii="Times New Roman" w:hAnsi="Times New Roman"/>
          <w:b w:val="0"/>
          <w:i/>
          <w:sz w:val="24"/>
        </w:rPr>
        <w:t>Journal of Sustainable Finance \&amp; Investment</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12</w:t>
      </w:r>
      <w:r>
        <w:rPr>
          <w:rFonts w:ascii="Times New Roman" w:hAnsi="Times New Roman" w:cs="Times New Roman"/>
          <w:rFonts w:ascii="Times New Roman" w:hAnsi="Times New Roman"/>
          <w:b w:val="0"/>
          <w:i w:val="0"/>
          <w:sz w:val="24"/>
        </w:rPr>
        <w:t>(4), 1021–1039. https://doi.org/10.1080/20430795.2020.1869276</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Riyadi, S. (2020). Analisis tingkat kesehatan bank menggunakan metode RGEC terhadap pertumbuhan laba. </w:t>
      </w:r>
      <w:r>
        <w:rPr>
          <w:rFonts w:ascii="Times New Roman" w:hAnsi="Times New Roman" w:cs="Times New Roman"/>
          <w:rFonts w:ascii="Times New Roman" w:hAnsi="Times New Roman"/>
          <w:b w:val="0"/>
          <w:i/>
          <w:sz w:val="24"/>
        </w:rPr>
        <w:t>Jurnal Riset Manajemen dan Bisnis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5</w:t>
      </w:r>
      <w:r>
        <w:rPr>
          <w:rFonts w:ascii="Times New Roman" w:hAnsi="Times New Roman" w:cs="Times New Roman"/>
          <w:rFonts w:ascii="Times New Roman" w:hAnsi="Times New Roman"/>
          <w:b w:val="0"/>
          <w:i w:val="0"/>
          <w:sz w:val="24"/>
        </w:rPr>
        <w:t>(2), 201–214.</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Santoso, E. B., Rahayu, S., &amp; Mulyani, E. (2023). Pengaruh rasio keuangan dan kredit hijau terhadap kinerja bank umum di Indonesia. </w:t>
      </w:r>
      <w:r>
        <w:rPr>
          <w:rFonts w:ascii="Times New Roman" w:hAnsi="Times New Roman" w:cs="Times New Roman"/>
          <w:rFonts w:ascii="Times New Roman" w:hAnsi="Times New Roman"/>
          <w:b w:val="0"/>
          <w:i/>
          <w:sz w:val="24"/>
        </w:rPr>
        <w:t>Jurnal Kajian Ekonomi dan Perbankan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7</w:t>
      </w:r>
      <w:r>
        <w:rPr>
          <w:rFonts w:ascii="Times New Roman" w:hAnsi="Times New Roman" w:cs="Times New Roman"/>
          <w:rFonts w:ascii="Times New Roman" w:hAnsi="Times New Roman"/>
          <w:b w:val="0"/>
          <w:i w:val="0"/>
          <w:sz w:val="24"/>
        </w:rPr>
        <w:t>(1), 78–92.</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Sari, N. P., &amp; Astuti, D. (2023). Pengaruh penerapan green banking terhadap kinerja keuangan perbankan di Indonesia. </w:t>
      </w:r>
      <w:r>
        <w:rPr>
          <w:rFonts w:ascii="Times New Roman" w:hAnsi="Times New Roman" w:cs="Times New Roman"/>
          <w:rFonts w:ascii="Times New Roman" w:hAnsi="Times New Roman"/>
          <w:b w:val="0"/>
          <w:i/>
          <w:sz w:val="24"/>
        </w:rPr>
        <w:t>Jurnal Ilmiah Manajemen dan Bisnis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24</w:t>
      </w:r>
      <w:r>
        <w:rPr>
          <w:rFonts w:ascii="Times New Roman" w:hAnsi="Times New Roman" w:cs="Times New Roman"/>
          <w:rFonts w:ascii="Times New Roman" w:hAnsi="Times New Roman"/>
          <w:b w:val="0"/>
          <w:i w:val="0"/>
          <w:sz w:val="24"/>
        </w:rPr>
        <w:t>(2), 145–158.</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Setiawan, B., &amp; Indrawati, L. (2024). Dampak green banking terhadap kinerja keuangan dengan variabel moderasi ukuran perusahaan. </w:t>
      </w:r>
      <w:r>
        <w:rPr>
          <w:rFonts w:ascii="Times New Roman" w:hAnsi="Times New Roman" w:cs="Times New Roman"/>
          <w:rFonts w:ascii="Times New Roman" w:hAnsi="Times New Roman"/>
          <w:b w:val="0"/>
          <w:i/>
          <w:sz w:val="24"/>
        </w:rPr>
        <w:t>Jurnal Akuntansi dan Keuangan Indonesia</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21</w:t>
      </w:r>
      <w:r>
        <w:rPr>
          <w:rFonts w:ascii="Times New Roman" w:hAnsi="Times New Roman" w:cs="Times New Roman"/>
          <w:rFonts w:ascii="Times New Roman" w:hAnsi="Times New Roman"/>
          <w:b w:val="0"/>
          <w:i w:val="0"/>
          <w:sz w:val="24"/>
        </w:rPr>
        <w:t>(1), 60–77.</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Spence, M. (1973). Job market signaling. </w:t>
      </w:r>
      <w:r>
        <w:rPr>
          <w:rFonts w:ascii="Times New Roman" w:hAnsi="Times New Roman" w:cs="Times New Roman"/>
          <w:rFonts w:ascii="Times New Roman" w:hAnsi="Times New Roman"/>
          <w:b w:val="0"/>
          <w:i/>
          <w:sz w:val="24"/>
        </w:rPr>
        <w:t>The Quarterly Journal of Economics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87</w:t>
      </w:r>
      <w:r>
        <w:rPr>
          <w:rFonts w:ascii="Times New Roman" w:hAnsi="Times New Roman" w:cs="Times New Roman"/>
          <w:rFonts w:ascii="Times New Roman" w:hAnsi="Times New Roman"/>
          <w:b w:val="0"/>
          <w:i w:val="0"/>
          <w:sz w:val="24"/>
        </w:rPr>
        <w:t>(3), 355–374. https://doi.org/10.2307/1882010</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Suchman, M. C. (1995). Managing legitimacy: Strategic and institutional approaches. </w:t>
      </w:r>
      <w:r>
        <w:rPr>
          <w:rFonts w:ascii="Times New Roman" w:hAnsi="Times New Roman" w:cs="Times New Roman"/>
          <w:rFonts w:ascii="Times New Roman" w:hAnsi="Times New Roman"/>
          <w:b w:val="0"/>
          <w:i/>
          <w:sz w:val="24"/>
        </w:rPr>
        <w:t>Academy of Management Review</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20</w:t>
      </w:r>
      <w:r>
        <w:rPr>
          <w:rFonts w:ascii="Times New Roman" w:hAnsi="Times New Roman" w:cs="Times New Roman"/>
          <w:rFonts w:ascii="Times New Roman" w:hAnsi="Times New Roman"/>
          <w:b w:val="0"/>
          <w:i w:val="0"/>
          <w:sz w:val="24"/>
        </w:rPr>
        <w:t>(3), 571–610. https://doi.org/10.2307/258788</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Sugiyono,  (2019). </w:t>
      </w:r>
      <w:r>
        <w:rPr>
          <w:rFonts w:ascii="Times New Roman" w:hAnsi="Times New Roman" w:cs="Times New Roman"/>
          <w:rFonts w:ascii="Times New Roman" w:hAnsi="Times New Roman"/>
          <w:b w:val="0"/>
          <w:i/>
          <w:sz w:val="24"/>
        </w:rPr>
        <w:t>Metode Penelitian Kuantitatif, Kualitatif, dan R\&amp;D</w:t>
      </w:r>
      <w:r>
        <w:rPr>
          <w:rFonts w:ascii="Times New Roman" w:hAnsi="Times New Roman" w:cs="Times New Roman"/>
          <w:rFonts w:ascii="Times New Roman" w:hAnsi="Times New Roman"/>
          <w:b w:val="0"/>
          <w:i w:val="0"/>
          <w:sz w:val="24"/>
        </w:rPr>
        <w:t xml:space="preserve"> (2th ed.). Bandung: Alfabeta.</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Sun, H., Edziah, B. K., Sun, C., &amp; Kporsu, A. K. (2021). Green credit policy and bank profitability: Evidence from commercial banks in China. </w:t>
      </w:r>
      <w:r>
        <w:rPr>
          <w:rFonts w:ascii="Times New Roman" w:hAnsi="Times New Roman" w:cs="Times New Roman"/>
          <w:rFonts w:ascii="Times New Roman" w:hAnsi="Times New Roman"/>
          <w:b w:val="0"/>
          <w:i/>
          <w:sz w:val="24"/>
        </w:rPr>
        <w:t>Energy Policy</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159</w:t>
      </w:r>
      <w:r>
        <w:rPr>
          <w:rFonts w:ascii="Times New Roman" w:hAnsi="Times New Roman" w:cs="Times New Roman"/>
          <w:rFonts w:ascii="Times New Roman" w:hAnsi="Times New Roman"/>
          <w:b w:val="0"/>
          <w:i w:val="0"/>
          <w:sz w:val="24"/>
        </w:rPr>
        <w:t>, 112613. https://doi.org/10.1016/j.enpol.2021.112613</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Universitas Kristen Krida Wacana (2022). </w:t>
      </w:r>
      <w:r>
        <w:rPr>
          <w:rFonts w:ascii="Times New Roman" w:hAnsi="Times New Roman" w:cs="Times New Roman"/>
          <w:rFonts w:ascii="Times New Roman" w:hAnsi="Times New Roman"/>
          <w:b w:val="0"/>
          <w:i/>
          <w:sz w:val="24"/>
        </w:rPr>
        <w:t>Buku Pedoman Penyusunan Skripsi Fakultas Ekonomi dan Bisnis</w:t>
      </w:r>
      <w:r>
        <w:rPr>
          <w:rFonts w:ascii="Times New Roman" w:hAnsi="Times New Roman" w:cs="Times New Roman"/>
          <w:rFonts w:ascii="Times New Roman" w:hAnsi="Times New Roman"/>
          <w:b w:val="0"/>
          <w:i w:val="0"/>
          <w:sz w:val="24"/>
        </w:rPr>
        <w:t>. Fakultas Ekonomi dan Bisnis -- Universitas Kristen Krida Wacana.</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Wernerfelt, B. (1984). A resource-based view of the firm. </w:t>
      </w:r>
      <w:r>
        <w:rPr>
          <w:rFonts w:ascii="Times New Roman" w:hAnsi="Times New Roman" w:cs="Times New Roman"/>
          <w:rFonts w:ascii="Times New Roman" w:hAnsi="Times New Roman"/>
          <w:b w:val="0"/>
          <w:i/>
          <w:sz w:val="24"/>
        </w:rPr>
        <w:t>Strategic Management Journal</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5</w:t>
      </w:r>
      <w:r>
        <w:rPr>
          <w:rFonts w:ascii="Times New Roman" w:hAnsi="Times New Roman" w:cs="Times New Roman"/>
          <w:rFonts w:ascii="Times New Roman" w:hAnsi="Times New Roman"/>
          <w:b w:val="0"/>
          <w:i w:val="0"/>
          <w:sz w:val="24"/>
        </w:rPr>
        <w:t>(2), 171–180. https://doi.org/10.1002/smj.4250050207</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Wijaya, K. A., &amp; Mahardika, P. (2024). Evaluasi green financing dan efisiensi operasional pada bank BUMN. </w:t>
      </w:r>
      <w:r>
        <w:rPr>
          <w:rFonts w:ascii="Times New Roman" w:hAnsi="Times New Roman" w:cs="Times New Roman"/>
          <w:rFonts w:ascii="Times New Roman" w:hAnsi="Times New Roman"/>
          <w:b w:val="0"/>
          <w:i/>
          <w:sz w:val="24"/>
        </w:rPr>
        <w:t>Jurnal Riset Akuntansi Kontemporer</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16</w:t>
      </w:r>
      <w:r>
        <w:rPr>
          <w:rFonts w:ascii="Times New Roman" w:hAnsi="Times New Roman" w:cs="Times New Roman"/>
          <w:rFonts w:ascii="Times New Roman" w:hAnsi="Times New Roman"/>
          <w:b w:val="0"/>
          <w:i w:val="0"/>
          <w:sz w:val="24"/>
        </w:rPr>
        <w:t>(1), 18–30.</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Wooldridge, J. M. (2020). </w:t>
      </w:r>
      <w:r>
        <w:rPr>
          <w:rFonts w:ascii="Times New Roman" w:hAnsi="Times New Roman" w:cs="Times New Roman"/>
          <w:rFonts w:ascii="Times New Roman" w:hAnsi="Times New Roman"/>
          <w:b w:val="0"/>
          <w:i/>
          <w:sz w:val="24"/>
        </w:rPr>
        <w:t>Introductory Econometrics: A Modern Approach</w:t>
      </w:r>
      <w:r>
        <w:rPr>
          <w:rFonts w:ascii="Times New Roman" w:hAnsi="Times New Roman" w:cs="Times New Roman"/>
          <w:rFonts w:ascii="Times New Roman" w:hAnsi="Times New Roman"/>
          <w:b w:val="0"/>
          <w:i w:val="0"/>
          <w:sz w:val="24"/>
        </w:rPr>
        <w:t xml:space="preserve"> (7th ed.). Boston: Cengage Learning.</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Wulandari, R., &amp; Rahardjo, S. N. (2022). Pengaruh green financing dan manajemen risiko terhadap profitabilitas perbankan. </w:t>
      </w:r>
      <w:r>
        <w:rPr>
          <w:rFonts w:ascii="Times New Roman" w:hAnsi="Times New Roman" w:cs="Times New Roman"/>
          <w:rFonts w:ascii="Times New Roman" w:hAnsi="Times New Roman"/>
          <w:b w:val="0"/>
          <w:i/>
          <w:sz w:val="24"/>
        </w:rPr>
        <w:t>Jurnal Dinamika Akuntansi dan Bisnis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9</w:t>
      </w:r>
      <w:r>
        <w:rPr>
          <w:rFonts w:ascii="Times New Roman" w:hAnsi="Times New Roman" w:cs="Times New Roman"/>
          <w:rFonts w:ascii="Times New Roman" w:hAnsi="Times New Roman"/>
          <w:b w:val="0"/>
          <w:i w:val="0"/>
          <w:sz w:val="24"/>
        </w:rPr>
        <w:t>(2), 189–204.</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Yin, W., Zhu, Z., Kirkulak-Uludag, B., &amp; Zhu, Y. (2021). The determinants of green credit and its impact on the performance of Chinese banks. </w:t>
      </w:r>
      <w:r>
        <w:rPr>
          <w:rFonts w:ascii="Times New Roman" w:hAnsi="Times New Roman" w:cs="Times New Roman"/>
          <w:rFonts w:ascii="Times New Roman" w:hAnsi="Times New Roman"/>
          <w:b w:val="0"/>
          <w:i/>
          <w:sz w:val="24"/>
        </w:rPr>
        <w:t>Journal of Cleaner Production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286</w:t>
      </w:r>
      <w:r>
        <w:rPr>
          <w:rFonts w:ascii="Times New Roman" w:hAnsi="Times New Roman" w:cs="Times New Roman"/>
          <w:rFonts w:ascii="Times New Roman" w:hAnsi="Times New Roman"/>
          <w:b w:val="0"/>
          <w:i w:val="0"/>
          <w:sz w:val="24"/>
        </w:rPr>
        <w:t>, 124991. https://doi.org/10.1016/j.jclepro.2020.124991</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Zhang, B., Yang, Y., &amp; Bi, J. (2022). Green finance, green innovation and bank performance: Evidence from emerging economies. </w:t>
      </w:r>
      <w:r>
        <w:rPr>
          <w:rFonts w:ascii="Times New Roman" w:hAnsi="Times New Roman" w:cs="Times New Roman"/>
          <w:rFonts w:ascii="Times New Roman" w:hAnsi="Times New Roman"/>
          <w:b w:val="0"/>
          <w:i/>
          <w:sz w:val="24"/>
        </w:rPr>
        <w:t>Environmental Science and Pollution Research</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29</w:t>
      </w:r>
      <w:r>
        <w:rPr>
          <w:rFonts w:ascii="Times New Roman" w:hAnsi="Times New Roman" w:cs="Times New Roman"/>
          <w:rFonts w:ascii="Times New Roman" w:hAnsi="Times New Roman"/>
          <w:b w:val="0"/>
          <w:i w:val="0"/>
          <w:sz w:val="24"/>
        </w:rPr>
        <w:t>(22), 33520–33534. https://doi.org/10.1007/s11356-021-17987-5</w:t>
      </w:r>
    </w:p>
    <w:p>
      <w:pPr>
        <w:spacing w:before="40" w:after="120" w:lineRule="auto" w:line="240"/>
        <w:ind w:hanging="709" w:left="709"/>
        <w:jc w:val="both"/>
      </w:pPr>
      <w:r>
        <w:rPr>
          <w:rFonts w:ascii="Times New Roman" w:hAnsi="Times New Roman" w:cs="Times New Roman"/>
          <w:rFonts w:ascii="Times New Roman" w:hAnsi="Times New Roman"/>
          <w:b w:val="0"/>
          <w:i w:val="0"/>
          <w:sz w:val="24"/>
        </w:rPr>
        <w:t xml:space="preserve">Zhou, G., Sun, Y., Luo, S., &amp; Liao, J. (2021). Sustainable finance and bank risk: The role of green credit. </w:t>
      </w:r>
      <w:r>
        <w:rPr>
          <w:rFonts w:ascii="Times New Roman" w:hAnsi="Times New Roman" w:cs="Times New Roman"/>
          <w:rFonts w:ascii="Times New Roman" w:hAnsi="Times New Roman"/>
          <w:b w:val="0"/>
          <w:i/>
          <w:sz w:val="24"/>
        </w:rPr>
        <w:t>Finance Research Letters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43</w:t>
      </w:r>
      <w:r>
        <w:rPr>
          <w:rFonts w:ascii="Times New Roman" w:hAnsi="Times New Roman" w:cs="Times New Roman"/>
          <w:rFonts w:ascii="Times New Roman" w:hAnsi="Times New Roman"/>
          <w:b w:val="0"/>
          <w:i w:val="0"/>
          <w:sz w:val="24"/>
        </w:rPr>
        <w:t>, 102009. https://doi.org/10.1016/j.frl.2021.102009</w:t>
      </w:r>
    </w:p>
    <w:sectPr w:rsidR="00FC693F" w:rsidRPr="0006063C" w:rsidSect="00034616">
      <w:footerReference w:type="default" r:id="rId10"/>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i w:val="0"/>
        <w:sz w:val="20"/>
      </w:rPr>
      <w:fldChar w:fldCharType="begin"/>
      <w:instrText> PAGE \* lowerroman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rFonts w:ascii="Times New Roman" w:hAnsi="Times New Roman"/>
        <w:b/>
        <w:i w:val="0"/>
        <w:sz w:val="20"/>
      </w:rPr>
      <w:fldChar w:fldCharType="begin"/>
      <w:instrText> PAGE </w:instrText>
      <w:fldChar w:fldCharType="end"/>
    </w:r>
    <w:r>
      <w:rPr>
        <w:rFonts w:ascii="Times New Roman" w:hAnsi="Times New Roman" w:cs="Times New Roman"/>
        <w:rFonts w:ascii="Times New Roman" w:hAnsi="Times New Roman"/>
        <w:b/>
        <w:i w:val="0"/>
        <w:sz w:val="20"/>
      </w:rPr>
      <w:t xml:space="preserve">  Universitas Kristen Krida Wacana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