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360" w:line="360" w:lineRule="auto"/>
        <w:ind w:firstLine="0"/>
        <w:jc w:val="center"/>
        <w:outlineLvl w:val="0"/>
      </w:pPr>
      <w:r>
        <w:rPr>
          <w:b/>
          <w:i w:val="0"/>
          <w:sz w:val="24"/>
          <w:color w:val="000000"/>
          <w:rFonts w:ascii="Times New Roman" w:hAnsi="Times New Roman" w:cs="Times New Roman"/>
        </w:rPr>
        <w:t>ABSTRAK</w:t>
      </w:r>
    </w:p>
    <w:p>
      <w:pPr>
        <w:spacing w:before="0" w:after="240" w:line="276" w:lineRule="auto"/>
        <w:jc w:val="center"/>
      </w:pPr>
      <w:r>
        <w:rPr>
          <w:b/>
          <w:sz w:val="24"/>
          <w:color w:val="000000"/>
          <w:rFonts w:ascii="Times New Roman" w:hAnsi="Times New Roman" w:cs="Times New Roman"/>
        </w:rPr>
        <w:t>PENGARUH HEDONIC MOTIVATION, DESIRE FOR COMPLETENESS, DAN SPECULATIVE MOTIVE TERHADAP IMPULSIVE BUYING BOOSTER PACK KARTU POKÉMON TCG DENGAN SELF-CONTROL SEBAGAI VARIABEL MODERASI (STUDI PADA KONSUMEN DI JAKARTA BARAT)</w:t>
        <w:br/>
        <w:br/>
        <w:t>Arthur Reezan (312023002)</w:t>
        <w:br/>
        <w:t>Program Studi S1 Manajemen, Fakultas Ekonomi dan Bisnis, Universitas Kristen Krida Wacana</w:t>
        <w:br/>
        <w:t>Dosen Pembimbing: Dr. Fredella Colline, S.E., M.M., CFP®, PFM, CHCP-A</w:t>
      </w:r>
    </w:p>
    <w:p>
      <w:pPr>
        <w:spacing w:line="240" w:lineRule="auto" w:before="120" w:after="120"/>
        <w:ind w:firstLine="709"/>
        <w:jc w:val="both"/>
      </w:pPr>
      <w:r>
        <w:rPr>
          <w:sz w:val="24"/>
          <w:color w:val="000000"/>
          <w:rFonts w:ascii="Times New Roman" w:hAnsi="Times New Roman" w:cs="Times New Roman"/>
        </w:rPr>
        <w:t>Penelitian ini bertujuan untuk menganalisis dan menguji secara empiris pengaruh hedonic motivation (motivasi hedonis), desire for completeness (hasrat kelengkapan koleksi), dan speculative motive (motif spekulasi finansial) terhadap impulsive buying (pembelian impulsif) booster pack kartu Pokémon Trading Card Game (Pokémon TCG) fisik resmi berbahasa Indonesia pada konsumen di Jakarta Barat, serta menguji peran kontrol diri (self-control) sebagai variabel moderasi dalam memperlemah pengaruh ketiga variabel anteseden tersebut. Penelitian ini menggunakan pendekatan kuantitatif asosiatif dengan desain survei cross-sectional. Data primer dikumpulkan melalui penyebaran kuesioner daring berbasis skala Likert 5 poin kepada responden yang dipilih melalui teknik purposive sampling. Kriteria inklusi sampel adalah konsumen atau kolektor Warga Negara Indonesia (WNI) berusia minimal 17 tahun yang berdomisili atau beraktivitas/bertransaksi aktif di wilayah Jakarta Barat serta pernah membeli booster pack Pokémon TCG fisik resmi dalam rentang waktu 6–12 bulan terakhir. Jumlah sampel yang ditargetkan adalah 120 hingga 150 responden, mengacu pada rekomendasi ukuran sampel Green (1991) dan Cohen (1988) untuk mencapai kekuatan uji statistik (statistical power) yang memadai pada model regresi linear berganda. Metode analisis data menggunakan analisis regresi berganda dan Moderated Regression Analysis (MRA) dengan prosedur pemusatan rata-rata (mean-centering) guna mereduksi potensi multikolinearitas non-esensial antara variabel prediktor dengan produk interaksinya (Aiken dan West, 1991; Ghozali, 2018), yang diolah menggunakan perangkat lunak IBM SPSS Statistics. Penelitian ini menawarkan kebaruan teoritis (novelty) dengan mengintegrasikan kerangka psikologi lingkungan Stimulus-Organism-Response (S-O-R), psikologi kolektor (Zeigarnik Effect dan The Completing the Set Effect), teori regulasi diri (Self-Regulation Theory), serta prinsip-prinsip keuangan perilaku (behavioral finance) pada fenomena komoditas hobi fisik bernilai spekulatif tinggi di kawasan metropolitan Jakarta Barat. Hasil penelitian ini diharapkan memberikan kontribusi empiris bagi konsumen muda dalam menjaga kontrol diri finansial, serta masukan aplikatif bagi komunitas hobi dan pemangku kebijakan edukasi keuangan generasi muda di Indonesia.</w:t>
      </w:r>
    </w:p>
    <w:p>
      <w:pPr>
        <w:spacing w:line="276" w:lineRule="auto" w:before="120"/>
        <w:ind w:firstLine="0"/>
        <w:jc w:val="left"/>
      </w:pPr>
      <w:r>
        <w:rPr>
          <w:b/>
          <w:sz w:val="24"/>
          <w:color w:val="000000"/>
          <w:rFonts w:ascii="Times New Roman" w:hAnsi="Times New Roman" w:cs="Times New Roman"/>
        </w:rPr>
        <w:t xml:space="preserve">Kata Kunci: </w:t>
      </w:r>
      <w:r>
        <w:rPr>
          <w:i/>
          <w:sz w:val="24"/>
          <w:color w:val="000000"/>
          <w:rFonts w:ascii="Times New Roman" w:hAnsi="Times New Roman" w:cs="Times New Roman"/>
        </w:rPr>
        <w:t>Impulsive Buying, Hedonic Motivation, Desire for Completeness, Speculative Motive, Self-Control, Moderated Regression Analysis, Pokémon TCG, Jakarta Barat, Keuangan Perilaku (Behavioral Finance).</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b/>
      <w:bCs/>
      <w:sz w:val="24"/>
      <w:szCs w:val="28"/>
      <w:color w:val="000000"/>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b/>
      <w:bCs/>
      <w:sz w:val="24"/>
      <w:szCs w:val="26"/>
      <w:color w:val="000000"/>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b/>
      <w:bCs/>
      <w:sz w:val="24"/>
      <w:color w:val="000000"/>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