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0" w:after="360" w:line="360" w:lineRule="auto"/>
        <w:ind w:firstLine="0"/>
        <w:jc w:val="center"/>
        <w:outlineLvl w:val="0"/>
      </w:pPr>
      <w:r>
        <w:rPr>
          <w:b/>
          <w:i w:val="0"/>
          <w:sz w:val="24"/>
          <w:color w:val="000000"/>
          <w:rFonts w:ascii="Times New Roman" w:hAnsi="Times New Roman" w:cs="Times New Roman"/>
        </w:rPr>
        <w:t>ABSTRACT</w:t>
      </w:r>
    </w:p>
    <w:p>
      <w:pPr>
        <w:spacing w:before="0" w:after="240" w:line="276" w:lineRule="auto"/>
        <w:jc w:val="center"/>
      </w:pPr>
      <w:r>
        <w:rPr>
          <w:b/>
          <w:sz w:val="24"/>
          <w:color w:val="000000"/>
          <w:rFonts w:ascii="Times New Roman" w:hAnsi="Times New Roman" w:cs="Times New Roman"/>
        </w:rPr>
        <w:t>THE EFFECT OF HEDONIC MOTIVATION, DESIRE FOR COMPLETENESS, AND SPECULATIVE MOTIVE ON IMPULSIVE BUYING OF POKÉMON TCG BOOSTER PACKS WITH SELF-CONTROL AS A MODERATING VARIABLE (A STUDY ON CONSUMERS IN WEST JAKARTA)</w:t>
        <w:br/>
        <w:br/>
        <w:t>Arthur Reezan (312023002)</w:t>
        <w:br/>
        <w:t>Undergraduate Program in Management, Faculty of Economics and Business, UKRIDA</w:t>
        <w:br/>
        <w:t>Thesis Advisor: Dr. Fredella Colline, S.E., M.M., CFP®, PFM, CHCP-A</w:t>
      </w:r>
    </w:p>
    <w:p>
      <w:pPr>
        <w:spacing w:line="240" w:lineRule="auto" w:before="120" w:after="120"/>
        <w:ind w:firstLine="709"/>
        <w:jc w:val="both"/>
      </w:pPr>
      <w:r>
        <w:rPr>
          <w:i/>
          <w:sz w:val="24"/>
          <w:color w:val="000000"/>
          <w:rFonts w:ascii="Times New Roman" w:hAnsi="Times New Roman" w:cs="Times New Roman"/>
        </w:rPr>
        <w:t>This research aims to analyze and empirically test the effects of hedonic motivation, desire for completeness, and speculative motive on the impulsive buying behavior of official Indonesian-language physical Pokémon Trading Card Game (Pokémon TCG) booster packs among consumers in West Jakarta, as well as to evaluate the moderating role of self-control in weakening the relationships between these three antecedent variables and impulsive buying. This study adopts an associative quantitative approach utilizing a cross-sectional survey design. Primary data are gathered via self-administered online questionnaires employing a 5-point Likert scale, distributed to respondents selected through purposive sampling. The sample inclusion criteria comprise Indonesian citizens aged 17 and above residing or actively transacting in West Jakarta who have purchased official physical booster packs within the past 6 to 12 months. The targeted sample size ranges from 120 to 150 respondents, consistent with the statistical power criteria established by Green (1991) and Cohen (1988) for multiple regression frameworks. The empirical model is estimated using multiple linear regression and Moderated Regression Analysis (MRA) with mean-centering procedures to reduce non-essential multicollinearity between predictor variables and their interaction products (Aiken dan West, 1991; Ghozali, 2018), executed via IBM SPSS Statistics software. This study provides theoretical novelty by synthesizing the Stimulus-Organism-Response (S-O-R) paradigm, collector psychology (the Zeigarnik Effect and The Completing the Set Effect), Self-Regulation Theory, and behavioral finance principles in the context of tangible alternative assets exhibiting volatile secondary market premiums in the West Jakarta urban area. The findings are expected to offer practical insights for young consumers in exercising financial discipline regarding discretionary collectibles and provide strategic inputs for community organizers and financial educators targeting Generation Z.</w:t>
      </w:r>
    </w:p>
    <w:p>
      <w:pPr>
        <w:spacing w:line="276" w:lineRule="auto" w:before="120"/>
        <w:ind w:firstLine="0"/>
        <w:jc w:val="left"/>
      </w:pPr>
      <w:r>
        <w:rPr>
          <w:b/>
          <w:sz w:val="24"/>
          <w:color w:val="000000"/>
          <w:rFonts w:ascii="Times New Roman" w:hAnsi="Times New Roman" w:cs="Times New Roman"/>
        </w:rPr>
        <w:t xml:space="preserve">Keywords: </w:t>
      </w:r>
      <w:r>
        <w:rPr>
          <w:i/>
          <w:sz w:val="24"/>
          <w:color w:val="000000"/>
          <w:rFonts w:ascii="Times New Roman" w:hAnsi="Times New Roman" w:cs="Times New Roman"/>
        </w:rPr>
        <w:t>Impulsive Buying, Hedonic Motivation, Desire for Completeness, Speculative Motive, Self-Control, Moderated Regression Analysis, Pokémon TCG, West Jakarta, Behavioral Finance.</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jc w:val="right"/>
    </w:pPr>
    <w:rPr>
      <w:rFonts w:ascii="Times New Roman" w:hAnsi="Times New Roman"/>
      <w:b/>
      <w:color w:val="000000"/>
      <w:sz w:val="2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ind w:firstLine="0"/>
      <w:jc w:val="center"/>
      <w:outlineLvl w:val="0"/>
    </w:pPr>
    <w:rPr>
      <w:b/>
      <w:bCs/>
      <w:sz w:val="24"/>
      <w:szCs w:val="28"/>
      <w:color w:val="000000"/>
      <w:rFonts w:ascii="Times New Roman" w:hAnsi="Times New Roman" w:cs="Times New Roman"/>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b/>
      <w:bCs/>
      <w:sz w:val="24"/>
      <w:szCs w:val="26"/>
      <w:color w:val="000000"/>
      <w:rFonts w:ascii="Times New Roman" w:hAnsi="Times New Roman" w:cs="Times New Roman"/>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jc w:val="left"/>
      <w:outlineLvl w:val="2"/>
    </w:pPr>
    <w:rPr>
      <w:b/>
      <w:bCs/>
      <w:sz w:val="24"/>
      <w:color w:val="000000"/>
      <w:rFonts w:ascii="Times New Roman" w:hAnsi="Times New Roman" w:cs="Times New Roma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