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ind w:firstLine="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0"/>
                    <a:stretch>
                      <a:fillRect/>
                    </a:stretch>
                  </pic:blipFill>
                  <pic:spPr>
                    <a:xfrm>
                      <a:off x="0" y="0"/>
                      <a:ext cx="1152000" cy="1152000"/>
                    </a:xfrm>
                    <a:prstGeom prst="rect"/>
                  </pic:spPr>
                </pic:pic>
              </a:graphicData>
            </a:graphic>
          </wp:inline>
        </w:drawing>
      </w:r>
    </w:p>
    <w:p>
      <w:pPr>
        <w:spacing w:before="120" w:after="360"/>
        <w:jc w:val="center"/>
      </w:pPr>
      <w:r>
        <w:rPr>
          <w:b/>
          <w:sz w:val="28"/>
          <w:color w:val="000000"/>
          <w:rFonts w:ascii="Times New Roman" w:hAnsi="Times New Roman" w:cs="Times New Roman"/>
        </w:rPr>
        <w:t>PROPOSAL SKRIPSI</w:t>
      </w:r>
    </w:p>
    <w:p>
      <w:pPr>
        <w:spacing w:before="240" w:after="480" w:line="276" w:lineRule="auto"/>
        <w:jc w:val="center"/>
      </w:pPr>
      <w:r>
        <w:rPr>
          <w:b/>
          <w:i w:val="0"/>
          <w:sz w:val="28"/>
          <w:color w:val="000000"/>
          <w:rFonts w:ascii="Times New Roman" w:hAnsi="Times New Roman" w:cs="Times New Roman"/>
        </w:rPr>
        <w:t xml:space="preserve">PENGARUH </w:t>
      </w:r>
      <w:r>
        <w:rPr>
          <w:b/>
          <w:i/>
          <w:sz w:val="28"/>
          <w:color w:val="000000"/>
          <w:rFonts w:ascii="Times New Roman" w:hAnsi="Times New Roman" w:cs="Times New Roman"/>
        </w:rPr>
        <w:t>HEDONIC MOTIVATION</w:t>
      </w:r>
      <w:r>
        <w:rPr>
          <w:b/>
          <w:i w:val="0"/>
          <w:sz w:val="28"/>
          <w:color w:val="000000"/>
          <w:rFonts w:ascii="Times New Roman" w:hAnsi="Times New Roman" w:cs="Times New Roman"/>
        </w:rPr>
        <w:t xml:space="preserve">, </w:t>
      </w:r>
      <w:r>
        <w:rPr>
          <w:b/>
          <w:i/>
          <w:sz w:val="28"/>
          <w:color w:val="000000"/>
          <w:rFonts w:ascii="Times New Roman" w:hAnsi="Times New Roman" w:cs="Times New Roman"/>
        </w:rPr>
        <w:t>DESIRE FOR COMPLETENESS</w:t>
      </w:r>
      <w:r>
        <w:rPr>
          <w:b/>
          <w:i w:val="0"/>
          <w:sz w:val="28"/>
          <w:color w:val="000000"/>
          <w:rFonts w:ascii="Times New Roman" w:hAnsi="Times New Roman" w:cs="Times New Roman"/>
        </w:rPr>
        <w:t xml:space="preserve">, DAN </w:t>
      </w:r>
      <w:r>
        <w:rPr>
          <w:b/>
          <w:i/>
          <w:sz w:val="28"/>
          <w:color w:val="000000"/>
          <w:rFonts w:ascii="Times New Roman" w:hAnsi="Times New Roman" w:cs="Times New Roman"/>
        </w:rPr>
        <w:t>SPECULATIVE MOTIVE</w:t>
      </w:r>
      <w:r>
        <w:rPr>
          <w:b/>
          <w:i w:val="0"/>
          <w:sz w:val="28"/>
          <w:color w:val="000000"/>
          <w:rFonts w:ascii="Times New Roman" w:hAnsi="Times New Roman" w:cs="Times New Roman"/>
        </w:rPr>
        <w:t xml:space="preserve"> TERHADAP </w:t>
      </w:r>
      <w:r>
        <w:rPr>
          <w:b/>
          <w:i/>
          <w:sz w:val="28"/>
          <w:color w:val="000000"/>
          <w:rFonts w:ascii="Times New Roman" w:hAnsi="Times New Roman" w:cs="Times New Roman"/>
        </w:rPr>
        <w:t>IMPULSIVE BUYING</w:t>
      </w:r>
      <w:r>
        <w:rPr>
          <w:b/>
          <w:i w:val="0"/>
          <w:sz w:val="28"/>
          <w:color w:val="000000"/>
          <w:rFonts w:ascii="Times New Roman" w:hAnsi="Times New Roman" w:cs="Times New Roman"/>
        </w:rPr>
        <w:t xml:space="preserve"> BOOSTER PACK KARTU POKÉMON TCG DENGAN </w:t>
      </w:r>
      <w:r>
        <w:rPr>
          <w:b/>
          <w:i/>
          <w:sz w:val="28"/>
          <w:color w:val="000000"/>
          <w:rFonts w:ascii="Times New Roman" w:hAnsi="Times New Roman" w:cs="Times New Roman"/>
        </w:rPr>
        <w:t>SELF-CONTROL</w:t>
      </w:r>
      <w:r>
        <w:rPr>
          <w:b/>
          <w:i w:val="0"/>
          <w:sz w:val="28"/>
          <w:color w:val="000000"/>
          <w:rFonts w:ascii="Times New Roman" w:hAnsi="Times New Roman" w:cs="Times New Roman"/>
        </w:rPr>
        <w:t xml:space="preserve"> SEBAGAI VARIABEL MODERASI</w:t>
      </w:r>
    </w:p>
    <w:p>
      <w:pPr>
        <w:spacing w:before="360" w:after="480" w:line="276" w:lineRule="auto"/>
        <w:jc w:val="center"/>
      </w:pPr>
      <w:r>
        <w:rPr>
          <w:sz w:val="24"/>
          <w:color w:val="000000"/>
          <w:rFonts w:ascii="Times New Roman" w:hAnsi="Times New Roman" w:cs="Times New Roman"/>
        </w:rPr>
        <w:t>Diajukan Kepada Program Studi S1 Manajemen</w:t>
        <w:br/>
        <w:t>Untuk Menyusun Skripsi Sarjana Manajemen (S.M.)</w:t>
      </w:r>
    </w:p>
    <w:p>
      <w:pPr>
        <w:spacing w:before="480" w:after="720" w:line="276" w:lineRule="auto"/>
        <w:jc w:val="center"/>
      </w:pPr>
      <w:r>
        <w:rPr>
          <w:sz w:val="24"/>
          <w:color w:val="000000"/>
          <w:rFonts w:ascii="Times New Roman" w:hAnsi="Times New Roman" w:cs="Times New Roman"/>
        </w:rPr>
        <w:t>Diajukan Oleh:</w:t>
        <w:br/>
        <w:br/>
      </w:r>
      <w:r>
        <w:rPr>
          <w:b/>
          <w:sz w:val="24"/>
          <w:color w:val="000000"/>
          <w:rFonts w:ascii="Times New Roman" w:hAnsi="Times New Roman" w:cs="Times New Roman"/>
        </w:rPr>
        <w:t>Arthur Reezan</w:t>
        <w:br/>
        <w:t>(312023002)</w:t>
      </w:r>
    </w:p>
    <w:p>
      <w:pPr>
        <w:spacing w:before="960" w:after="0" w:line="276" w:lineRule="auto"/>
        <w:jc w:val="center"/>
      </w:pPr>
      <w:r>
        <w:rPr>
          <w:b/>
          <w:sz w:val="24"/>
          <w:color w:val="000000"/>
          <w:rFonts w:ascii="Times New Roman" w:hAnsi="Times New Roman" w:cs="Times New Roman"/>
        </w:rPr>
        <w:t>PROGRAM STUDI S1 MANAJEMEN</w:t>
        <w:br/>
        <w:t>FAKULTAS EKONOMI DAN BISNIS</w:t>
        <w:br/>
        <w:t>UNIVERSITAS KRISTEN KRIDA WACANA</w:t>
        <w:br/>
        <w:t>JAKARTA 2026</w:t>
      </w:r>
    </w:p>
    <w:p>
      <w:pPr>
        <w:sectPr>
          <w:footerReference w:type="first" r:id="rId9"/>
          <w:pgSz w:w="11906" w:h="16838"/>
          <w:pgMar w:top="1701" w:right="1701" w:bottom="1701" w:left="2268" w:header="720" w:footer="720" w:gutter="0"/>
          <w:cols w:space="720"/>
          <w:titlePg/>
          <w:docGrid w:linePitch="360"/>
        </w:sectPr>
      </w:pPr>
    </w:p>
    <w:p>
      <w:pPr>
        <w:pStyle w:val="Heading1"/>
        <w:keepNext/>
        <w:spacing w:before="0" w:after="360" w:line="360" w:lineRule="auto"/>
        <w:ind w:firstLine="0"/>
        <w:jc w:val="center"/>
        <w:outlineLvl w:val="0"/>
      </w:pPr>
      <w:r>
        <w:rPr>
          <w:b/>
          <w:i w:val="0"/>
          <w:sz w:val="24"/>
          <w:color w:val="000000"/>
          <w:rFonts w:ascii="Times New Roman" w:hAnsi="Times New Roman" w:cs="Times New Roman"/>
        </w:rPr>
        <w:t>PERNYATAAN KEASLIAN KARYA TUGAS AKHIR</w:t>
      </w:r>
    </w:p>
    <w:p>
      <w:pPr>
        <w:spacing w:line="360" w:lineRule="auto" w:before="0" w:after="0"/>
        <w:ind w:firstLine="0"/>
        <w:jc w:val="both"/>
      </w:pPr>
      <w:r>
        <w:rPr>
          <w:b w:val="0"/>
          <w:i w:val="0"/>
          <w:sz w:val="24"/>
          <w:color w:val="000000"/>
          <w:rFonts w:ascii="Times New Roman" w:hAnsi="Times New Roman" w:cs="Times New Roman"/>
        </w:rPr>
        <w:t>Saya mahasiswa Universitas Kristen Krida Wacana:</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line="360" w:lineRule="auto" w:before="0" w:after="0"/>
        <w:ind w:firstLine="0"/>
        <w:jc w:val="both"/>
      </w:pPr>
      <w:r>
        <w:rPr>
          <w:b w:val="0"/>
          <w:i w:val="0"/>
          <w:sz w:val="24"/>
          <w:color w:val="000000"/>
          <w:rFonts w:ascii="Times New Roman" w:hAnsi="Times New Roman" w:cs="Times New Roman"/>
        </w:rPr>
        <w:t>Dengan ini menyatakan dengan sesungguhnya bahwa 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adalah:</w:t>
      </w:r>
    </w:p>
    <w:p>
      <w:pPr>
        <w:spacing w:before="0" w:after="8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Benar-benar hasil karya saya sendiri, bukan merupakan jiplakan, plagiarisme, fabrikasi, atau tiruan dari karya tulis ilmiah orang lain yang pernah diajukan untuk memperoleh gelar akademik di perguruan tinggi manapun.</w:t>
      </w:r>
    </w:p>
    <w:p>
      <w:pPr>
        <w:spacing w:before="0" w:after="8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Seluruh kutipan, data, dan rujukan ilmiah yang digunakan dalam naskah ini telah dicantumkan sumbernya secara jelas dan lengkap sesuai dengan kaidah penulisan ilmiah yang berlaku di Universitas Kristen Krida Wacana.</w:t>
      </w:r>
    </w:p>
    <w:p>
      <w:pPr>
        <w:spacing w:before="0" w:after="8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before="480"/>
              <w:jc w:val="center"/>
            </w:pPr>
            <w:r>
              <w:rPr>
                <w:i/>
                <w:sz w:val="20"/>
                <w:color w:val="000000"/>
              </w:rPr>
              <w:br/>
              <w:br/>
              <w:t>[ Materai Rp10.000 ]</w:t>
              <w:br/>
              <w:br/>
            </w:r>
          </w:p>
        </w:tc>
        <w:tc>
          <w:tcPr>
            <w:tcW w:type="dxa" w:w="3968"/>
          </w:tcPr>
          <w:p>
            <w:pPr>
              <w:spacing w:before="240" w:line="276" w:lineRule="auto"/>
              <w:jc w:val="center"/>
            </w:pPr>
            <w:r>
              <w:rPr>
                <w:color w:val="000000"/>
              </w:rPr>
              <w:t>Jakarta, 12 September 2026</w:t>
              <w:br/>
              <w:t>Yang membuat pernyataan,</w:t>
              <w:br/>
              <w:br/>
              <w:br/>
              <w:br/>
              <w:br/>
            </w:r>
            <w:r>
              <w:rPr>
                <w:b/>
                <w:color w:val="000000"/>
              </w:rPr>
              <w:t>Arthur Reezan</w:t>
              <w:br/>
            </w:r>
            <w:r>
              <w:rPr>
                <w:color w:val="000000"/>
              </w:rPr>
              <w:t>NIM: 312023002</w:t>
            </w:r>
          </w:p>
        </w:tc>
      </w:tr>
    </w:tbl>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PERSETUJUAN PROPOSAL SKRIPSI</w:t>
      </w:r>
    </w:p>
    <w:p>
      <w:pPr>
        <w:spacing w:line="360" w:lineRule="auto" w:before="0" w:after="0"/>
        <w:ind w:firstLine="0"/>
        <w:jc w:val="both"/>
      </w:pPr>
      <w:r>
        <w:rPr>
          <w:b w:val="0"/>
          <w:i w:val="0"/>
          <w:sz w:val="24"/>
          <w:color w:val="000000"/>
          <w:rFonts w:ascii="Times New Roman" w:hAnsi="Times New Roman" w:cs="Times New Roman"/>
        </w:rPr>
        <w:t>Proposal Skripsi ini diajukan oleh:</w:t>
      </w:r>
    </w:p>
    <w:tbl>
      <w:tblPr>
        <w:tblW w:type="auto" w:w="0"/>
        <w:jc w:val="center"/>
        <w:tblLook w:firstColumn="1" w:firstRow="1" w:lastColumn="0" w:lastRow="0" w:noHBand="0" w:noVBand="1" w:val="04A0"/>
      </w:tblPr>
      <w:tblGrid>
        <w:gridCol w:w="2646"/>
        <w:gridCol w:w="2646"/>
        <w:gridCol w:w="2646"/>
      </w:tblGrid>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Nama Mahasiswa</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Arthur Reezan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NIM</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312023002</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Program Studi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Program Studi S1 Manajemen</w:t>
            </w:r>
          </w:p>
        </w:tc>
      </w:tr>
      <w:tr>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Konsentrasi</w:t>
            </w:r>
          </w:p>
        </w:tc>
        <w:tc>
          <w:tcPr>
            <w:tcW w:type="dxa" w:w="2646"/>
            <w:tcMar>
              <w:top w:w="40" w:type="dxa"/>
              <w:bottom w:w="40" w:type="dxa"/>
              <w:left w:w="40" w:type="dxa"/>
              <w:right w:w="40" w:type="dxa"/>
            </w:tcMar>
          </w:tcPr>
          <w:p>
            <w:pPr>
              <w:spacing w:before="0" w:after="0" w:line="276" w:lineRule="auto"/>
            </w:pPr>
            <w:r>
              <w:rPr>
                <w:rFonts w:ascii="Times New Roman" w:hAnsi="Times New Roman"/>
                <w:sz w:val="24"/>
                <w:color w:val="000000"/>
              </w:rPr>
              <w:t>:</w:t>
            </w:r>
          </w:p>
        </w:tc>
        <w:tc>
          <w:tcPr>
            <w:tcW w:type="dxa" w:w="2646"/>
            <w:tcMar>
              <w:top w:w="40" w:type="dxa"/>
              <w:bottom w:w="40" w:type="dxa"/>
              <w:left w:w="40" w:type="dxa"/>
              <w:right w:w="40" w:type="dxa"/>
            </w:tcMar>
          </w:tcPr>
          <w:p>
            <w:pPr>
              <w:spacing w:before="0" w:after="0" w:line="276" w:lineRule="auto"/>
            </w:pPr>
            <w:r>
              <w:rPr>
                <w:rFonts w:ascii="Times New Roman" w:hAnsi="Times New Roman"/>
                <w:b/>
                <w:sz w:val="24"/>
                <w:color w:val="000000"/>
              </w:rPr>
              <w:t>Manajemen Keuangan</w:t>
            </w:r>
          </w:p>
        </w:tc>
      </w:tr>
    </w:tbl>
    <w:p>
      <w:pPr>
        <w:spacing w:before="240" w:after="24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disetujui untuk diajukan dalam Seminar Proposal Skripsi Program Studi S1 Manajemen Fakultas Ekonomi dan Bisnis Universitas Kristen Krida Wacana.</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Menyetujui,</w:t>
              <w:br/>
              <w:t>Dosen Pembimbing</w:t>
              <w:br/>
              <w:br/>
              <w:br/>
              <w:br/>
              <w:br/>
            </w:r>
            <w:r>
              <w:rPr>
                <w:b/>
                <w:color w:val="000000"/>
              </w:rPr>
              <w:t>Dr. Fredella Colline, S.E., M.M., CFP®, PFM, CHCP-A</w:t>
              <w:br/>
            </w:r>
            <w:r>
              <w:rPr>
                <w:color w:val="000000"/>
              </w:rPr>
              <w:t>NIDN: [NIDN_DOSEN]</w:t>
            </w:r>
          </w:p>
        </w:tc>
        <w:tc>
          <w:tcPr>
            <w:tcW w:type="dxa" w:w="3968"/>
          </w:tcPr>
          <w:p>
            <w:pPr>
              <w:spacing w:line="276" w:lineRule="auto"/>
              <w:jc w:val="center"/>
            </w:pPr>
            <w:r>
              <w:rPr>
                <w:color w:val="000000"/>
              </w:rPr>
              <w:t>Mengetahui,</w:t>
              <w:br/>
              <w:t>Ketua Program Studi S1 Manajemen</w:t>
              <w:br/>
              <w:br/>
              <w:br/>
              <w:br/>
            </w:r>
            <w:r>
              <w:rPr>
                <w:b/>
                <w:color w:val="000000"/>
              </w:rPr>
              <w:t>Rita Amelinda, S.E., M.M.</w:t>
              <w:br/>
            </w:r>
            <w:r>
              <w:rPr>
                <w:color w:val="000000"/>
              </w:rPr>
              <w:t>NIDN: [NIDN_KAPRODI]</w:t>
            </w:r>
          </w:p>
        </w:tc>
      </w:tr>
    </w:tbl>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PENGESAHAN TIM PENGUJI SEMINAR PROPOSAL</w:t>
      </w:r>
    </w:p>
    <w:p>
      <w:pPr>
        <w:spacing w:line="360" w:lineRule="auto" w:before="0" w:after="0"/>
        <w:ind w:firstLine="0"/>
        <w:jc w:val="both"/>
      </w:pPr>
      <w:r>
        <w:rPr>
          <w:b w:val="0"/>
          <w:i w:val="0"/>
          <w:sz w:val="24"/>
          <w:color w:val="000000"/>
          <w:rFonts w:ascii="Times New Roman" w:hAnsi="Times New Roman" w:cs="Times New Roman"/>
        </w:rPr>
        <w:t>Proposal Skripsi yang berjudul:</w:t>
      </w:r>
    </w:p>
    <w:p>
      <w:pPr>
        <w:spacing w:before="120" w:after="120" w:line="276" w:lineRule="auto"/>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type="auto" w:w="0"/>
        <w:jc w:val="center"/>
        <w:tblLook w:firstColumn="1" w:firstRow="1" w:lastColumn="0" w:lastRow="0" w:noHBand="0" w:noVBand="1" w:val="04A0"/>
      </w:tblPr>
      <w:tblGrid>
        <w:gridCol w:w="3968"/>
        <w:gridCol w:w="3968"/>
      </w:tblGrid>
      <w:tr>
        <w:tc>
          <w:tcPr>
            <w:tcW w:type="dxa" w:w="3968"/>
          </w:tcPr>
          <w:p>
            <w:pPr>
              <w:spacing w:line="276" w:lineRule="auto"/>
              <w:jc w:val="center"/>
            </w:pPr>
            <w:r>
              <w:rPr>
                <w:color w:val="000000"/>
              </w:rPr>
              <w:t>Ketua Tim Penguji</w:t>
              <w:br/>
              <w:br/>
              <w:br/>
              <w:br/>
              <w:br/>
            </w:r>
            <w:r>
              <w:rPr>
                <w:b/>
                <w:color w:val="000000"/>
              </w:rPr>
              <w:t>_________________________</w:t>
              <w:br/>
            </w:r>
            <w:r>
              <w:rPr>
                <w:color w:val="000000"/>
              </w:rPr>
              <w:t>NIDN: _________________</w:t>
            </w:r>
          </w:p>
        </w:tc>
        <w:tc>
          <w:tcPr>
            <w:tcW w:type="dxa" w:w="3968"/>
          </w:tcPr>
          <w:p>
            <w:pPr>
              <w:spacing w:line="276" w:lineRule="auto"/>
              <w:jc w:val="center"/>
            </w:pPr>
            <w:r>
              <w:rPr>
                <w:color w:val="000000"/>
              </w:rPr>
              <w:t>Anggota Penguji 1</w:t>
              <w:br/>
              <w:br/>
              <w:br/>
              <w:br/>
              <w:br/>
            </w:r>
            <w:r>
              <w:rPr>
                <w:b/>
                <w:color w:val="000000"/>
              </w:rPr>
              <w:t>_________________________</w:t>
              <w:br/>
            </w:r>
            <w:r>
              <w:rPr>
                <w:color w:val="000000"/>
              </w:rPr>
              <w:t>NIDN: _________________</w:t>
            </w:r>
          </w:p>
        </w:tc>
      </w:tr>
      <w:tr>
        <w:tc>
          <w:tcPr>
            <w:tcW w:type="dxa" w:w="3968"/>
          </w:tcPr>
          <w:p>
            <w:pPr>
              <w:spacing w:line="276" w:lineRule="auto"/>
              <w:jc w:val="center"/>
            </w:pPr>
            <w:r>
              <w:rPr>
                <w:color w:val="000000"/>
              </w:rPr>
              <w:br/>
              <w:br/>
              <w:t>Anggota Penguji 2 / Pembimbing</w:t>
              <w:br/>
              <w:br/>
              <w:br/>
              <w:br/>
            </w:r>
            <w:r>
              <w:rPr>
                <w:b/>
                <w:color w:val="000000"/>
              </w:rPr>
              <w:t>Dr. Fredella Colline, S.E., M.M.</w:t>
              <w:br/>
            </w:r>
            <w:r>
              <w:rPr>
                <w:color w:val="000000"/>
              </w:rPr>
              <w:t>NIDN: [NIDN_DOSEN]</w:t>
            </w:r>
          </w:p>
        </w:tc>
        <w:tc>
          <w:tcPr>
            <w:tcW w:type="dxa" w:w="3968"/>
          </w:tcPr>
          <w:p>
            <w:pPr>
              <w:spacing w:line="276" w:lineRule="auto"/>
              <w:jc w:val="center"/>
            </w:pPr>
            <w:r>
              <w:rPr>
                <w:color w:val="000000"/>
              </w:rPr>
              <w:br/>
              <w:br/>
              <w:t>Mengetahui,</w:t>
              <w:br/>
              <w:t>Ketua Program Studi S1 Manajemen</w:t>
              <w:br/>
              <w:br/>
              <w:br/>
              <w:br/>
            </w:r>
            <w:r>
              <w:rPr>
                <w:b/>
                <w:color w:val="000000"/>
              </w:rPr>
              <w:t>Rita Amelinda, S.E., M.M.</w:t>
              <w:br/>
            </w:r>
            <w:r>
              <w:rPr>
                <w:color w:val="000000"/>
              </w:rPr>
              <w:t>NIDN: [NIDN_KAPRODI]</w:t>
            </w:r>
          </w:p>
        </w:tc>
      </w:tr>
    </w:tbl>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KATA PENGANTAR</w:t>
      </w:r>
    </w:p>
    <w:p>
      <w:pPr>
        <w:spacing w:line="360" w:lineRule="auto" w:before="0" w:after="0"/>
        <w:ind w:firstLine="709"/>
        <w:jc w:val="both"/>
      </w:pPr>
      <w:r>
        <w:rPr>
          <w:b w:val="0"/>
          <w:i w:val="0"/>
          <w:sz w:val="24"/>
          <w:color w:val="000000"/>
          <w:rFonts w:ascii="Times New Roman" w:hAnsi="Times New Roman" w:cs="Times New Roman"/>
        </w:rPr>
        <w:t xml:space="preserve">Puji dan syukur penulis panjatkan ke hadirat Tuhan Yang Maha Esa atas kasih, anugerah, dan penyertaan-Nya yang senantiasa melimpah, sehingga penulis dapat menyelesaikan penyusunan proposal skripsi yang berjudul </w:t>
      </w:r>
      <w:r>
        <w:rPr>
          <w:b/>
          <w:i w:val="0"/>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r>
        <w:rPr>
          <w:b w:val="0"/>
          <w:i w:val="0"/>
          <w:sz w:val="24"/>
          <w:color w:val="000000"/>
          <w:rFonts w:ascii="Times New Roman" w:hAnsi="Times New Roman" w:cs="Times New Roman"/>
        </w:rPr>
        <w:t xml:space="preserve"> dengan baik, lancar, dan tepat waktu.</w:t>
      </w:r>
    </w:p>
    <w:p>
      <w:pPr>
        <w:spacing w:line="360" w:lineRule="auto" w:before="0" w:after="0"/>
        <w:ind w:firstLine="709"/>
        <w:jc w:val="both"/>
      </w:pPr>
      <w:r>
        <w:rPr>
          <w:b w:val="0"/>
          <w:i w:val="0"/>
          <w:sz w:val="24"/>
          <w:color w:val="000000"/>
          <w:rFonts w:ascii="Times New Roman" w:hAnsi="Times New Roman"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pPr>
        <w:spacing w:line="360" w:lineRule="auto" w:before="0" w:after="0"/>
        <w:ind w:firstLine="709"/>
        <w:jc w:val="both"/>
      </w:pPr>
      <w:r>
        <w:rPr>
          <w:b w:val="0"/>
          <w:i w:val="0"/>
          <w:sz w:val="24"/>
          <w:color w:val="000000"/>
          <w:rFonts w:ascii="Times New Roman" w:hAnsi="Times New Roman"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pPr>
        <w:spacing w:before="0" w:after="60" w:line="276" w:lineRule="auto"/>
        <w:ind w:left="709" w:hanging="357"/>
        <w:jc w:val="both"/>
      </w:pPr>
      <w:r>
        <w:rPr>
          <w:b/>
          <w:color w:val="000000"/>
          <w:rFonts w:ascii="Times New Roman" w:hAnsi="Times New Roman" w:cs="Times New Roman"/>
        </w:rPr>
        <w:t xml:space="preserve">1.  </w:t>
      </w:r>
      <w:r>
        <w:rPr>
          <w:color w:val="000000"/>
          <w:rFonts w:ascii="Times New Roman" w:hAnsi="Times New Roman"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pPr>
        <w:spacing w:before="0" w:after="60" w:line="276" w:lineRule="auto"/>
        <w:ind w:left="709" w:hanging="357"/>
        <w:jc w:val="both"/>
      </w:pPr>
      <w:r>
        <w:rPr>
          <w:b/>
          <w:color w:val="000000"/>
          <w:rFonts w:ascii="Times New Roman" w:hAnsi="Times New Roman" w:cs="Times New Roman"/>
        </w:rPr>
        <w:t xml:space="preserve">2.  </w:t>
      </w:r>
      <w:r>
        <w:rPr>
          <w:color w:val="000000"/>
          <w:rFonts w:ascii="Times New Roman" w:hAnsi="Times New Roman" w:cs="Times New Roman"/>
        </w:rPr>
        <w:t>Rita Amelinda, S.E., M.M., selaku Ketua Program Studi S1 Manajemen FEB UKRIDA, atas segala arahan, kemudahan proses administratif, dan bimbingan akademik yang diberikan.</w:t>
      </w:r>
    </w:p>
    <w:p>
      <w:pPr>
        <w:spacing w:before="0" w:after="60" w:line="276" w:lineRule="auto"/>
        <w:ind w:left="709" w:hanging="357"/>
        <w:jc w:val="both"/>
      </w:pPr>
      <w:r>
        <w:rPr>
          <w:b/>
          <w:color w:val="000000"/>
          <w:rFonts w:ascii="Times New Roman" w:hAnsi="Times New Roman" w:cs="Times New Roman"/>
        </w:rPr>
        <w:t xml:space="preserve">3.  </w:t>
      </w:r>
      <w:r>
        <w:rPr>
          <w:color w:val="000000"/>
          <w:rFonts w:ascii="Times New Roman" w:hAnsi="Times New Roman" w:cs="Times New Roman"/>
        </w:rPr>
        <w:t>Bapak dan Ibu Dosen Penguji Seminar Proposal, yang telah bersedia meluangkan waktu untuk menguji, memberikan koreksi kritis, serta masukan yang konstruktif guna menyempurnakan naskah penelitian ini.</w:t>
      </w:r>
    </w:p>
    <w:p>
      <w:pPr>
        <w:spacing w:before="0" w:after="60" w:line="276" w:lineRule="auto"/>
        <w:ind w:left="709" w:hanging="357"/>
        <w:jc w:val="both"/>
      </w:pPr>
      <w:r>
        <w:rPr>
          <w:b/>
          <w:color w:val="000000"/>
          <w:rFonts w:ascii="Times New Roman" w:hAnsi="Times New Roman" w:cs="Times New Roman"/>
        </w:rPr>
        <w:t xml:space="preserve">4.  </w:t>
      </w:r>
      <w:r>
        <w:rPr>
          <w:color w:val="000000"/>
          <w:rFonts w:ascii="Times New Roman" w:hAnsi="Times New Roman" w:cs="Times New Roman"/>
        </w:rPr>
        <w:t>Seluruh Dosen dan Staf Pengajar FEB UKRIDA, yang telah membagikan ilmu pengetahuan, wawasan analisis keuangan, serta etika profesional selama masa perkuliahan penulis.</w:t>
      </w:r>
    </w:p>
    <w:p>
      <w:pPr>
        <w:spacing w:before="0" w:after="60" w:line="276" w:lineRule="auto"/>
        <w:ind w:left="709" w:hanging="357"/>
        <w:jc w:val="both"/>
      </w:pPr>
      <w:r>
        <w:rPr>
          <w:b/>
          <w:color w:val="000000"/>
          <w:rFonts w:ascii="Times New Roman" w:hAnsi="Times New Roman" w:cs="Times New Roman"/>
        </w:rPr>
        <w:t xml:space="preserve">5.  </w:t>
      </w:r>
      <w:r>
        <w:rPr>
          <w:color w:val="000000"/>
          <w:rFonts w:ascii="Times New Roman" w:hAnsi="Times New Roman" w:cs="Times New Roman"/>
        </w:rPr>
        <w:t>Kedua Orang Tua dan Keluarga Tercinta, atas doa yang tiada putus, limpahan kasih sayang, ketulusan pengorbanan, serta dorongan moral dan material yang menjadi sumber kekuatan utama bagi penulis.</w:t>
      </w:r>
    </w:p>
    <w:p>
      <w:pPr>
        <w:spacing w:before="0" w:after="60" w:line="276" w:lineRule="auto"/>
        <w:ind w:left="709" w:hanging="357"/>
        <w:jc w:val="both"/>
      </w:pPr>
      <w:r>
        <w:rPr>
          <w:b/>
          <w:color w:val="000000"/>
          <w:rFonts w:ascii="Times New Roman" w:hAnsi="Times New Roman" w:cs="Times New Roman"/>
        </w:rPr>
        <w:t xml:space="preserve">6.  </w:t>
      </w:r>
      <w:r>
        <w:rPr>
          <w:color w:val="000000"/>
          <w:rFonts w:ascii="Times New Roman" w:hAnsi="Times New Roman" w:cs="Times New Roman"/>
        </w:rPr>
        <w:t>Rekan-rekan Mahasiswa Manajemen FEB UKRIDA Angkatan 2023 dan sahabat seperjuangan, atas diskusi yang membangun, motivasi, dan kerja sama selama proses perkuliahan.</w:t>
      </w:r>
    </w:p>
    <w:p>
      <w:pPr>
        <w:spacing w:before="0" w:after="60" w:line="276" w:lineRule="auto"/>
        <w:ind w:left="709" w:hanging="357"/>
        <w:jc w:val="both"/>
      </w:pPr>
      <w:r>
        <w:rPr>
          <w:b/>
          <w:color w:val="000000"/>
          <w:rFonts w:ascii="Times New Roman" w:hAnsi="Times New Roman" w:cs="Times New Roman"/>
        </w:rPr>
        <w:t xml:space="preserve">7.  </w:t>
      </w:r>
      <w:r>
        <w:rPr>
          <w:color w:val="000000"/>
          <w:rFonts w:ascii="Times New Roman" w:hAnsi="Times New Roman" w:cs="Times New Roman"/>
        </w:rPr>
        <w:t>Komunitas Kolektor dan Pemain Pokémon TCG di Indonesia, yang telah memberikan gambaran nyata mengenai fenomena pasar kartu koleksi di lapangan.</w:t>
      </w:r>
    </w:p>
    <w:p>
      <w:pPr>
        <w:spacing w:line="360" w:lineRule="auto" w:before="0" w:after="0"/>
        <w:ind w:firstLine="709"/>
        <w:jc w:val="both"/>
      </w:pPr>
      <w:r>
        <w:rPr>
          <w:b w:val="0"/>
          <w:i w:val="0"/>
          <w:sz w:val="24"/>
          <w:color w:val="000000"/>
          <w:rFonts w:ascii="Times New Roman" w:hAnsi="Times New Roman"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pPr>
        <w:spacing w:before="360" w:line="276" w:lineRule="auto"/>
        <w:jc w:val="right"/>
      </w:pPr>
      <w:r>
        <w:rPr>
          <w:color w:val="000000"/>
          <w:rFonts w:ascii="Times New Roman" w:hAnsi="Times New Roman" w:cs="Times New Roman"/>
        </w:rPr>
        <w:t>Jakarta,                  2026</w:t>
        <w:br/>
        <w:t>Penulis,</w:t>
        <w:br/>
        <w:br/>
        <w:br/>
        <w:br/>
      </w:r>
      <w:r>
        <w:rPr>
          <w:b/>
          <w:color w:val="000000"/>
          <w:rFonts w:ascii="Times New Roman" w:hAnsi="Times New Roman" w:cs="Times New Roman"/>
        </w:rPr>
        <w:t>Arthur Reezan</w:t>
        <w:br/>
      </w:r>
      <w:r>
        <w:rPr>
          <w:color w:val="000000"/>
          <w:rFonts w:ascii="Times New Roman" w:hAnsi="Times New Roman" w:cs="Times New Roman"/>
        </w:rPr>
        <w:t>NIM: 312023002</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standarisasi skor rata-rata (mean-centering) guna mengatasi potensi multikolinearitas struktural antar-istilah interaksi (Aiken &amp;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eliminate structural multicollinearity (Aiken &amp;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ISI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TABEL</w:t>
      </w:r>
      <w:r>
        <w:rPr>
          <w:b/>
          <w:sz w:val="22"/>
          <w:color w:val="000000"/>
          <w:rFonts w:ascii="Times New Roman" w:hAnsi="Times New Roman" w:cs="Times New Roman"/>
        </w:rPr>
        <w:tab/>
        <w:t>xi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GAMBAR</w:t>
      </w:r>
      <w:r>
        <w:rPr>
          <w:b/>
          <w:sz w:val="22"/>
          <w:color w:val="000000"/>
          <w:rFonts w:ascii="Times New Roman" w:hAnsi="Times New Roman" w:cs="Times New Roman"/>
        </w:rPr>
        <w:tab/>
        <w:t>xii</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1 PENDAHULUAN</w:t>
      </w:r>
      <w:r>
        <w:rPr>
          <w:b/>
          <w:sz w:val="22"/>
          <w:color w:val="000000"/>
          <w:rFonts w:ascii="Times New Roman" w:hAnsi="Times New Roman" w:cs="Times New Roman"/>
        </w:rPr>
        <w:tab/>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1.1 Latar Belakang Penelitian</w:t>
      </w:r>
      <w:r>
        <w:rPr>
          <w:b w:val="0"/>
          <w:sz w:val="22"/>
          <w:color w:val="000000"/>
          <w:rFonts w:ascii="Times New Roman" w:hAnsi="Times New Roman" w:cs="Times New Roman"/>
        </w:rPr>
        <w:tab/>
        <w:t>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1.2 Perumusan Masalah</w:t>
      </w:r>
      <w:r>
        <w:rPr>
          <w:b w:val="0"/>
          <w:sz w:val="22"/>
          <w:color w:val="000000"/>
          <w:rFonts w:ascii="Times New Roman" w:hAnsi="Times New Roman" w:cs="Times New Roman"/>
        </w:rPr>
        <w:tab/>
        <w:t>8</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1.3 Tujuan Penelitian</w:t>
      </w:r>
      <w:r>
        <w:rPr>
          <w:b w:val="0"/>
          <w:sz w:val="22"/>
          <w:color w:val="000000"/>
          <w:rFonts w:ascii="Times New Roman" w:hAnsi="Times New Roman" w:cs="Times New Roman"/>
        </w:rPr>
        <w:tab/>
        <w:t>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1.4 Manfaat Penelitian</w:t>
      </w:r>
      <w:r>
        <w:rPr>
          <w:b w:val="0"/>
          <w:sz w:val="22"/>
          <w:color w:val="000000"/>
          <w:rFonts w:ascii="Times New Roman" w:hAnsi="Times New Roman" w:cs="Times New Roman"/>
        </w:rPr>
        <w:tab/>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1.4.1 Manfaat Teoritis</w:t>
      </w:r>
      <w:r>
        <w:rPr>
          <w:b w:val="0"/>
          <w:sz w:val="21"/>
          <w:color w:val="000000"/>
          <w:rFonts w:ascii="Times New Roman" w:hAnsi="Times New Roman" w:cs="Times New Roman"/>
        </w:rPr>
        <w:tab/>
        <w:t>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1.4.2 Manfaat Praktis</w:t>
      </w:r>
      <w:r>
        <w:rPr>
          <w:b w:val="0"/>
          <w:sz w:val="21"/>
          <w:color w:val="000000"/>
          <w:rFonts w:ascii="Times New Roman" w:hAnsi="Times New Roman" w:cs="Times New Roman"/>
        </w:rPr>
        <w:tab/>
        <w:t>10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2 KAJIAN PUSTAKA DAN PENGEMBANGAN HIPOTESIS</w:t>
      </w:r>
      <w:r>
        <w:rPr>
          <w:b/>
          <w:sz w:val="22"/>
          <w:color w:val="000000"/>
          <w:rFonts w:ascii="Times New Roman" w:hAnsi="Times New Roman" w:cs="Times New Roman"/>
        </w:rPr>
        <w:tab/>
        <w:t>11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2.1 Landasan Teori</w:t>
      </w:r>
      <w:r>
        <w:rPr>
          <w:b w:val="0"/>
          <w:sz w:val="22"/>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2.1.1 Grand Theory: Keuangan Perilaku (Behavioral Finance)</w:t>
      </w:r>
      <w:r>
        <w:rPr>
          <w:b w:val="0"/>
          <w:sz w:val="21"/>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2.1.2 Supporting Theory: Teori Stimulus-Organism-Response (S-O-R)</w:t>
      </w:r>
      <w:r>
        <w:rPr>
          <w:b w:val="0"/>
          <w:sz w:val="21"/>
          <w:color w:val="000000"/>
          <w:rFonts w:ascii="Times New Roman" w:hAnsi="Times New Roman" w:cs="Times New Roman"/>
        </w:rPr>
        <w:tab/>
        <w:t>11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2.1.3 Supporting Theory: Psikologi Kolektor dan The 'Completing the Set' Effect</w:t>
      </w:r>
      <w:r>
        <w:rPr>
          <w:b w:val="0"/>
          <w:sz w:val="21"/>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2.1.4 Supporting Theory: Teori Regulasi Diri (Self-Regulation Theory)</w:t>
      </w:r>
      <w:r>
        <w:rPr>
          <w:b w:val="0"/>
          <w:sz w:val="21"/>
          <w:color w:val="000000"/>
          <w:rFonts w:ascii="Times New Roman" w:hAnsi="Times New Roman" w:cs="Times New Roman"/>
        </w:rPr>
        <w:tab/>
        <w:t>12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2.2 Kajian Variabel Penelitian</w:t>
      </w:r>
      <w:r>
        <w:rPr>
          <w:b w:val="0"/>
          <w:sz w:val="22"/>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2.2.1 Variabel Dependen (Y): Impulsive Buying (Pembelian Impulsif)</w:t>
      </w:r>
      <w:r>
        <w:rPr>
          <w:b w:val="0"/>
          <w:sz w:val="21"/>
          <w:color w:val="000000"/>
          <w:rFonts w:ascii="Times New Roman" w:hAnsi="Times New Roman" w:cs="Times New Roman"/>
        </w:rPr>
        <w:tab/>
        <w:t>12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2.2.2 Variabel Independen (X1): Hedonic Motivation (Motivasi Hedonis)</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2.2.3 Variabel Independen (X2): Desire for Completeness (Hasrat Kelengkapan Koleksi)</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2.2.4 Variabel Independen (X3): Speculative Motive (Motif Spekulasi Finansial)</w:t>
      </w:r>
      <w:r>
        <w:rPr>
          <w:b w:val="0"/>
          <w:sz w:val="21"/>
          <w:color w:val="000000"/>
          <w:rFonts w:ascii="Times New Roman" w:hAnsi="Times New Roman" w:cs="Times New Roman"/>
        </w:rPr>
        <w:tab/>
        <w:t>13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2.2.5 Variabel Moderasi (M): Self-Control (Kontrol Diri)</w:t>
      </w:r>
      <w:r>
        <w:rPr>
          <w:b w:val="0"/>
          <w:sz w:val="21"/>
          <w:color w:val="000000"/>
          <w:rFonts w:ascii="Times New Roman" w:hAnsi="Times New Roman" w:cs="Times New Roman"/>
        </w:rPr>
        <w:tab/>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2.3 Penelitian Sebelumnya</w:t>
      </w:r>
      <w:r>
        <w:rPr>
          <w:b w:val="0"/>
          <w:sz w:val="22"/>
          <w:color w:val="000000"/>
          <w:rFonts w:ascii="Times New Roman" w:hAnsi="Times New Roman" w:cs="Times New Roman"/>
        </w:rPr>
        <w:tab/>
        <w:t>14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2.4 Pengembangan Hipotesis</w:t>
      </w:r>
      <w:r>
        <w:rPr>
          <w:b w:val="0"/>
          <w:sz w:val="22"/>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2.4.1 Pengaruh Hedonic Motivation terhadap Impulsive Buying</w:t>
      </w:r>
      <w:r>
        <w:rPr>
          <w:b w:val="0"/>
          <w:sz w:val="21"/>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2.4.2 Pengaruh Desire for Completeness terhadap Impulsive Buying</w:t>
      </w:r>
      <w:r>
        <w:rPr>
          <w:b w:val="0"/>
          <w:sz w:val="21"/>
          <w:color w:val="000000"/>
          <w:rFonts w:ascii="Times New Roman" w:hAnsi="Times New Roman" w:cs="Times New Roman"/>
        </w:rPr>
        <w:tab/>
        <w:t>17</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2.4.3 Pengaruh Speculative Motive terhadap Impulsive Buying</w:t>
      </w:r>
      <w:r>
        <w:rPr>
          <w:b w:val="0"/>
          <w:sz w:val="21"/>
          <w:color w:val="000000"/>
          <w:rFonts w:ascii="Times New Roman" w:hAnsi="Times New Roman" w:cs="Times New Roman"/>
        </w:rPr>
        <w:tab/>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2.4.4 Pengaruh Moderasi Self-Control terhadap Hubungan Hedonic Motivation dan Impulsive Buying</w:t>
      </w:r>
      <w:r>
        <w:rPr>
          <w:b w:val="0"/>
          <w:sz w:val="21"/>
          <w:color w:val="000000"/>
          <w:rFonts w:ascii="Times New Roman" w:hAnsi="Times New Roman" w:cs="Times New Roman"/>
        </w:rPr>
        <w:tab/>
        <w:t>18</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2.4.5 Pengaruh Moderasi Self-Control terhadap Hubungan Desire for Completeness dan Impulsive Buying</w:t>
      </w:r>
      <w:r>
        <w:rPr>
          <w:b w:val="0"/>
          <w:sz w:val="21"/>
          <w:color w:val="000000"/>
          <w:rFonts w:ascii="Times New Roman" w:hAnsi="Times New Roman" w:cs="Times New Roman"/>
        </w:rPr>
        <w:tab/>
        <w:t>19</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2.4.6 Pengaruh Moderasi Self-Control terhadap Hubungan Speculative Motive dan Impulsive Buying</w:t>
      </w:r>
      <w:r>
        <w:rPr>
          <w:b w:val="0"/>
          <w:sz w:val="21"/>
          <w:color w:val="000000"/>
          <w:rFonts w:ascii="Times New Roman" w:hAnsi="Times New Roman" w:cs="Times New Roman"/>
        </w:rPr>
        <w:tab/>
        <w:t>19</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2.5 Rerangka Penelitian</w:t>
      </w:r>
      <w:r>
        <w:rPr>
          <w:b w:val="0"/>
          <w:sz w:val="22"/>
          <w:color w:val="000000"/>
          <w:rFonts w:ascii="Times New Roman" w:hAnsi="Times New Roman" w:cs="Times New Roman"/>
        </w:rPr>
        <w:tab/>
        <w:t>20</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BAB 3 METODE PENELITIAN</w:t>
      </w:r>
      <w:r>
        <w:rPr>
          <w:b/>
          <w:sz w:val="22"/>
          <w:color w:val="000000"/>
          <w:rFonts w:ascii="Times New Roman" w:hAnsi="Times New Roman" w:cs="Times New Roman"/>
        </w:rPr>
        <w:tab/>
        <w:t>21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3.1 Jenis dan Sumber Data</w:t>
      </w:r>
      <w:r>
        <w:rPr>
          <w:b w:val="0"/>
          <w:sz w:val="22"/>
          <w:color w:val="000000"/>
          <w:rFonts w:ascii="Times New Roman" w:hAnsi="Times New Roman" w:cs="Times New Roman"/>
        </w:rPr>
        <w:tab/>
        <w:t>21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3.1.1 Batasan Penelitian dan Ruang Lingkup Operasional</w:t>
      </w:r>
      <w:r>
        <w:rPr>
          <w:b w:val="0"/>
          <w:sz w:val="21"/>
          <w:color w:val="000000"/>
          <w:rFonts w:ascii="Times New Roman" w:hAnsi="Times New Roman" w:cs="Times New Roman"/>
        </w:rPr>
        <w:tab/>
        <w:t>21</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3.2 Populasi dan Sampel</w:t>
      </w:r>
      <w:r>
        <w:rPr>
          <w:b w:val="0"/>
          <w:sz w:val="22"/>
          <w:color w:val="000000"/>
          <w:rFonts w:ascii="Times New Roman" w:hAnsi="Times New Roman" w:cs="Times New Roman"/>
        </w:rPr>
        <w:tab/>
        <w:t>22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3.2.1 Populasi dan Identifikasi Sumber Komunitas</w:t>
      </w:r>
      <w:r>
        <w:rPr>
          <w:b w:val="0"/>
          <w:sz w:val="21"/>
          <w:color w:val="000000"/>
          <w:rFonts w:ascii="Times New Roman" w:hAnsi="Times New Roman" w:cs="Times New Roman"/>
        </w:rPr>
        <w:tab/>
        <w:t>22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3.2.2 Sampel dan Justifikasi Kriteria Inklusi</w:t>
      </w:r>
      <w:r>
        <w:rPr>
          <w:b w:val="0"/>
          <w:sz w:val="21"/>
          <w:color w:val="000000"/>
          <w:rFonts w:ascii="Times New Roman" w:hAnsi="Times New Roman" w:cs="Times New Roman"/>
        </w:rPr>
        <w:tab/>
        <w:t>23</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3.2.3 Penentuan Ukuran Sampel</w:t>
      </w:r>
      <w:r>
        <w:rPr>
          <w:b w:val="0"/>
          <w:sz w:val="21"/>
          <w:color w:val="000000"/>
          <w:rFonts w:ascii="Times New Roman" w:hAnsi="Times New Roman" w:cs="Times New Roman"/>
        </w:rPr>
        <w:tab/>
        <w:t>24</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3.2.4 Justifikasi Komparatif Pemilihan Teknik Sampling</w:t>
      </w:r>
      <w:r>
        <w:rPr>
          <w:b w:val="0"/>
          <w:sz w:val="21"/>
          <w:color w:val="000000"/>
          <w:rFonts w:ascii="Times New Roman" w:hAnsi="Times New Roman" w:cs="Times New Roman"/>
        </w:rPr>
        <w:tab/>
        <w:t>24</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3.3 Model Penelitian</w:t>
      </w:r>
      <w:r>
        <w:rPr>
          <w:b w:val="0"/>
          <w:sz w:val="22"/>
          <w:color w:val="000000"/>
          <w:rFonts w:ascii="Times New Roman" w:hAnsi="Times New Roman" w:cs="Times New Roman"/>
        </w:rPr>
        <w:tab/>
        <w:t>25</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3.4 Operasionalisasi Variabel</w:t>
      </w:r>
      <w:r>
        <w:rPr>
          <w:b w:val="0"/>
          <w:sz w:val="22"/>
          <w:color w:val="000000"/>
          <w:rFonts w:ascii="Times New Roman" w:hAnsi="Times New Roman" w:cs="Times New Roman"/>
        </w:rPr>
        <w:tab/>
        <w:t>26</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3.5 Metode Analisis Data</w:t>
      </w:r>
      <w:r>
        <w:rPr>
          <w:b w:val="0"/>
          <w:sz w:val="22"/>
          <w:color w:val="000000"/>
          <w:rFonts w:ascii="Times New Roman" w:hAnsi="Times New Roman" w:cs="Times New Roman"/>
        </w:rPr>
        <w:tab/>
        <w:t>30</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3.5.1 Justifikasi Komparatif Pemilihan Metode Analisis</w:t>
      </w:r>
      <w:r>
        <w:rPr>
          <w:b w:val="0"/>
          <w:sz w:val="21"/>
          <w:color w:val="000000"/>
          <w:rFonts w:ascii="Times New Roman" w:hAnsi="Times New Roman" w:cs="Times New Roman"/>
        </w:rPr>
        <w:tab/>
        <w:t>30</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3.5.2 Uji Kualitas Data (Validitas dan Reliabilitas)</w:t>
      </w:r>
      <w:r>
        <w:rPr>
          <w:b w:val="0"/>
          <w:sz w:val="21"/>
          <w:color w:val="000000"/>
          <w:rFonts w:ascii="Times New Roman" w:hAnsi="Times New Roman" w:cs="Times New Roman"/>
        </w:rPr>
        <w:tab/>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3.5.3 Uji Asumsi Klasik</w:t>
      </w:r>
      <w:r>
        <w:rPr>
          <w:b w:val="0"/>
          <w:sz w:val="21"/>
          <w:color w:val="000000"/>
          <w:rFonts w:ascii="Times New Roman" w:hAnsi="Times New Roman" w:cs="Times New Roman"/>
        </w:rPr>
        <w:tab/>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3.5.4 Estimasi Regresi Linear Berganda dan MRA</w:t>
      </w:r>
      <w:r>
        <w:rPr>
          <w:b w:val="0"/>
          <w:sz w:val="21"/>
          <w:color w:val="000000"/>
          <w:rFonts w:ascii="Times New Roman" w:hAnsi="Times New Roman" w:cs="Times New Roman"/>
        </w:rPr>
        <w:tab/>
        <w:t>31</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3.5.5 Uji Koefisien Determinasi (R2)</w:t>
      </w:r>
      <w:r>
        <w:rPr>
          <w:b w:val="0"/>
          <w:sz w:val="21"/>
          <w:color w:val="000000"/>
          <w:rFonts w:ascii="Times New Roman" w:hAnsi="Times New Roman" w:cs="Times New Roman"/>
        </w:rPr>
        <w:tab/>
        <w:t>32</w:t>
      </w:r>
    </w:p>
    <w:p>
      <w:pPr>
        <w:pStyle w:val="TOC3"/>
        <w:tabs>
          <w:tab w:pos="7937" w:val="right" w:leader="dot"/>
        </w:tabs>
        <w:spacing w:line="276" w:lineRule="auto" w:before="0" w:after="40"/>
        <w:ind w:left="680" w:firstLine="0" w:right="0"/>
      </w:pPr>
      <w:r>
        <w:rPr>
          <w:b w:val="0"/>
          <w:sz w:val="21"/>
          <w:color w:val="000000"/>
          <w:rFonts w:ascii="Times New Roman" w:hAnsi="Times New Roman" w:cs="Times New Roman"/>
        </w:rPr>
        <w:t>3.5.6 Uji Hipotesis (Uji t dan Uji F)</w:t>
      </w:r>
      <w:r>
        <w:rPr>
          <w:b w:val="0"/>
          <w:sz w:val="21"/>
          <w:color w:val="000000"/>
          <w:rFonts w:ascii="Times New Roman" w:hAnsi="Times New Roman" w:cs="Times New Roman"/>
        </w:rPr>
        <w:tab/>
        <w:t>32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3.6 Diagram Alur Penelitian</w:t>
      </w:r>
      <w:r>
        <w:rPr>
          <w:b w:val="0"/>
          <w:sz w:val="22"/>
          <w:color w:val="000000"/>
          <w:rFonts w:ascii="Times New Roman" w:hAnsi="Times New Roman" w:cs="Times New Roman"/>
        </w:rPr>
        <w:tab/>
        <w:t>32</w:t>
      </w:r>
    </w:p>
    <w:p>
      <w:pPr>
        <w:pStyle w:val="TOC2"/>
        <w:tabs>
          <w:tab w:pos="7937" w:val="right" w:leader="dot"/>
        </w:tabs>
        <w:spacing w:line="276" w:lineRule="auto" w:before="0" w:after="40"/>
        <w:ind w:left="340" w:firstLine="0" w:right="0"/>
      </w:pPr>
      <w:r>
        <w:rPr>
          <w:b w:val="0"/>
          <w:sz w:val="22"/>
          <w:color w:val="000000"/>
          <w:rFonts w:ascii="Times New Roman" w:hAnsi="Times New Roman" w:cs="Times New Roman"/>
        </w:rPr>
        <w:t>3.7 Jadwal Pelaksanaan Penelitian</w:t>
      </w:r>
      <w:r>
        <w:rPr>
          <w:b w:val="0"/>
          <w:sz w:val="22"/>
          <w:color w:val="000000"/>
          <w:rFonts w:ascii="Times New Roman" w:hAnsi="Times New Roman" w:cs="Times New Roman"/>
        </w:rPr>
        <w:tab/>
        <w:t>33</w:t>
      </w:r>
    </w:p>
    <w:p>
      <w:pPr>
        <w:pStyle w:val="TOC1"/>
        <w:tabs>
          <w:tab w:pos="7937" w:val="right" w:leader="dot"/>
        </w:tabs>
        <w:spacing w:line="276" w:lineRule="auto" w:before="0" w:after="40"/>
        <w:ind w:left="0" w:firstLine="0" w:right="0"/>
      </w:pPr>
      <w:r>
        <w:rPr>
          <w:b/>
          <w:sz w:val="22"/>
          <w:color w:val="000000"/>
          <w:rFonts w:ascii="Times New Roman" w:hAnsi="Times New Roman" w:cs="Times New Roman"/>
        </w:rPr>
        <w:t>DAFTAR PUSTAKA</w:t>
      </w:r>
      <w:r>
        <w:rPr>
          <w:b/>
          <w:sz w:val="22"/>
          <w:color w:val="000000"/>
          <w:rFonts w:ascii="Times New Roman" w:hAnsi="Times New Roman" w:cs="Times New Roman"/>
        </w:rPr>
        <w:tab/>
        <w:t>35</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TABEL</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2.1.  </w:t>
      </w:r>
      <w:r>
        <w:rPr>
          <w:b w:val="0"/>
          <w:sz w:val="22"/>
          <w:color w:val="000000"/>
          <w:rFonts w:ascii="Times New Roman" w:hAnsi="Times New Roman" w:cs="Times New Roman"/>
        </w:rPr>
        <w:t>Ringkasan Penelitian Sebelumnya</w:t>
      </w:r>
      <w:r>
        <w:rPr>
          <w:b w:val="0"/>
          <w:sz w:val="22"/>
          <w:color w:val="000000"/>
          <w:rFonts w:ascii="Times New Roman" w:hAnsi="Times New Roman" w:cs="Times New Roman"/>
        </w:rPr>
        <w:tab/>
        <w:t>14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3.1.  </w:t>
      </w:r>
      <w:r>
        <w:rPr>
          <w:b w:val="0"/>
          <w:sz w:val="22"/>
          <w:color w:val="000000"/>
          <w:rFonts w:ascii="Times New Roman" w:hAnsi="Times New Roman" w:cs="Times New Roman"/>
        </w:rPr>
        <w:t>Skala Pengukuran Likert 5 Poin</w:t>
      </w:r>
      <w:r>
        <w:rPr>
          <w:b w:val="0"/>
          <w:sz w:val="22"/>
          <w:color w:val="000000"/>
          <w:rFonts w:ascii="Times New Roman" w:hAnsi="Times New Roman" w:cs="Times New Roman"/>
        </w:rPr>
        <w:tab/>
        <w:t>21</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3.2.  </w:t>
      </w:r>
      <w:r>
        <w:rPr>
          <w:b w:val="0"/>
          <w:sz w:val="22"/>
          <w:color w:val="000000"/>
          <w:rFonts w:ascii="Times New Roman" w:hAnsi="Times New Roman" w:cs="Times New Roman"/>
        </w:rPr>
        <w:t>Operasionalisasi Variabel Penelitian</w:t>
      </w:r>
      <w:r>
        <w:rPr>
          <w:b w:val="0"/>
          <w:sz w:val="22"/>
          <w:color w:val="000000"/>
          <w:rFonts w:ascii="Times New Roman" w:hAnsi="Times New Roman" w:cs="Times New Roman"/>
        </w:rPr>
        <w:tab/>
        <w:t>26</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Tabel 3.3.  </w:t>
      </w:r>
      <w:r>
        <w:rPr>
          <w:b w:val="0"/>
          <w:sz w:val="22"/>
          <w:color w:val="000000"/>
          <w:rFonts w:ascii="Times New Roman" w:hAnsi="Times New Roman" w:cs="Times New Roman"/>
        </w:rPr>
        <w:t>Jadwal Pelaksanaan Kegiatan Penelitian (Tahun 2026)</w:t>
      </w:r>
      <w:r>
        <w:rPr>
          <w:b w:val="0"/>
          <w:sz w:val="22"/>
          <w:color w:val="000000"/>
          <w:rFonts w:ascii="Times New Roman" w:hAnsi="Times New Roman" w:cs="Times New Roman"/>
        </w:rPr>
        <w:tab/>
        <w:t>34</w:t>
      </w:r>
    </w:p>
    <w:p>
      <w:r>
        <w:br w:type="page"/>
      </w:r>
    </w:p>
    <w:p>
      <w:pPr>
        <w:pStyle w:val="Heading1"/>
        <w:keepNext/>
        <w:spacing w:before="0" w:after="360" w:line="360" w:lineRule="auto"/>
        <w:ind w:firstLine="0"/>
        <w:jc w:val="center"/>
        <w:outlineLvl w:val="0"/>
      </w:pPr>
      <w:r>
        <w:rPr>
          <w:b/>
          <w:i w:val="0"/>
          <w:sz w:val="24"/>
          <w:color w:val="000000"/>
          <w:rFonts w:ascii="Times New Roman" w:hAnsi="Times New Roman" w:cs="Times New Roman"/>
        </w:rPr>
        <w:t>DAFTAR GAMBAR</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1.1.  </w:t>
      </w:r>
      <w:r>
        <w:rPr>
          <w:b w:val="0"/>
          <w:sz w:val="22"/>
          <w:color w:val="000000"/>
          <w:rFonts w:ascii="Times New Roman" w:hAnsi="Times New Roman" w:cs="Times New Roman"/>
        </w:rPr>
        <w:t>Peringkat 10 Waralaba Media Berpendapatan Tertinggi di Dunia Sepanjang Masa</w:t>
      </w:r>
      <w:r>
        <w:rPr>
          <w:b w:val="0"/>
          <w:sz w:val="22"/>
          <w:color w:val="000000"/>
          <w:rFonts w:ascii="Times New Roman" w:hAnsi="Times New Roman" w:cs="Times New Roman"/>
        </w:rPr>
        <w:tab/>
        <w:t>2</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1.2.  </w:t>
      </w:r>
      <w:r>
        <w:rPr>
          <w:b w:val="0"/>
          <w:sz w:val="22"/>
          <w:color w:val="000000"/>
          <w:rFonts w:ascii="Times New Roman" w:hAnsi="Times New Roman" w:cs="Times New Roman"/>
        </w:rPr>
        <w:t>Pertumbuhan Kumulatif Produksi Kartu Pokémon TCG Global Tahun 2019–2024</w:t>
      </w:r>
      <w:r>
        <w:rPr>
          <w:b w:val="0"/>
          <w:sz w:val="22"/>
          <w:color w:val="000000"/>
          <w:rFonts w:ascii="Times New Roman" w:hAnsi="Times New Roman" w:cs="Times New Roman"/>
        </w:rPr>
        <w:tab/>
        <w:t>3</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1.3.  </w:t>
      </w:r>
      <w:r>
        <w:rPr>
          <w:b w:val="0"/>
          <w:sz w:val="22"/>
          <w:color w:val="000000"/>
          <w:rFonts w:ascii="Times New Roman" w:hAnsi="Times New Roman" w:cs="Times New Roman"/>
        </w:rPr>
        <w:t>Estimasi Pangsa Pasar Industri Trading Card Game (TCG) Global Tahun 2024</w:t>
      </w:r>
      <w:r>
        <w:rPr>
          <w:b w:val="0"/>
          <w:sz w:val="22"/>
          <w:color w:val="000000"/>
          <w:rFonts w:ascii="Times New Roman" w:hAnsi="Times New Roman" w:cs="Times New Roman"/>
        </w:rPr>
        <w:tab/>
        <w:t>4</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2.1.  </w:t>
      </w:r>
      <w:r>
        <w:rPr>
          <w:b w:val="0"/>
          <w:sz w:val="22"/>
          <w:color w:val="000000"/>
          <w:rFonts w:ascii="Times New Roman" w:hAnsi="Times New Roman" w:cs="Times New Roman"/>
        </w:rPr>
        <w:t>Model Rerangka Konseptual Penelitian</w:t>
      </w:r>
      <w:r>
        <w:rPr>
          <w:b w:val="0"/>
          <w:sz w:val="22"/>
          <w:color w:val="000000"/>
          <w:rFonts w:ascii="Times New Roman" w:hAnsi="Times New Roman" w:cs="Times New Roman"/>
        </w:rPr>
        <w:tab/>
        <w:t>20</w:t>
      </w:r>
    </w:p>
    <w:p>
      <w:pPr>
        <w:pStyle w:val="TOC1"/>
        <w:tabs>
          <w:tab w:pos="7937" w:val="right" w:leader="dot"/>
        </w:tabs>
        <w:spacing w:line="276" w:lineRule="auto" w:before="0" w:after="80"/>
        <w:ind w:left="0" w:firstLine="0" w:right="0"/>
      </w:pPr>
      <w:r>
        <w:rPr>
          <w:b/>
          <w:sz w:val="22"/>
          <w:color w:val="000000"/>
          <w:rFonts w:ascii="Times New Roman" w:hAnsi="Times New Roman" w:cs="Times New Roman"/>
        </w:rPr>
        <w:t xml:space="preserve">Gambar 3.1.  </w:t>
      </w:r>
      <w:r>
        <w:rPr>
          <w:b w:val="0"/>
          <w:sz w:val="22"/>
          <w:color w:val="000000"/>
          <w:rFonts w:ascii="Times New Roman" w:hAnsi="Times New Roman" w:cs="Times New Roman"/>
        </w:rPr>
        <w:t>Diagram Alur Pelaksanaan Penelitian</w:t>
      </w:r>
      <w:r>
        <w:rPr>
          <w:b w:val="0"/>
          <w:sz w:val="22"/>
          <w:color w:val="000000"/>
          <w:rFonts w:ascii="Times New Roman" w:hAnsi="Times New Roman" w:cs="Times New Roman"/>
        </w:rPr>
        <w:tab/>
        <w:t>33</w:t>
      </w:r>
    </w:p>
    <w:p>
      <w:pPr>
        <w:sectPr>
          <w:headerReference w:type="default" r:id="rId11"/>
          <w:footerReference w:type="default" r:id="rId12"/>
          <w:pgSz w:w="11906" w:h="16838"/>
          <w:pgMar w:top="1701" w:right="1701" w:bottom="1701" w:left="2268" w:header="720" w:footer="720" w:gutter="0"/>
          <w:cols w:space="720"/>
          <w:titlePg/>
          <w:docGrid w:linePitch="360"/>
          <w:pgNumType w:fmt="lowerRoman" w:start="2"/>
        </w:sectPr>
      </w:pP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1 PENDAHULUAN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1.1 Latar Belakang Penelitian</w:t>
      </w:r>
    </w:p>
    <w:p>
      <w:pPr>
        <w:spacing w:line="360" w:lineRule="auto" w:before="0" w:after="0"/>
        <w:ind w:firstLine="709"/>
        <w:jc w:val="both"/>
      </w:pPr>
      <w:r>
        <w:rPr>
          <w:b w:val="0"/>
          <w:i w:val="0"/>
          <w:sz w:val="24"/>
          <w:color w:val="000000"/>
          <w:rFonts w:ascii="Times New Roman" w:hAnsi="Times New Roman" w:cs="Times New Roman"/>
        </w:rPr>
        <w:t>Waralaba media (</w:t>
      </w:r>
      <w:r>
        <w:rPr>
          <w:b w:val="0"/>
          <w:i/>
          <w:sz w:val="24"/>
          <w:color w:val="000000"/>
          <w:rFonts w:ascii="Times New Roman" w:hAnsi="Times New Roman" w:cs="Times New Roman"/>
        </w:rPr>
        <w:t>media franchise</w:t>
      </w:r>
      <w:r>
        <w:rPr>
          <w:b w:val="0"/>
          <w:i w:val="0"/>
          <w:sz w:val="24"/>
          <w:color w:val="000000"/>
          <w:rFonts w:ascii="Times New Roman" w:hAnsi="Times New Roman"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b w:val="0"/>
          <w:i/>
          <w:sz w:val="24"/>
          <w:color w:val="000000"/>
          <w:rFonts w:ascii="Times New Roman" w:hAnsi="Times New Roman" w:cs="Times New Roman"/>
        </w:rPr>
        <w:t>the highest-grossing media franchise in history</w:t>
      </w:r>
      <w:r>
        <w:rPr>
          <w:b w:val="0"/>
          <w:i w:val="0"/>
          <w:sz w:val="24"/>
          <w:color w:val="000000"/>
          <w:rFonts w:ascii="Times New Roman" w:hAnsi="Times New Roman" w:cs="Times New Roman"/>
        </w:rPr>
        <w:t xml:space="preserve">), dengan estimasi pendapatan kotor kumulatif melampaui US$ 105,0 miliar. Angka ini melampaui waralaba legendaris dunia lainnya seperti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maupun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Keberhasilan masif ini dibangun di atas fondasi ekosistem multimedia yang saling memperkuat: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Permainan Video (</w:t>
      </w:r>
      <w:r>
        <w:rPr>
          <w:b/>
          <w:i/>
          <w:sz w:val="24"/>
          <w:color w:val="000000"/>
          <w:rFonts w:ascii="Times New Roman" w:hAnsi="Times New Roman" w:cs="Times New Roman"/>
        </w:rPr>
        <w:t>Video Games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Dimulai dari RPG Generasi I (</w:t>
      </w:r>
      <w:r>
        <w:rPr>
          <w:b w:val="0"/>
          <w:i/>
          <w:sz w:val="24"/>
          <w:color w:val="000000"/>
          <w:rFonts w:ascii="Times New Roman" w:hAnsi="Times New Roman" w:cs="Times New Roman"/>
        </w:rPr>
        <w:t>Pokémon Red/Green/Blue</w:t>
      </w:r>
      <w:r>
        <w:rPr>
          <w:b w:val="0"/>
          <w:i w:val="0"/>
          <w:sz w:val="24"/>
          <w:color w:val="000000"/>
          <w:rFonts w:ascii="Times New Roman" w:hAnsi="Times New Roman" w:cs="Times New Roman"/>
        </w:rPr>
        <w:t>) di konsol Nintendo Game Boy hingga Generasi IX (</w:t>
      </w:r>
      <w:r>
        <w:rPr>
          <w:b w:val="0"/>
          <w:i/>
          <w:sz w:val="24"/>
          <w:color w:val="000000"/>
          <w:rFonts w:ascii="Times New Roman" w:hAnsi="Times New Roman" w:cs="Times New Roman"/>
        </w:rPr>
        <w:t>Pokémon Scarlet/Violet</w:t>
      </w:r>
      <w:r>
        <w:rPr>
          <w:b w:val="0"/>
          <w:i w:val="0"/>
          <w:sz w:val="24"/>
          <w:color w:val="000000"/>
          <w:rFonts w:ascii="Times New Roman" w:hAnsi="Times New Roman" w:cs="Times New Roman"/>
        </w:rPr>
        <w:t xml:space="preserve">) di Nintendo Switch, serta revolusi permainan seluler berbasis </w:t>
      </w:r>
      <w:r>
        <w:rPr>
          <w:b w:val="0"/>
          <w:i/>
          <w:sz w:val="24"/>
          <w:color w:val="000000"/>
          <w:rFonts w:ascii="Times New Roman" w:hAnsi="Times New Roman" w:cs="Times New Roman"/>
        </w:rPr>
        <w:t>Augmented Reality</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GO</w:t>
      </w:r>
      <w:r>
        <w:rPr>
          <w:b w:val="0"/>
          <w:i w:val="0"/>
          <w:sz w:val="24"/>
          <w:color w:val="000000"/>
          <w:rFonts w:ascii="Times New Roman" w:hAnsi="Times New Roman" w:cs="Times New Roman"/>
        </w:rPr>
        <w:t xml:space="preserve"> yang memecahkan rekor interaksi ratusan juta pemain global secara simultan, disusul inovasi digital mutakhir seperti </w:t>
      </w:r>
      <w:r>
        <w:rPr>
          <w:b w:val="0"/>
          <w:i/>
          <w:sz w:val="24"/>
          <w:color w:val="000000"/>
          <w:rFonts w:ascii="Times New Roman" w:hAnsi="Times New Roman" w:cs="Times New Roman"/>
        </w:rPr>
        <w:t>Pokémon Sleep</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Pokémon UNITE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Pokémon Trading Card Game Pocket</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Animasi dan Film Bioskop:</w:t>
      </w:r>
      <w:r>
        <w:rPr>
          <w:b w:val="0"/>
          <w:i w:val="0"/>
          <w:sz w:val="24"/>
          <w:color w:val="000000"/>
          <w:rFonts w:ascii="Times New Roman" w:hAnsi="Times New Roman" w:cs="Times New Roman"/>
        </w:rPr>
        <w:t xml:space="preserve"> Serial televisi anime yang mengisahkan 25 tahun perjalanan Satoshi (Ash Ketchum) dan Pikachu yang telah ditayangkan di lebih dari 190 negara, deretan film layar lebar monumental seperti </w:t>
      </w:r>
      <w:r>
        <w:rPr>
          <w:b w:val="0"/>
          <w:i/>
          <w:sz w:val="24"/>
          <w:color w:val="000000"/>
          <w:rFonts w:ascii="Times New Roman" w:hAnsi="Times New Roman" w:cs="Times New Roman"/>
        </w:rPr>
        <w:t>Pokémon: The First Movie – Mewtwo Strikes Back</w:t>
      </w:r>
      <w:r>
        <w:rPr>
          <w:b w:val="0"/>
          <w:i w:val="0"/>
          <w:sz w:val="24"/>
          <w:color w:val="000000"/>
          <w:rFonts w:ascii="Times New Roman" w:hAnsi="Times New Roman" w:cs="Times New Roman"/>
        </w:rPr>
        <w:t xml:space="preserve"> (1998) yang merajai </w:t>
      </w:r>
      <w:r>
        <w:rPr>
          <w:b w:val="0"/>
          <w:i/>
          <w:sz w:val="24"/>
          <w:color w:val="000000"/>
          <w:rFonts w:ascii="Times New Roman" w:hAnsi="Times New Roman" w:cs="Times New Roman"/>
        </w:rPr>
        <w:t>box office</w:t>
      </w:r>
      <w:r>
        <w:rPr>
          <w:b w:val="0"/>
          <w:i w:val="0"/>
          <w:sz w:val="24"/>
          <w:color w:val="000000"/>
          <w:rFonts w:ascii="Times New Roman" w:hAnsi="Times New Roman" w:cs="Times New Roman"/>
        </w:rPr>
        <w:t xml:space="preserve"> dunia, film aksi langsung (</w:t>
      </w:r>
      <w:r>
        <w:rPr>
          <w:b w:val="0"/>
          <w:i/>
          <w:sz w:val="24"/>
          <w:color w:val="000000"/>
          <w:rFonts w:ascii="Times New Roman" w:hAnsi="Times New Roman" w:cs="Times New Roman"/>
        </w:rPr>
        <w:t>live-action</w:t>
      </w:r>
      <w:r>
        <w:rPr>
          <w:b w:val="0"/>
          <w:i w:val="0"/>
          <w:sz w:val="24"/>
          <w:color w:val="000000"/>
          <w:rFonts w:ascii="Times New Roman" w:hAnsi="Times New Roman" w:cs="Times New Roman"/>
        </w:rPr>
        <w:t xml:space="preserve">) Hollywood berpendapatan tinggi </w:t>
      </w:r>
      <w:r>
        <w:rPr>
          <w:b w:val="0"/>
          <w:i/>
          <w:sz w:val="24"/>
          <w:color w:val="000000"/>
          <w:rFonts w:ascii="Times New Roman" w:hAnsi="Times New Roman" w:cs="Times New Roman"/>
        </w:rPr>
        <w:t>Pokémon Detective Pikachu</w:t>
      </w:r>
      <w:r>
        <w:rPr>
          <w:b w:val="0"/>
          <w:i w:val="0"/>
          <w:sz w:val="24"/>
          <w:color w:val="000000"/>
          <w:rFonts w:ascii="Times New Roman" w:hAnsi="Times New Roman" w:cs="Times New Roman"/>
        </w:rPr>
        <w:t xml:space="preserve"> (2019), hingga serial anime generasi terbaru </w:t>
      </w:r>
      <w:r>
        <w:rPr>
          <w:b w:val="0"/>
          <w:i/>
          <w:sz w:val="24"/>
          <w:color w:val="000000"/>
          <w:rFonts w:ascii="Times New Roman" w:hAnsi="Times New Roman" w:cs="Times New Roman"/>
        </w:rPr>
        <w:t>Pokémon Horizons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Lini Lisensi, Merchandise, dan Gerai Ritel:</w:t>
      </w:r>
      <w:r>
        <w:rPr>
          <w:b w:val="0"/>
          <w:i w:val="0"/>
          <w:sz w:val="24"/>
          <w:color w:val="000000"/>
          <w:rFonts w:ascii="Times New Roman" w:hAnsi="Times New Roman" w:cs="Times New Roman"/>
        </w:rPr>
        <w:t xml:space="preserve"> Jaringan gerai resmi </w:t>
      </w:r>
      <w:r>
        <w:rPr>
          <w:b w:val="0"/>
          <w:i/>
          <w:sz w:val="24"/>
          <w:color w:val="000000"/>
          <w:rFonts w:ascii="Times New Roman" w:hAnsi="Times New Roman" w:cs="Times New Roman"/>
        </w:rPr>
        <w:t>Pokémon Center</w:t>
      </w:r>
      <w:r>
        <w:rPr>
          <w:b w:val="0"/>
          <w:i w:val="0"/>
          <w:sz w:val="24"/>
          <w:color w:val="000000"/>
          <w:rFonts w:ascii="Times New Roman" w:hAnsi="Times New Roman" w:cs="Times New Roman"/>
        </w:rPr>
        <w:t xml:space="preserve"> di berbagai kota metropolitan dunia serta penyelenggaraan turnamen tahunan bergengsi berskala internasional yakni </w:t>
      </w:r>
      <w:r>
        <w:rPr>
          <w:b w:val="0"/>
          <w:i/>
          <w:sz w:val="24"/>
          <w:color w:val="000000"/>
          <w:rFonts w:ascii="Times New Roman" w:hAnsi="Times New Roman" w:cs="Times New Roman"/>
        </w:rPr>
        <w:t>Pokémon World Championships</w:t>
      </w:r>
      <w:r>
        <w:rPr>
          <w:b w:val="0"/>
          <w:i w:val="0"/>
          <w:sz w:val="24"/>
          <w:color w:val="000000"/>
          <w:rFonts w:ascii="Times New Roman" w:hAnsi="Times New Roman" w:cs="Times New Roman"/>
        </w:rPr>
        <w:t>.</w:t>
      </w:r>
    </w:p>
    <w:p>
      <w:pPr>
        <w:spacing w:before="240" w:after="80"/>
        <w:ind w:firstLine="0"/>
        <w:jc w:val="center"/>
      </w:pPr>
      <w:r>
        <w:drawing>
          <wp:inline xmlns:a="http://schemas.openxmlformats.org/drawingml/2006/main" xmlns:pic="http://schemas.openxmlformats.org/drawingml/2006/picture">
            <wp:extent cx="4860000" cy="2711753"/>
            <wp:docPr id="2" name="Picture 2"/>
            <wp:cNvGraphicFramePr>
              <a:graphicFrameLocks noChangeAspect="1"/>
            </wp:cNvGraphicFramePr>
            <a:graphic>
              <a:graphicData uri="http://schemas.openxmlformats.org/drawingml/2006/picture">
                <pic:pic>
                  <pic:nvPicPr>
                    <pic:cNvPr id="0" name="gambar1_1_media_franchise_ranking.png"/>
                    <pic:cNvPicPr/>
                  </pic:nvPicPr>
                  <pic:blipFill>
                    <a:blip r:embed="rId15"/>
                    <a:stretch>
                      <a:fillRect/>
                    </a:stretch>
                  </pic:blipFill>
                  <pic:spPr>
                    <a:xfrm>
                      <a:off x="0" y="0"/>
                      <a:ext cx="4860000" cy="2711753"/>
                    </a:xfrm>
                    <a:prstGeom prst="rect"/>
                  </pic:spPr>
                </pic:pic>
              </a:graphicData>
            </a:graphic>
          </wp:inline>
        </w:drawing>
      </w:r>
    </w:p>
    <w:p>
      <w:pPr>
        <w:spacing w:before="40" w:after="40"/>
        <w:ind w:firstLine="0"/>
        <w:jc w:val="center"/>
      </w:pPr>
      <w:r>
        <w:rPr>
          <w:b/>
          <w:color w:val="000000"/>
          <w:rFonts w:ascii="Times New Roman" w:hAnsi="Times New Roman" w:cs="Times New Roman"/>
        </w:rPr>
        <w:t>Gambar 1.1. Peringkat 10 Waralaba Media Berpendapatan Tertinggi di Dunia Sepanjang Masa</w:t>
      </w:r>
    </w:p>
    <w:p>
      <w:pPr>
        <w:spacing w:before="0" w:after="240"/>
        <w:ind w:firstLine="0"/>
        <w:jc w:val="center"/>
      </w:pPr>
      <w:r>
        <w:rPr>
          <w:i/>
          <w:sz w:val="20"/>
          <w:color w:val="000000"/>
          <w:rFonts w:ascii="Times New Roman" w:hAnsi="Times New Roman" w:cs="Times New Roman"/>
        </w:rPr>
        <w:t>Sumber: Agregasi Riset TitleMax dan Statista, 2024.</w:t>
      </w:r>
    </w:p>
    <w:p>
      <w:pPr>
        <w:spacing w:line="360" w:lineRule="auto" w:before="0" w:after="0"/>
        <w:ind w:firstLine="709"/>
        <w:jc w:val="both"/>
      </w:pPr>
      <w:r>
        <w:rPr>
          <w:b w:val="0"/>
          <w:i w:val="0"/>
          <w:sz w:val="24"/>
          <w:color w:val="000000"/>
          <w:rFonts w:ascii="Times New Roman" w:hAnsi="Times New Roman"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b w:val="0"/>
          <w:i/>
          <w:sz w:val="24"/>
          <w:color w:val="000000"/>
          <w:rFonts w:ascii="Times New Roman" w:hAnsi="Times New Roman" w:cs="Times New Roman"/>
        </w:rPr>
        <w:t>Mickey Mouse</w:t>
      </w:r>
      <w:r>
        <w:rPr>
          <w:b w:val="0"/>
          <w:i w:val="0"/>
          <w:sz w:val="24"/>
          <w:color w:val="000000"/>
          <w:rFonts w:ascii="Times New Roman" w:hAnsi="Times New Roman" w:cs="Times New Roman"/>
        </w:rPr>
        <w:t xml:space="preserve"> (US$ 52,2 miliar) dan melampaui </w:t>
      </w:r>
      <w:r>
        <w:rPr>
          <w:b w:val="0"/>
          <w:i/>
          <w:sz w:val="24"/>
          <w:color w:val="000000"/>
          <w:rFonts w:ascii="Times New Roman" w:hAnsi="Times New Roman" w:cs="Times New Roman"/>
        </w:rPr>
        <w:t>Star Wars</w:t>
      </w:r>
      <w:r>
        <w:rPr>
          <w:b w:val="0"/>
          <w:i w:val="0"/>
          <w:sz w:val="24"/>
          <w:color w:val="000000"/>
          <w:rFonts w:ascii="Times New Roman" w:hAnsi="Times New Roman" w:cs="Times New Roman"/>
        </w:rPr>
        <w:t xml:space="preserve"> (US$ 46,7 miliar) serta </w:t>
      </w:r>
      <w:r>
        <w:rPr>
          <w:b w:val="0"/>
          <w:i/>
          <w:sz w:val="24"/>
          <w:color w:val="000000"/>
          <w:rFonts w:ascii="Times New Roman" w:hAnsi="Times New Roman" w:cs="Times New Roman"/>
        </w:rPr>
        <w:t>Marvel Cinematic Universe</w:t>
      </w:r>
      <w:r>
        <w:rPr>
          <w:b w:val="0"/>
          <w:i w:val="0"/>
          <w:sz w:val="24"/>
          <w:color w:val="000000"/>
          <w:rFonts w:ascii="Times New Roman" w:hAnsi="Times New Roman" w:cs="Times New Roman"/>
        </w:rPr>
        <w:t xml:space="preserve"> (US$ 38,5 miliar). Bukti empiris ini mengonfirmasi bahwa Pokémon bukan sekadar hiburan musiman anak-anak, melainkan entitas komersial raksasa dengan basis perputaran kapital lintas generasi yang sangat kokoh.</w:t>
      </w:r>
    </w:p>
    <w:p>
      <w:pPr>
        <w:spacing w:before="240" w:after="80"/>
        <w:ind w:firstLine="0"/>
        <w:jc w:val="center"/>
      </w:pPr>
      <w:r>
        <w:drawing>
          <wp:inline xmlns:a="http://schemas.openxmlformats.org/drawingml/2006/main" xmlns:pic="http://schemas.openxmlformats.org/drawingml/2006/picture">
            <wp:extent cx="4860000" cy="2719286"/>
            <wp:docPr id="3" name="Picture 3"/>
            <wp:cNvGraphicFramePr>
              <a:graphicFrameLocks noChangeAspect="1"/>
            </wp:cNvGraphicFramePr>
            <a:graphic>
              <a:graphicData uri="http://schemas.openxmlformats.org/drawingml/2006/picture">
                <pic:pic>
                  <pic:nvPicPr>
                    <pic:cNvPr id="0" name="gambar1_2_pokemon_tcg_production_growth.png"/>
                    <pic:cNvPicPr/>
                  </pic:nvPicPr>
                  <pic:blipFill>
                    <a:blip r:embed="rId16"/>
                    <a:stretch>
                      <a:fillRect/>
                    </a:stretch>
                  </pic:blipFill>
                  <pic:spPr>
                    <a:xfrm>
                      <a:off x="0" y="0"/>
                      <a:ext cx="4860000" cy="2719286"/>
                    </a:xfrm>
                    <a:prstGeom prst="rect"/>
                  </pic:spPr>
                </pic:pic>
              </a:graphicData>
            </a:graphic>
          </wp:inline>
        </w:drawing>
      </w:r>
    </w:p>
    <w:p>
      <w:pPr>
        <w:spacing w:before="40" w:after="40"/>
        <w:ind w:firstLine="0"/>
        <w:jc w:val="center"/>
      </w:pPr>
      <w:r>
        <w:rPr>
          <w:b/>
          <w:color w:val="000000"/>
          <w:rFonts w:ascii="Times New Roman" w:hAnsi="Times New Roman" w:cs="Times New Roman"/>
        </w:rPr>
        <w:t>Gambar 1.2. Pertumbuhan Kumulatif Produksi Kartu Pokémon TCG Global Tahun 2019–2024</w:t>
      </w:r>
    </w:p>
    <w:p>
      <w:pPr>
        <w:spacing w:before="0" w:after="240"/>
        <w:ind w:firstLine="0"/>
        <w:jc w:val="center"/>
      </w:pPr>
      <w:r>
        <w:rPr>
          <w:i/>
          <w:sz w:val="20"/>
          <w:color w:val="000000"/>
          <w:rFonts w:ascii="Times New Roman" w:hAnsi="Times New Roman" w:cs="Times New Roman"/>
        </w:rPr>
        <w:t>Sumber: The Pokémon Company Corporate Business Data, 2024.</w:t>
      </w:r>
    </w:p>
    <w:p>
      <w:pPr>
        <w:spacing w:line="360" w:lineRule="auto" w:before="0" w:after="0"/>
        <w:ind w:firstLine="709"/>
        <w:jc w:val="both"/>
      </w:pPr>
      <w:r>
        <w:rPr>
          <w:b w:val="0"/>
          <w:i w:val="0"/>
          <w:sz w:val="24"/>
          <w:color w:val="000000"/>
          <w:rFonts w:ascii="Times New Roman" w:hAnsi="Times New Roman"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lebih dari 125% hingga menembus 64,8 miliar lembar kartu pada Maret 2024. Pencetakan lebih dari 11,9 miliar lembar kartu hanya dalam kurun waktu satu tahun fiskal (2023–2024) mengindikasikan tingginya permintaan pasar dan mengonfirmasi terjadinya gelombang antusiasme belanja yang masif di kalangan konsumen.</w:t>
      </w:r>
    </w:p>
    <w:p>
      <w:pPr>
        <w:spacing w:before="240" w:after="80"/>
        <w:ind w:firstLine="0"/>
        <w:jc w:val="center"/>
      </w:pPr>
      <w:r>
        <w:drawing>
          <wp:inline xmlns:a="http://schemas.openxmlformats.org/drawingml/2006/main" xmlns:pic="http://schemas.openxmlformats.org/drawingml/2006/picture">
            <wp:extent cx="4500000" cy="2740541"/>
            <wp:docPr id="4" name="Picture 4"/>
            <wp:cNvGraphicFramePr>
              <a:graphicFrameLocks noChangeAspect="1"/>
            </wp:cNvGraphicFramePr>
            <a:graphic>
              <a:graphicData uri="http://schemas.openxmlformats.org/drawingml/2006/picture">
                <pic:pic>
                  <pic:nvPicPr>
                    <pic:cNvPr id="0" name="gambar1_3_tcg_market_share_donut.png"/>
                    <pic:cNvPicPr/>
                  </pic:nvPicPr>
                  <pic:blipFill>
                    <a:blip r:embed="rId17"/>
                    <a:stretch>
                      <a:fillRect/>
                    </a:stretch>
                  </pic:blipFill>
                  <pic:spPr>
                    <a:xfrm>
                      <a:off x="0" y="0"/>
                      <a:ext cx="4500000" cy="2740541"/>
                    </a:xfrm>
                    <a:prstGeom prst="rect"/>
                  </pic:spPr>
                </pic:pic>
              </a:graphicData>
            </a:graphic>
          </wp:inline>
        </w:drawing>
      </w:r>
    </w:p>
    <w:p>
      <w:pPr>
        <w:spacing w:before="40" w:after="40"/>
        <w:ind w:firstLine="0"/>
        <w:jc w:val="center"/>
      </w:pPr>
      <w:r>
        <w:rPr>
          <w:b/>
          <w:color w:val="000000"/>
          <w:rFonts w:ascii="Times New Roman" w:hAnsi="Times New Roman" w:cs="Times New Roman"/>
        </w:rPr>
        <w:t>Gambar 1.3. Estimasi Pangsa Pasar Industri Trading Card Game (TCG) Global Tahun 2024</w:t>
      </w:r>
    </w:p>
    <w:p>
      <w:pPr>
        <w:spacing w:before="0" w:after="240"/>
        <w:ind w:firstLine="0"/>
        <w:jc w:val="center"/>
      </w:pPr>
      <w:r>
        <w:rPr>
          <w:i/>
          <w:sz w:val="20"/>
          <w:color w:val="000000"/>
          <w:rFonts w:ascii="Times New Roman" w:hAnsi="Times New Roman" w:cs="Times New Roman"/>
        </w:rPr>
        <w:t>Sumber: ICv2 dan TCGplayer Industry Research, 2024.</w:t>
      </w:r>
    </w:p>
    <w:p>
      <w:pPr>
        <w:spacing w:line="360" w:lineRule="auto" w:before="0" w:after="0"/>
        <w:ind w:firstLine="709"/>
        <w:jc w:val="both"/>
      </w:pPr>
      <w:r>
        <w:rPr>
          <w:b w:val="0"/>
          <w:i w:val="0"/>
          <w:sz w:val="24"/>
          <w:color w:val="000000"/>
          <w:rFonts w:ascii="Times New Roman" w:hAnsi="Times New Roman" w:cs="Times New Roman"/>
        </w:rPr>
        <w:t>Sebagaimana disajikan pada Gambar 1.3, Pokémon TCG menguasai estimasi 41,5% pangsa pasar industri kartu koleksi fisik dunia, mengungguli waralaba kompetitor utama seperti Yu-Gi-Oh! (23,8%) dan Magic: The Gathering (21,2%). Dominasi pangsa pasar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pPr>
        <w:spacing w:line="360" w:lineRule="auto" w:before="0" w:after="0"/>
        <w:ind w:firstLine="709"/>
        <w:jc w:val="both"/>
      </w:pPr>
      <w:r>
        <w:rPr>
          <w:b w:val="0"/>
          <w:i w:val="0"/>
          <w:sz w:val="24"/>
          <w:color w:val="000000"/>
          <w:rFonts w:ascii="Times New Roman" w:hAnsi="Times New Roman" w:cs="Times New Roman"/>
        </w:rPr>
        <w:t>Dinamika pasar Pokémon TCG fisik di Indonesia memunculkan fenomena perilaku konsumsi yang sangat unik sekaligus problematis. Produk kartu fisik dijual dalam format kemasan acak tertutup (</w:t>
      </w:r>
      <w:r>
        <w:rPr>
          <w:b w:val="0"/>
          <w:i/>
          <w:sz w:val="24"/>
          <w:color w:val="000000"/>
          <w:rFonts w:ascii="Times New Roman" w:hAnsi="Times New Roman" w:cs="Times New Roman"/>
        </w:rPr>
        <w:t>blind pack</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b w:val="0"/>
          <w:i/>
          <w:sz w:val="24"/>
          <w:color w:val="000000"/>
          <w:rFonts w:ascii="Times New Roman" w:hAnsi="Times New Roman" w:cs="Times New Roman"/>
        </w:rPr>
        <w:t>Special Illustration Rare / SAR</w:t>
      </w:r>
      <w:r>
        <w:rPr>
          <w:b w:val="0"/>
          <w:i w:val="0"/>
          <w:sz w:val="24"/>
          <w:color w:val="000000"/>
          <w:rFonts w:ascii="Times New Roman" w:hAnsi="Times New Roman" w:cs="Times New Roman"/>
        </w:rPr>
        <w:t xml:space="preserve">, kartu </w:t>
      </w:r>
      <w:r>
        <w:rPr>
          <w:b w:val="0"/>
          <w:i/>
          <w:sz w:val="24"/>
          <w:color w:val="000000"/>
          <w:rFonts w:ascii="Times New Roman" w:hAnsi="Times New Roman" w:cs="Times New Roman"/>
        </w:rPr>
        <w:t>Super Rare / SR</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Ultra Rare / UR</w:t>
      </w:r>
      <w:r>
        <w:rPr>
          <w:b w:val="0"/>
          <w:i w:val="0"/>
          <w:sz w:val="24"/>
          <w:color w:val="000000"/>
          <w:rFonts w:ascii="Times New Roman" w:hAnsi="Times New Roman"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pPr>
        <w:spacing w:line="360" w:lineRule="auto" w:before="0" w:after="0"/>
        <w:ind w:firstLine="709"/>
        <w:jc w:val="both"/>
      </w:pPr>
      <w:r>
        <w:rPr>
          <w:b w:val="0"/>
          <w:i w:val="0"/>
          <w:sz w:val="24"/>
          <w:color w:val="000000"/>
          <w:rFonts w:ascii="Times New Roman" w:hAnsi="Times New Roman" w:cs="Times New Roman"/>
        </w:rPr>
        <w:t xml:space="preserve">Fenomena disparitas harga pasar sekunder ini diperkuat oleh keberadaan industri </w:t>
      </w:r>
      <w:r>
        <w:rPr>
          <w:b/>
          <w:i w:val="0"/>
          <w:sz w:val="24"/>
          <w:color w:val="000000"/>
          <w:rFonts w:ascii="Times New Roman" w:hAnsi="Times New Roman" w:cs="Times New Roman"/>
        </w:rPr>
        <w:t>sertifikasi penilaian kondisi fisik kartu (</w:t>
      </w:r>
      <w:r>
        <w:rPr>
          <w:b/>
          <w:i/>
          <w:sz w:val="24"/>
          <w:color w:val="000000"/>
          <w:rFonts w:ascii="Times New Roman" w:hAnsi="Times New Roman" w:cs="Times New Roman"/>
        </w:rPr>
        <w:t>card grading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Lembaga grading independen berstandar internasional terkemuka seperti </w:t>
      </w:r>
      <w:r>
        <w:rPr>
          <w:b/>
          <w:i w:val="0"/>
          <w:sz w:val="24"/>
          <w:color w:val="000000"/>
          <w:rFonts w:ascii="Times New Roman" w:hAnsi="Times New Roman" w:cs="Times New Roman"/>
        </w:rPr>
        <w:t>PSA (</w:t>
      </w:r>
      <w:r>
        <w:rPr>
          <w:b/>
          <w:i/>
          <w:sz w:val="24"/>
          <w:color w:val="000000"/>
          <w:rFonts w:ascii="Times New Roman" w:hAnsi="Times New Roman" w:cs="Times New Roman"/>
        </w:rPr>
        <w:t>Professional Sports Authenticator</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BGS (</w:t>
      </w:r>
      <w:r>
        <w:rPr>
          <w:b/>
          <w:i/>
          <w:sz w:val="24"/>
          <w:color w:val="000000"/>
          <w:rFonts w:ascii="Times New Roman" w:hAnsi="Times New Roman" w:cs="Times New Roman"/>
        </w:rPr>
        <w:t>Beckett Grading Services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dan </w:t>
      </w:r>
      <w:r>
        <w:rPr>
          <w:b/>
          <w:i w:val="0"/>
          <w:sz w:val="24"/>
          <w:color w:val="000000"/>
          <w:rFonts w:ascii="Times New Roman" w:hAnsi="Times New Roman" w:cs="Times New Roman"/>
        </w:rPr>
        <w:t>CGC Cards</w:t>
      </w:r>
      <w:r>
        <w:rPr>
          <w:b w:val="0"/>
          <w:i w:val="0"/>
          <w:sz w:val="24"/>
          <w:color w:val="000000"/>
          <w:rFonts w:ascii="Times New Roman" w:hAnsi="Times New Roman" w:cs="Times New Roman"/>
        </w:rPr>
        <w:t xml:space="preserve"> memeriksa integritas fisik kartu secara mikroskopis berdasarkan empat kriteria utama: </w:t>
      </w:r>
      <w:r>
        <w:rPr>
          <w:b w:val="0"/>
          <w:i/>
          <w:sz w:val="24"/>
          <w:color w:val="000000"/>
          <w:rFonts w:ascii="Times New Roman" w:hAnsi="Times New Roman" w:cs="Times New Roman"/>
        </w:rPr>
        <w:t>centering</w:t>
      </w:r>
      <w:r>
        <w:rPr>
          <w:b w:val="0"/>
          <w:i w:val="0"/>
          <w:sz w:val="24"/>
          <w:color w:val="000000"/>
          <w:rFonts w:ascii="Times New Roman" w:hAnsi="Times New Roman" w:cs="Times New Roman"/>
        </w:rPr>
        <w:t xml:space="preserve"> (kesimetrisan cetak), </w:t>
      </w:r>
      <w:r>
        <w:rPr>
          <w:b w:val="0"/>
          <w:i/>
          <w:sz w:val="24"/>
          <w:color w:val="000000"/>
          <w:rFonts w:ascii="Times New Roman" w:hAnsi="Times New Roman" w:cs="Times New Roman"/>
        </w:rPr>
        <w:t>surface</w:t>
      </w:r>
      <w:r>
        <w:rPr>
          <w:b w:val="0"/>
          <w:i w:val="0"/>
          <w:sz w:val="24"/>
          <w:color w:val="000000"/>
          <w:rFonts w:ascii="Times New Roman" w:hAnsi="Times New Roman" w:cs="Times New Roman"/>
        </w:rPr>
        <w:t xml:space="preserve"> (kebersihan permukaan tanpa goresan), </w:t>
      </w:r>
      <w:r>
        <w:rPr>
          <w:b w:val="0"/>
          <w:i/>
          <w:sz w:val="24"/>
          <w:color w:val="000000"/>
          <w:rFonts w:ascii="Times New Roman" w:hAnsi="Times New Roman" w:cs="Times New Roman"/>
        </w:rPr>
        <w:t>edges</w:t>
      </w:r>
      <w:r>
        <w:rPr>
          <w:b w:val="0"/>
          <w:i w:val="0"/>
          <w:sz w:val="24"/>
          <w:color w:val="000000"/>
          <w:rFonts w:ascii="Times New Roman" w:hAnsi="Times New Roman" w:cs="Times New Roman"/>
        </w:rPr>
        <w:t xml:space="preserve"> (kerapian tepi), dan </w:t>
      </w:r>
      <w:r>
        <w:rPr>
          <w:b w:val="0"/>
          <w:i/>
          <w:sz w:val="24"/>
          <w:color w:val="000000"/>
          <w:rFonts w:ascii="Times New Roman" w:hAnsi="Times New Roman" w:cs="Times New Roman"/>
        </w:rPr>
        <w:t>corners</w:t>
      </w:r>
      <w:r>
        <w:rPr>
          <w:b w:val="0"/>
          <w:i w:val="0"/>
          <w:sz w:val="24"/>
          <w:color w:val="000000"/>
          <w:rFonts w:ascii="Times New Roman" w:hAnsi="Times New Roman" w:cs="Times New Roman"/>
        </w:rPr>
        <w:t xml:space="preserve"> (ketajaman sudut kartu). Kartu yang memenuhi kesempurnaan tertinggi akan disegel permanen dalam wadah akrilik kedap udara (</w:t>
      </w:r>
      <w:r>
        <w:rPr>
          <w:b w:val="0"/>
          <w:i/>
          <w:sz w:val="24"/>
          <w:color w:val="000000"/>
          <w:rFonts w:ascii="Times New Roman" w:hAnsi="Times New Roman" w:cs="Times New Roman"/>
        </w:rPr>
        <w:t>tamper-evident slab</w:t>
      </w:r>
      <w:r>
        <w:rPr>
          <w:b w:val="0"/>
          <w:i w:val="0"/>
          <w:sz w:val="24"/>
          <w:color w:val="000000"/>
          <w:rFonts w:ascii="Times New Roman" w:hAnsi="Times New Roman" w:cs="Times New Roman"/>
        </w:rPr>
        <w:t>) dan diberi label skor kualitas 1 hingga 10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BGS 10 Pristine</w:t>
      </w:r>
      <w:r>
        <w:rPr>
          <w:b w:val="0"/>
          <w:i w:val="0"/>
          <w:sz w:val="24"/>
          <w:color w:val="000000"/>
          <w:rFonts w:ascii="Times New Roman" w:hAnsi="Times New Roman" w:cs="Times New Roman"/>
        </w:rPr>
        <w:t xml:space="preserve">). Kartu berpredikat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secara instan bertransformasi menjadi aset terstandardisasi yang likuid di bursa lelang global dengan harga jual yang melonjak 5 kali hingga 50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Kehadiran pasar grading ini memicu gelombang spekulasi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di mana konsumen tergiur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murah dengan harapan menarik kartu berkondisi sempurna untuk digrade dan dijual kembali demi mendulang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Disparitas nilai yang ekstrem dan mekanisme kemasan acak berbasis probabilitas (</w:t>
      </w:r>
      <w:r>
        <w:rPr>
          <w:b w:val="0"/>
          <w:i/>
          <w:sz w:val="24"/>
          <w:color w:val="000000"/>
          <w:rFonts w:ascii="Times New Roman" w:hAnsi="Times New Roman" w:cs="Times New Roman"/>
        </w:rPr>
        <w:t>gacha mechanism</w:t>
      </w:r>
      <w:r>
        <w:rPr>
          <w:b w:val="0"/>
          <w:i w:val="0"/>
          <w:sz w:val="24"/>
          <w:color w:val="000000"/>
          <w:rFonts w:ascii="Times New Roman" w:hAnsi="Times New Roman"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b/>
          <w:i w:val="0"/>
          <w:sz w:val="24"/>
          <w:color w:val="000000"/>
          <w:rFonts w:ascii="Times New Roman" w:hAnsi="Times New Roman" w:cs="Times New Roman"/>
        </w:rPr>
        <w:t>pembelian impulsif (</w:t>
      </w:r>
      <w:r>
        <w:rPr>
          <w:b/>
          <w:i/>
          <w:sz w:val="24"/>
          <w:color w:val="000000"/>
          <w:rFonts w:ascii="Times New Roman" w:hAnsi="Times New Roman" w:cs="Times New Roman"/>
        </w:rPr>
        <w:t>impulsive buying</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yang masif pada komoditas kartu Pokémon fisik di Indonesia.</w:t>
      </w:r>
    </w:p>
    <w:p>
      <w:pPr>
        <w:spacing w:line="360" w:lineRule="auto" w:before="0" w:after="0"/>
        <w:ind w:firstLine="709"/>
        <w:jc w:val="both"/>
      </w:pPr>
      <w:r>
        <w:rPr>
          <w:b w:val="0"/>
          <w:i w:val="0"/>
          <w:sz w:val="24"/>
          <w:color w:val="000000"/>
          <w:rFonts w:ascii="Times New Roman" w:hAnsi="Times New Roman" w:cs="Times New Roman"/>
        </w:rPr>
        <w:t xml:space="preserve">Fenomena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telah lama menjadi pusat perhatian utama dalam literatur perilaku konsumen dan psikologi ekonomi. Stern (1962) dalam karya klasiknya mengklasifikasikan pembelian impulsif ke dalam empat kategori: </w:t>
      </w:r>
      <w:r>
        <w:rPr>
          <w:b w:val="0"/>
          <w:i/>
          <w:sz w:val="24"/>
          <w:color w:val="000000"/>
          <w:rFonts w:ascii="Times New Roman" w:hAnsi="Times New Roman" w:cs="Times New Roman"/>
        </w:rPr>
        <w:t>pure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reminder impulse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suggestion impulse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planned impulse buying</w:t>
      </w:r>
      <w:r>
        <w:rPr>
          <w:b w:val="0"/>
          <w:i w:val="0"/>
          <w:sz w:val="24"/>
          <w:color w:val="000000"/>
          <w:rFonts w:ascii="Times New Roman" w:hAnsi="Times New Roman" w:cs="Times New Roman"/>
        </w:rPr>
        <w:t xml:space="preserve">. Rook (1987) mendefinisikan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b w:val="0"/>
          <w:i/>
          <w:sz w:val="24"/>
          <w:color w:val="000000"/>
          <w:rFonts w:ascii="Times New Roman" w:hAnsi="Times New Roman" w:cs="Times New Roman"/>
        </w:rPr>
        <w:t>antecedents</w:t>
      </w:r>
      <w:r>
        <w:rPr>
          <w:b w:val="0"/>
          <w:i w:val="0"/>
          <w:sz w:val="24"/>
          <w:color w:val="000000"/>
          <w:rFonts w:ascii="Times New Roman" w:hAnsi="Times New Roman" w:cs="Times New Roman"/>
        </w:rPr>
        <w:t>) yang sangat luas dalam literatur ilmiah terdahulu:</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Emosional dan Afektif (</w:t>
      </w:r>
      <w:r>
        <w:rPr>
          <w:b/>
          <w:i/>
          <w:sz w:val="24"/>
          <w:color w:val="000000"/>
          <w:rFonts w:ascii="Times New Roman" w:hAnsi="Times New Roman" w:cs="Times New Roman"/>
        </w:rPr>
        <w:t>Affective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motivasi berbelanja untuk kesenangan (</w:t>
      </w:r>
      <w:r>
        <w:rPr>
          <w:b w:val="0"/>
          <w:i/>
          <w:sz w:val="24"/>
          <w:color w:val="000000"/>
          <w:rFonts w:ascii="Times New Roman" w:hAnsi="Times New Roman" w:cs="Times New Roman"/>
        </w:rPr>
        <w:t>hedonic shopping motivations</w:t>
      </w:r>
      <w:r>
        <w:rPr>
          <w:b w:val="0"/>
          <w:i w:val="0"/>
          <w:sz w:val="24"/>
          <w:color w:val="000000"/>
          <w:rFonts w:ascii="Times New Roman" w:hAnsi="Times New Roman" w:cs="Times New Roman"/>
        </w:rPr>
        <w:t>), pencarian pelepasan stres dan petualangan (Babin et al., 1994; Arnold &amp; Reynolds, 2003), suasana hati positif (</w:t>
      </w:r>
      <w:r>
        <w:rPr>
          <w:b w:val="0"/>
          <w:i/>
          <w:sz w:val="24"/>
          <w:color w:val="000000"/>
          <w:rFonts w:ascii="Times New Roman" w:hAnsi="Times New Roman" w:cs="Times New Roman"/>
        </w:rPr>
        <w:t>positive affect</w:t>
      </w:r>
      <w:r>
        <w:rPr>
          <w:b w:val="0"/>
          <w:i w:val="0"/>
          <w:sz w:val="24"/>
          <w:color w:val="000000"/>
          <w:rFonts w:ascii="Times New Roman" w:hAnsi="Times New Roman" w:cs="Times New Roman"/>
        </w:rPr>
        <w:t>), serta luapan kegembiraan sesaat (</w:t>
      </w:r>
      <w:r>
        <w:rPr>
          <w:b w:val="0"/>
          <w:i/>
          <w:sz w:val="24"/>
          <w:color w:val="000000"/>
          <w:rFonts w:ascii="Times New Roman" w:hAnsi="Times New Roman" w:cs="Times New Roman"/>
        </w:rPr>
        <w:t>excitement and arousal</w:t>
      </w:r>
      <w:r>
        <w:rPr>
          <w:b w:val="0"/>
          <w:i w:val="0"/>
          <w:sz w:val="24"/>
          <w:color w:val="000000"/>
          <w:rFonts w:ascii="Times New Roman" w:hAnsi="Times New Roman" w:cs="Times New Roman"/>
        </w:rPr>
        <w:t>) (Gültekin &amp; Özer, 2012).</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Kognitif dan Psikologi Kolektor (</w:t>
      </w:r>
      <w:r>
        <w:rPr>
          <w:b/>
          <w:i/>
          <w:sz w:val="24"/>
          <w:color w:val="000000"/>
          <w:rFonts w:ascii="Times New Roman" w:hAnsi="Times New Roman" w:cs="Times New Roman"/>
        </w:rPr>
        <w:t>Cognitive and Collector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ketegangan mental ketidaktuntasan himpunan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(Zeigarnik, 1927), dorongan psikologis melengkapi set koleksi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(Gao et al., 2014), pembingkaian himpunan semu (</w:t>
      </w:r>
      <w:r>
        <w:rPr>
          <w:b w:val="0"/>
          <w:i/>
          <w:sz w:val="24"/>
          <w:color w:val="000000"/>
          <w:rFonts w:ascii="Times New Roman" w:hAnsi="Times New Roman" w:cs="Times New Roman"/>
        </w:rPr>
        <w:t>Pseudo-Set Framing</w:t>
      </w:r>
      <w:r>
        <w:rPr>
          <w:b w:val="0"/>
          <w:i w:val="0"/>
          <w:sz w:val="24"/>
          <w:color w:val="000000"/>
          <w:rFonts w:ascii="Times New Roman" w:hAnsi="Times New Roman" w:cs="Times New Roman"/>
        </w:rPr>
        <w:t>) (Barasz et al., 2017), serta hasrat kepemilikan materialistik atas objek langka (Belk, 1995).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Finansial dan Spekulasi Pasar (</w:t>
      </w:r>
      <w:r>
        <w:rPr>
          <w:b/>
          <w:i/>
          <w:sz w:val="24"/>
          <w:color w:val="000000"/>
          <w:rFonts w:ascii="Times New Roman" w:hAnsi="Times New Roman" w:cs="Times New Roman"/>
        </w:rPr>
        <w:t>Economic and Speculative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ekspektasi apresiasi nilai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likuiditas pasar sekunder, anomali psikologi pasar modal dan bias optimisme berlebihan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(Shiller, 2000; Baur et al., 2018), persepsi memenangkan lotre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serta bias perilaku investor muda (Colline,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Faktor Situasional dan Rangsangan Toko (</w:t>
      </w:r>
      <w:r>
        <w:rPr>
          <w:b/>
          <w:i/>
          <w:sz w:val="24"/>
          <w:color w:val="000000"/>
          <w:rFonts w:ascii="Times New Roman" w:hAnsi="Times New Roman" w:cs="Times New Roman"/>
        </w:rPr>
        <w:t>Situational and Atmospheric Drivers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Meliputi mekanisme kejutan kemasan tertutup (</w:t>
      </w:r>
      <w:r>
        <w:rPr>
          <w:b w:val="0"/>
          <w:i/>
          <w:sz w:val="24"/>
          <w:color w:val="000000"/>
          <w:rFonts w:ascii="Times New Roman" w:hAnsi="Times New Roman" w:cs="Times New Roman"/>
        </w:rPr>
        <w:t>blind pack mystery</w:t>
      </w:r>
      <w:r>
        <w:rPr>
          <w:b w:val="0"/>
          <w:i w:val="0"/>
          <w:sz w:val="24"/>
          <w:color w:val="000000"/>
          <w:rFonts w:ascii="Times New Roman" w:hAnsi="Times New Roman" w:cs="Times New Roman"/>
        </w:rPr>
        <w:t>), display etalase kasir yang memancing sentuhan fisik (</w:t>
      </w:r>
      <w:r>
        <w:rPr>
          <w:b w:val="0"/>
          <w:i/>
          <w:sz w:val="24"/>
          <w:color w:val="000000"/>
          <w:rFonts w:ascii="Times New Roman" w:hAnsi="Times New Roman" w:cs="Times New Roman"/>
        </w:rPr>
        <w:t>need for touch</w:t>
      </w:r>
      <w:r>
        <w:rPr>
          <w:b w:val="0"/>
          <w:i w:val="0"/>
          <w:sz w:val="24"/>
          <w:color w:val="000000"/>
          <w:rFonts w:ascii="Times New Roman" w:hAnsi="Times New Roman" w:cs="Times New Roman"/>
        </w:rPr>
        <w:t>) (Peck and Childers, 2006), diskon promosi sesaat, serta desakan kelangkaan stok fisik (Amos et al., 2014).</w:t>
      </w:r>
    </w:p>
    <w:p>
      <w:pPr>
        <w:spacing w:line="360" w:lineRule="auto" w:before="0" w:after="0"/>
        <w:ind w:firstLine="709"/>
        <w:jc w:val="both"/>
      </w:pPr>
      <w:r>
        <w:rPr>
          <w:b w:val="0"/>
          <w:i w:val="0"/>
          <w:sz w:val="24"/>
          <w:color w:val="000000"/>
          <w:rFonts w:ascii="Times New Roman" w:hAnsi="Times New Roman" w:cs="Times New Roman"/>
        </w:rPr>
        <w:t xml:space="preserve">Berdasarkan pemetaan komprehensif faktor-faktor penentu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Pertama, </w:t>
      </w:r>
      <w:r>
        <w:rPr>
          <w:b/>
          <w:i w:val="0"/>
          <w:sz w:val="24"/>
          <w:color w:val="000000"/>
          <w:rFonts w:ascii="Times New Roman" w:hAnsi="Times New Roman" w:cs="Times New Roman"/>
        </w:rPr>
        <w:t xml:space="preserve">faktor afektif diwakili oleh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₁)</w:t>
      </w:r>
      <w:r>
        <w:rPr>
          <w:b w:val="0"/>
          <w:i w:val="0"/>
          <w:sz w:val="24"/>
          <w:color w:val="000000"/>
          <w:rFonts w:ascii="Times New Roman" w:hAnsi="Times New Roman" w:cs="Times New Roman"/>
        </w:rPr>
        <w:t xml:space="preserve">. Konsumen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bukan untuk pemenuhan kebutuhan utiliter harian, melainkan demi mengejar kepuasan emosional, sensasi hiburan, dan lonjakan dopamin saat merobek bungkus foil kemasan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 (Arnold and Reynolds, 2003; Gültekin and Özer, 2012).</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Kedua, </w:t>
      </w:r>
      <w:r>
        <w:rPr>
          <w:b/>
          <w:i w:val="0"/>
          <w:sz w:val="24"/>
          <w:color w:val="000000"/>
          <w:rFonts w:ascii="Times New Roman" w:hAnsi="Times New Roman" w:cs="Times New Roman"/>
        </w:rPr>
        <w:t xml:space="preserve">faktor psikologis koleksi diwakili oleh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₂)</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Belk, 1995) dan formalisasi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Ketiga, </w:t>
      </w:r>
      <w:r>
        <w:rPr>
          <w:b/>
          <w:i w:val="0"/>
          <w:sz w:val="24"/>
          <w:color w:val="000000"/>
          <w:rFonts w:ascii="Times New Roman" w:hAnsi="Times New Roman" w:cs="Times New Roman"/>
        </w:rPr>
        <w:t xml:space="preserve">faktor ekonomi dan pasar diwakili oleh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w:t>
      </w:r>
      <w:r>
        <w:rPr>
          <w:b/>
          <w:i/>
          <w:sz w:val="24"/>
          <w:color w:val="000000"/>
          <w:rFonts w:ascii="Times New Roman" w:hAnsi="Times New Roman" w:cs="Times New Roman"/>
        </w:rPr>
        <w:t>X</w:t>
      </w:r>
      <w:r>
        <w:rPr>
          <w:b/>
          <w:i w:val="0"/>
          <w:sz w:val="24"/>
          <w:color w:val="000000"/>
          <w:rFonts w:ascii="Times New Roman" w:hAnsi="Times New Roman" w:cs="Times New Roman"/>
        </w:rPr>
        <w:t>₃)</w:t>
      </w:r>
      <w:r>
        <w:rPr>
          <w:b w:val="0"/>
          <w:i w:val="0"/>
          <w:sz w:val="24"/>
          <w:color w:val="000000"/>
          <w:rFonts w:ascii="Times New Roman" w:hAnsi="Times New Roman" w:cs="Times New Roman"/>
        </w:rPr>
        <w:t xml:space="preserve">. Dalam perspektif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berpeluang menghasilkan kartu langka bernilai jutaan rupiah untuk dijual kembali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Terkait pengukuran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di etalase ritel melibatkan pergulatan nyata antara sensasi afektif merobek kemasan dengan kelalaian kognitif terhadap alokasi anggaran pribadi.</w:t>
      </w:r>
    </w:p>
    <w:p>
      <w:pPr>
        <w:spacing w:line="360" w:lineRule="auto" w:before="0" w:after="0"/>
        <w:ind w:firstLine="709"/>
        <w:jc w:val="both"/>
      </w:pPr>
      <w:r>
        <w:rPr>
          <w:b w:val="0"/>
          <w:i w:val="0"/>
          <w:sz w:val="24"/>
          <w:color w:val="000000"/>
          <w:rFonts w:ascii="Times New Roman" w:hAnsi="Times New Roman" w:cs="Times New Roman"/>
        </w:rPr>
        <w:t>Meskipun ketiga faktor pendorong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secara teoretis berkaitan erat dengan keputusan belanja, telaah mendalam terhadap riset-riset empiris terdahulu justru memperlihatkan adanya kesenjangan penelitian (</w:t>
      </w:r>
      <w:r>
        <w:rPr>
          <w:b w:val="0"/>
          <w:i/>
          <w:sz w:val="24"/>
          <w:color w:val="000000"/>
          <w:rFonts w:ascii="Times New Roman" w:hAnsi="Times New Roman" w:cs="Times New Roman"/>
        </w:rPr>
        <w:t>empirical research gap</w:t>
      </w:r>
      <w:r>
        <w:rPr>
          <w:b w:val="0"/>
          <w:i w:val="0"/>
          <w:sz w:val="24"/>
          <w:color w:val="000000"/>
          <w:rFonts w:ascii="Times New Roman" w:hAnsi="Times New Roman" w:cs="Times New Roman"/>
        </w:rPr>
        <w:t>) berupa temuan yang saling bertolak belakang (</w:t>
      </w:r>
      <w:r>
        <w:rPr>
          <w:b w:val="0"/>
          <w:i/>
          <w:sz w:val="24"/>
          <w:color w:val="000000"/>
          <w:rFonts w:ascii="Times New Roman" w:hAnsi="Times New Roman" w:cs="Times New Roman"/>
        </w:rPr>
        <w:t>inconsistent findings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dan pertimbangan utilitas fungsional mendominasi keputusan konsumen (Zheng et al., 2019; Prasetio et al., 2021).</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b w:val="0"/>
          <w:i/>
          <w:sz w:val="24"/>
          <w:color w:val="000000"/>
          <w:rFonts w:ascii="Times New Roman" w:hAnsi="Times New Roman" w:cs="Times New Roman"/>
        </w:rPr>
        <w:t>mature collectors</w:t>
      </w:r>
      <w:r>
        <w:rPr>
          <w:b w:val="0"/>
          <w:i w:val="0"/>
          <w:sz w:val="24"/>
          <w:color w:val="000000"/>
          <w:rFonts w:ascii="Times New Roman" w:hAnsi="Times New Roman" w:cs="Times New Roman"/>
        </w:rPr>
        <w:t>) justru menumbuhkan kehati-hatian finansial; mereka menahan diri dari belanja spekulatif pada kemasan acak dan lebih memilih strategi pembelian terencana pada kartu satuan (</w:t>
      </w:r>
      <w:r>
        <w:rPr>
          <w:b w:val="0"/>
          <w:i/>
          <w:sz w:val="24"/>
          <w:color w:val="000000"/>
          <w:rFonts w:ascii="Times New Roman" w:hAnsi="Times New Roman" w:cs="Times New Roman"/>
        </w:rPr>
        <w:t>single cards</w:t>
      </w:r>
      <w:r>
        <w:rPr>
          <w:b w:val="0"/>
          <w:i w:val="0"/>
          <w:sz w:val="24"/>
          <w:color w:val="000000"/>
          <w:rFonts w:ascii="Times New Roman" w:hAnsi="Times New Roman" w:cs="Times New Roman"/>
        </w:rPr>
        <w:t>) di pasar sekunder.</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pPr>
        <w:spacing w:line="360" w:lineRule="auto" w:before="0" w:after="0"/>
        <w:ind w:firstLine="709"/>
        <w:jc w:val="both"/>
      </w:pPr>
      <w:r>
        <w:rPr>
          <w:b w:val="0"/>
          <w:i w:val="0"/>
          <w:sz w:val="24"/>
          <w:color w:val="000000"/>
          <w:rFonts w:ascii="Times New Roman" w:hAnsi="Times New Roman"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Vohs and Faber, 2007) dan model pertentangan internal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(Thaler and Shefrin, 1981), variabel yang paling tepat bertindak sebagai benteng pertahanan psikologis adalah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r>
        <w:rPr>
          <w:b w:val="0"/>
          <w:i w:val="0"/>
          <w:sz w:val="24"/>
          <w:color w:val="000000"/>
          <w:rFonts w:ascii="Times New Roman" w:hAnsi="Times New Roman" w:cs="Times New Roman"/>
        </w:rPr>
        <w:t>. Kontrol diri merupakan kapasitas volisional individu untuk menolak godaan sesaat,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b/>
          <w:i w:val="0"/>
          <w:sz w:val="24"/>
          <w:color w:val="000000"/>
          <w:rFonts w:ascii="Times New Roman" w:hAnsi="Times New Roman" w:cs="Times New Roman"/>
        </w:rPr>
        <w:t>akan dilemahkan (</w:t>
      </w:r>
      <w:r>
        <w:rPr>
          <w:b/>
          <w:i/>
          <w:sz w:val="24"/>
          <w:color w:val="000000"/>
          <w:rFonts w:ascii="Times New Roman" w:hAnsi="Times New Roman" w:cs="Times New Roman"/>
        </w:rPr>
        <w:t>buffered/dampened</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apabila konsumen memiliki kapasitas kontrol diri yang kokoh (Apidana and Kholifah, 2022; Lienardy and Panasea, 2024).</w:t>
      </w:r>
    </w:p>
    <w:p>
      <w:pPr>
        <w:spacing w:line="360" w:lineRule="auto" w:before="0" w:after="0"/>
        <w:ind w:firstLine="709"/>
        <w:jc w:val="both"/>
      </w:pPr>
      <w:r>
        <w:rPr>
          <w:b w:val="0"/>
          <w:i w:val="0"/>
          <w:sz w:val="24"/>
          <w:color w:val="000000"/>
          <w:rFonts w:ascii="Times New Roman" w:hAnsi="Times New Roman"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b/>
          <w:i w:val="0"/>
          <w:sz w:val="24"/>
          <w:color w:val="000000"/>
          <w:rFonts w:ascii="Times New Roman" w:hAnsi="Times New Roman" w:cs="Times New Roman"/>
        </w:rPr>
        <w:t xml:space="preserve">“PENGARUH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 DENGAN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SEBAGAI VARIABEL MODERASI”</w:t>
      </w:r>
      <w:r>
        <w:rPr>
          <w:b w:val="0"/>
          <w:i w:val="0"/>
          <w:sz w:val="24"/>
          <w:color w:val="000000"/>
          <w:rFonts w:ascii="Times New Roman" w:hAnsi="Times New Roman" w:cs="Times New Roman"/>
        </w:rPr>
        <w:t>.</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1.2 Perumusan Masalah</w:t>
      </w:r>
    </w:p>
    <w:p>
      <w:pPr>
        <w:spacing w:line="360" w:lineRule="auto" w:before="0" w:after="0"/>
        <w:ind w:firstLine="709"/>
        <w:jc w:val="both"/>
      </w:pPr>
      <w:r>
        <w:rPr>
          <w:b w:val="0"/>
          <w:i w:val="0"/>
          <w:sz w:val="24"/>
          <w:color w:val="000000"/>
          <w:rFonts w:ascii="Times New Roman" w:hAnsi="Times New Roman" w:cs="Times New Roman"/>
        </w:rPr>
        <w:t>Berdasarkan latar belakang penelitian yang telah diuraikan, maka perumusan masalah dalam penelitian ini adalah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berpengaruh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Apakah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memoderasi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1.3 Tujuan Penelitian</w:t>
      </w:r>
    </w:p>
    <w:p>
      <w:pPr>
        <w:spacing w:line="360" w:lineRule="auto" w:before="0" w:after="0"/>
        <w:ind w:firstLine="709"/>
        <w:jc w:val="both"/>
      </w:pPr>
      <w:r>
        <w:rPr>
          <w:b w:val="0"/>
          <w:i w:val="0"/>
          <w:sz w:val="24"/>
          <w:color w:val="000000"/>
          <w:rFonts w:ascii="Times New Roman" w:hAnsi="Times New Roman" w:cs="Times New Roman"/>
        </w:rPr>
        <w:t>Mengacu pada perumusan masalah di atas, maka tujuan yang ingin dicapai dalam penelitian ini adalah:</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Untuk menganalisis dan membuktikan secara empiris peran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pada pengaruh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1.4 Manfaat Penelitian</w:t>
      </w:r>
    </w:p>
    <w:p>
      <w:pPr>
        <w:spacing w:line="360" w:lineRule="auto" w:before="0" w:after="0"/>
        <w:ind w:firstLine="709"/>
        <w:jc w:val="both"/>
      </w:pPr>
      <w:r>
        <w:rPr>
          <w:b w:val="0"/>
          <w:i w:val="0"/>
          <w:sz w:val="24"/>
          <w:color w:val="000000"/>
          <w:rFonts w:ascii="Times New Roman" w:hAnsi="Times New Roman" w:cs="Times New Roman"/>
        </w:rPr>
        <w:t>Hasil penelitian ini diharapkan dapat memberikan kontribusi nyata baik secara teoritis maupun praktis: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1.4.1 Manfaat Teoritis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Pengembangan Teori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Memberikan kontribusi empiris dalam memperluas cakupan teori keuangan perilaku pada pasar aset alternatif (</w:t>
      </w:r>
      <w:r>
        <w:rPr>
          <w:b w:val="0"/>
          <w:i/>
          <w:sz w:val="24"/>
          <w:color w:val="000000"/>
          <w:rFonts w:ascii="Times New Roman" w:hAnsi="Times New Roman" w:cs="Times New Roman"/>
        </w:rPr>
        <w:t>collectibles</w:t>
      </w:r>
      <w:r>
        <w:rPr>
          <w:b w:val="0"/>
          <w:i w:val="0"/>
          <w:sz w:val="24"/>
          <w:color w:val="000000"/>
          <w:rFonts w:ascii="Times New Roman" w:hAnsi="Times New Roman" w:cs="Times New Roman"/>
        </w:rPr>
        <w:t>), khususnya dalam menjelaskan bagaimana motif spekulasi finansial, bias perilaku investor muda (Colline, 2024), dan bias kognitif koleksi berinteraksi memicu keputusan pembelian impulsif.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Pengayaan Literatur Moderasi Kontrol Diri (</w:t>
      </w:r>
      <w:r>
        <w:rPr>
          <w:b/>
          <w:i/>
          <w:sz w:val="24"/>
          <w:color w:val="000000"/>
          <w:rFonts w:ascii="Times New Roman" w:hAnsi="Times New Roman" w:cs="Times New Roman"/>
        </w:rPr>
        <w:t>Self-Control</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Memperdalam pemahaman teoretis mengenai mekanisme regulasi diri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dalam memoderasi dan meredam dorongan belanja spontan pada barang-barang berkategori kesenangan dan spekulasi hobi (Sultan et al., 2012; Apidana and Kholifah, 2022; Lienardy and Panasea, 2024).</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Referensi Akademis Baru:</w:t>
      </w:r>
      <w:r>
        <w:rPr>
          <w:b w:val="0"/>
          <w:i w:val="0"/>
          <w:sz w:val="24"/>
          <w:color w:val="000000"/>
          <w:rFonts w:ascii="Times New Roman" w:hAnsi="Times New Roman" w:cs="Times New Roman"/>
        </w:rPr>
        <w:t xml:space="preserve"> Menjadi rujukan ilmiah pionir bagi penelitian-penelitian di masa depan di lingkungan Fakultas Ekonomi dan Bisnis terkait perilaku konsumen dan dinamika ekonomi industri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xml:space="preserve"> di Indonesia yang selama ini masih sangat jarang diteliti.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1.4.2 Manfaat Praktis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Konsumen dan Kolektor Pokémon TCG:</w:t>
      </w:r>
      <w:r>
        <w:rPr>
          <w:b w:val="0"/>
          <w:i w:val="0"/>
          <w:sz w:val="24"/>
          <w:color w:val="000000"/>
          <w:rFonts w:ascii="Times New Roman" w:hAnsi="Times New Roman"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Komunitas dan Pelaku Usaha Toko Hobi (</w:t>
      </w:r>
      <w:r>
        <w:rPr>
          <w:b/>
          <w:i/>
          <w:sz w:val="24"/>
          <w:color w:val="000000"/>
          <w:rFonts w:ascii="Times New Roman" w:hAnsi="Times New Roman" w:cs="Times New Roman"/>
        </w:rPr>
        <w:t>Local Game Stores</w:t>
      </w:r>
      <w:r>
        <w:rPr>
          <w:b/>
          <w:i w:val="0"/>
          <w:sz w:val="24"/>
          <w:color w:val="000000"/>
          <w:rFonts w:ascii="Times New Roman" w:hAnsi="Times New Roman" w:cs="Times New Roman"/>
        </w:rPr>
        <w:t>):</w:t>
      </w:r>
      <w:r>
        <w:rPr>
          <w:b w:val="0"/>
          <w:i w:val="0"/>
          <w:sz w:val="24"/>
          <w:color w:val="000000"/>
          <w:rFonts w:ascii="Times New Roman" w:hAnsi="Times New Roman"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Otoritas Edukasi Finansial dan Kebijakan Publik:</w:t>
      </w:r>
      <w:r>
        <w:rPr>
          <w:b w:val="0"/>
          <w:i w:val="0"/>
          <w:sz w:val="24"/>
          <w:color w:val="000000"/>
          <w:rFonts w:ascii="Times New Roman" w:hAnsi="Times New Roman"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Bagi Almamater FEB UKRIDA:</w:t>
      </w:r>
      <w:r>
        <w:rPr>
          <w:b w:val="0"/>
          <w:i w:val="0"/>
          <w:sz w:val="24"/>
          <w:color w:val="000000"/>
          <w:rFonts w:ascii="Times New Roman" w:hAnsi="Times New Roman" w:cs="Times New Roman"/>
        </w:rPr>
        <w:t xml:space="preserve"> Menambah koleksi karya ilmiah berkualitas dan orisinal di Program Studi S1 Manajemen Konsentrasi Manajemen Keuangan Fakultas Ekonomi dan Bisnis Universitas Kristen Krida Wacana.</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2 KAJIAN PUSTAKA DAN PENGEMBANGAN HIPOTESIS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2.1 Landasan Teori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2.1.1 Grand Theory: 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Penelitian ini berakar pada teori utama (</w:t>
      </w:r>
      <w:r>
        <w:rPr>
          <w:b w:val="0"/>
          <w:i/>
          <w:sz w:val="24"/>
          <w:color w:val="000000"/>
          <w:rFonts w:ascii="Times New Roman" w:hAnsi="Times New Roman" w:cs="Times New Roman"/>
        </w:rPr>
        <w:t>grand theory</w:t>
      </w:r>
      <w:r>
        <w:rPr>
          <w:b w:val="0"/>
          <w:i w:val="0"/>
          <w:sz w:val="24"/>
          <w:color w:val="000000"/>
          <w:rFonts w:ascii="Times New Roman" w:hAnsi="Times New Roman" w:cs="Times New Roman"/>
        </w:rPr>
        <w:t xml:space="preserve">) </w:t>
      </w:r>
      <w:r>
        <w:rPr>
          <w:b/>
          <w:i w:val="0"/>
          <w:sz w:val="24"/>
          <w:color w:val="000000"/>
          <w:rFonts w:ascii="Times New Roman" w:hAnsi="Times New Roman" w:cs="Times New Roman"/>
        </w:rPr>
        <w:t>Keuangan Perilaku (</w:t>
      </w:r>
      <w:r>
        <w:rPr>
          <w:b/>
          <w:i/>
          <w:sz w:val="24"/>
          <w:color w:val="000000"/>
          <w:rFonts w:ascii="Times New Roman" w:hAnsi="Times New Roman" w:cs="Times New Roman"/>
        </w:rPr>
        <w:t>Behavioral Finance</w:t>
      </w:r>
      <w:r>
        <w:rPr>
          <w:b/>
          <w:i w:val="0"/>
          <w:sz w:val="24"/>
          <w:color w:val="000000"/>
          <w:rFonts w:ascii="Times New Roman" w:hAnsi="Times New Roman" w:cs="Times New Roman"/>
        </w:rPr>
        <w:t>)</w:t>
      </w:r>
      <w:r>
        <w:rPr>
          <w:b w:val="0"/>
          <w:i w:val="0"/>
          <w:sz w:val="24"/>
          <w:color w:val="000000"/>
          <w:rFonts w:ascii="Times New Roman" w:hAnsi="Times New Roman" w:cs="Times New Roman"/>
        </w:rPr>
        <w:t>. Teori keuangan neoklasik tradisional berasumsi bahwa pelaku ekonomi merupakan makhluk yang sepenuhnya rasional (</w:t>
      </w:r>
      <w:r>
        <w:rPr>
          <w:b w:val="0"/>
          <w:i/>
          <w:sz w:val="24"/>
          <w:color w:val="000000"/>
          <w:rFonts w:ascii="Times New Roman" w:hAnsi="Times New Roman" w:cs="Times New Roman"/>
        </w:rPr>
        <w:t>homo economicus</w:t>
      </w:r>
      <w:r>
        <w:rPr>
          <w:b w:val="0"/>
          <w:i w:val="0"/>
          <w:sz w:val="24"/>
          <w:color w:val="000000"/>
          <w:rFonts w:ascii="Times New Roman" w:hAnsi="Times New Roman" w:cs="Times New Roman"/>
        </w:rPr>
        <w:t>) yang selalu memaksimalkan utilitas dan memproses informasi secara efisien (Fama, 1970). Namun, Simon (1955) mengemukakan konsep rasionalitas terbatas (</w:t>
      </w:r>
      <w:r>
        <w:rPr>
          <w:b w:val="0"/>
          <w:i/>
          <w:sz w:val="24"/>
          <w:color w:val="000000"/>
          <w:rFonts w:ascii="Times New Roman" w:hAnsi="Times New Roman" w:cs="Times New Roman"/>
        </w:rPr>
        <w:t>bounded rationality</w:t>
      </w:r>
      <w:r>
        <w:rPr>
          <w:b w:val="0"/>
          <w:i w:val="0"/>
          <w:sz w:val="24"/>
          <w:color w:val="000000"/>
          <w:rFonts w:ascii="Times New Roman" w:hAnsi="Times New Roman" w:cs="Times New Roman"/>
        </w:rPr>
        <w:t>), bahwa keterbatasan kapasitas kognitif dan informasi membuat manusia tidak mampu mengambil keputusan yang optimal sempurna, melainkan memilih alternatif yang memuaskan (</w:t>
      </w:r>
      <w:r>
        <w:rPr>
          <w:b w:val="0"/>
          <w:i/>
          <w:sz w:val="24"/>
          <w:color w:val="000000"/>
          <w:rFonts w:ascii="Times New Roman" w:hAnsi="Times New Roman" w:cs="Times New Roman"/>
        </w:rPr>
        <w:t>satisficing</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Kahneman and Tversky (1979) melalui </w:t>
      </w:r>
      <w:r>
        <w:rPr>
          <w:b w:val="0"/>
          <w:i/>
          <w:sz w:val="24"/>
          <w:color w:val="000000"/>
          <w:rFonts w:ascii="Times New Roman" w:hAnsi="Times New Roman" w:cs="Times New Roman"/>
        </w:rPr>
        <w:t>Prospect Theory</w:t>
      </w:r>
      <w:r>
        <w:rPr>
          <w:b w:val="0"/>
          <w:i w:val="0"/>
          <w:sz w:val="24"/>
          <w:color w:val="000000"/>
          <w:rFonts w:ascii="Times New Roman" w:hAnsi="Times New Roman" w:cs="Times New Roman"/>
        </w:rPr>
        <w:t xml:space="preserve"> membuktikan bahwa individu mengevaluasi keuntungan dan kerugian secara asimetris (</w:t>
      </w:r>
      <w:r>
        <w:rPr>
          <w:b w:val="0"/>
          <w:i/>
          <w:sz w:val="24"/>
          <w:color w:val="000000"/>
          <w:rFonts w:ascii="Times New Roman" w:hAnsi="Times New Roman" w:cs="Times New Roman"/>
        </w:rPr>
        <w:t>loss aversion</w:t>
      </w:r>
      <w:r>
        <w:rPr>
          <w:b w:val="0"/>
          <w:i w:val="0"/>
          <w:sz w:val="24"/>
          <w:color w:val="000000"/>
          <w:rFonts w:ascii="Times New Roman" w:hAnsi="Times New Roman" w:cs="Times New Roman"/>
        </w:rPr>
        <w:t xml:space="preserve">), serta dipandu oleh bias kognitif sistematis seperti </w:t>
      </w:r>
      <w:r>
        <w:rPr>
          <w:b w:val="0"/>
          <w:i/>
          <w:sz w:val="24"/>
          <w:color w:val="000000"/>
          <w:rFonts w:ascii="Times New Roman" w:hAnsi="Times New Roman" w:cs="Times New Roman"/>
        </w:rPr>
        <w:t>overoptimism bias</w:t>
      </w:r>
      <w:r>
        <w:rPr>
          <w:b w:val="0"/>
          <w:i w:val="0"/>
          <w:sz w:val="24"/>
          <w:color w:val="000000"/>
          <w:rFonts w:ascii="Times New Roman" w:hAnsi="Times New Roman" w:cs="Times New Roman"/>
        </w:rPr>
        <w:t xml:space="preserve"> dan kesesatan berpikir penjudi (</w:t>
      </w:r>
      <w:r>
        <w:rPr>
          <w:b w:val="0"/>
          <w:i/>
          <w:sz w:val="24"/>
          <w:color w:val="000000"/>
          <w:rFonts w:ascii="Times New Roman" w:hAnsi="Times New Roman" w:cs="Times New Roman"/>
        </w:rPr>
        <w:t>gambler's fallacy / lottery effect</w:t>
      </w:r>
      <w:r>
        <w:rPr>
          <w:b w:val="0"/>
          <w:i w:val="0"/>
          <w:sz w:val="24"/>
          <w:color w:val="000000"/>
          <w:rFonts w:ascii="Times New Roman" w:hAnsi="Times New Roman" w:cs="Times New Roman"/>
        </w:rPr>
        <w:t xml:space="preserve">). Shiller (2000) dalam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xml:space="preserve"> menguraikan bagaimana dinamika psikologis pasar dan perilaku berkerumun (</w:t>
      </w:r>
      <w:r>
        <w:rPr>
          <w:b w:val="0"/>
          <w:i/>
          <w:sz w:val="24"/>
          <w:color w:val="000000"/>
          <w:rFonts w:ascii="Times New Roman" w:hAnsi="Times New Roman" w:cs="Times New Roman"/>
        </w:rPr>
        <w:t>herd behavior</w:t>
      </w:r>
      <w:r>
        <w:rPr>
          <w:b w:val="0"/>
          <w:i w:val="0"/>
          <w:sz w:val="24"/>
          <w:color w:val="000000"/>
          <w:rFonts w:ascii="Times New Roman" w:hAnsi="Times New Roman" w:cs="Times New Roman"/>
        </w:rPr>
        <w:t>) memicu gelembung spekulatif (</w:t>
      </w:r>
      <w:r>
        <w:rPr>
          <w:b w:val="0"/>
          <w:i/>
          <w:sz w:val="24"/>
          <w:color w:val="000000"/>
          <w:rFonts w:ascii="Times New Roman" w:hAnsi="Times New Roman" w:cs="Times New Roman"/>
        </w:rPr>
        <w:t>speculative bubbles</w:t>
      </w:r>
      <w:r>
        <w:rPr>
          <w:b w:val="0"/>
          <w:i w:val="0"/>
          <w:sz w:val="24"/>
          <w:color w:val="000000"/>
          <w:rFonts w:ascii="Times New Roman" w:hAnsi="Times New Roman" w:cs="Times New Roman"/>
        </w:rPr>
        <w:t xml:space="preserve">) di mana harga aset melonjak jauh melampaui nilai fundamentalnya. Selanjutnya, Thaler (1985) dan Thaler and Shefrin (1981) memperkenalkan konsep </w:t>
      </w:r>
      <w:r>
        <w:rPr>
          <w:b w:val="0"/>
          <w:i/>
          <w:sz w:val="24"/>
          <w:color w:val="000000"/>
          <w:rFonts w:ascii="Times New Roman" w:hAnsi="Times New Roman" w:cs="Times New Roman"/>
        </w:rPr>
        <w:t>Mental Accounting</w:t>
      </w:r>
      <w:r>
        <w:rPr>
          <w:b w:val="0"/>
          <w:i w:val="0"/>
          <w:sz w:val="24"/>
          <w:color w:val="000000"/>
          <w:rFonts w:ascii="Times New Roman" w:hAnsi="Times New Roman" w:cs="Times New Roman"/>
        </w:rPr>
        <w:t xml:space="preserve"> serta model konflik internal dua sistem (</w:t>
      </w:r>
      <w:r>
        <w:rPr>
          <w:b w:val="0"/>
          <w:i/>
          <w:sz w:val="24"/>
          <w:color w:val="000000"/>
          <w:rFonts w:ascii="Times New Roman" w:hAnsi="Times New Roman" w:cs="Times New Roman"/>
        </w:rPr>
        <w:t>Dual-System Planner-Doer Model</w:t>
      </w:r>
      <w:r>
        <w:rPr>
          <w:b w:val="0"/>
          <w:i w:val="0"/>
          <w:sz w:val="24"/>
          <w:color w:val="000000"/>
          <w:rFonts w:ascii="Times New Roman" w:hAnsi="Times New Roman" w:cs="Times New Roman"/>
        </w:rPr>
        <w:t>): pertarungan antara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yang rasional jangka panjang dengan entitas pelaku (</w:t>
      </w:r>
      <w:r>
        <w:rPr>
          <w:b w:val="0"/>
          <w:i/>
          <w:sz w:val="24"/>
          <w:color w:val="000000"/>
          <w:rFonts w:ascii="Times New Roman" w:hAnsi="Times New Roman" w:cs="Times New Roman"/>
        </w:rPr>
        <w:t>doer</w:t>
      </w:r>
      <w:r>
        <w:rPr>
          <w:b w:val="0"/>
          <w:i w:val="0"/>
          <w:sz w:val="24"/>
          <w:color w:val="000000"/>
          <w:rFonts w:ascii="Times New Roman" w:hAnsi="Times New Roman" w:cs="Times New Roman"/>
        </w:rPr>
        <w:t>) yang impulsif jangka pendek.</w:t>
      </w:r>
    </w:p>
    <w:p>
      <w:pPr>
        <w:spacing w:line="360" w:lineRule="auto" w:before="0" w:after="0"/>
        <w:ind w:firstLine="709"/>
        <w:jc w:val="both"/>
      </w:pPr>
      <w:r>
        <w:rPr>
          <w:b w:val="0"/>
          <w:i w:val="0"/>
          <w:sz w:val="24"/>
          <w:color w:val="000000"/>
          <w:rFonts w:ascii="Times New Roman" w:hAnsi="Times New Roman" w:cs="Times New Roman"/>
        </w:rPr>
        <w:t xml:space="preserve">Dalam konteks kartu Pokémon TCG,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memberikan landasan eksplanatif yang solid. Kartu Pokémon fisik telah bertransformasi menjadi instrumen aset alternatif yang sarat dengan bias perilaku keuangan: ilusi probabilitas menarik kartu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bernilai jutaan rupiah dari kemasan murah, godaan kepuasan instan merobek bungkus kemasan, serta antusiasme spekulatif yang mengabaikan ketersediaan anggaran pribadi.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2.1.2 Supporting Theory: Teori </w:t>
      </w:r>
      <w:r>
        <w:rPr>
          <w:b/>
          <w:i/>
          <w:sz w:val="24"/>
          <w:color w:val="000000"/>
          <w:rFonts w:ascii="Times New Roman" w:hAnsi="Times New Roman" w:cs="Times New Roman"/>
        </w:rPr>
        <w:t>Stimulus-Organism-Response</w:t>
      </w:r>
      <w:r>
        <w:rPr>
          <w:b/>
          <w:i w:val="0"/>
          <w:sz w:val="24"/>
          <w:color w:val="000000"/>
          <w:rFonts w:ascii="Times New Roman" w:hAnsi="Times New Roman" w:cs="Times New Roman"/>
        </w:rPr>
        <w:t xml:space="preserve"> (S-O-R)</w:t>
      </w:r>
    </w:p>
    <w:p>
      <w:pPr>
        <w:spacing w:line="360" w:lineRule="auto" w:before="0" w:after="0"/>
        <w:ind w:firstLine="709"/>
        <w:jc w:val="both"/>
      </w:pPr>
      <w:r>
        <w:rPr>
          <w:b w:val="0"/>
          <w:i w:val="0"/>
          <w:sz w:val="24"/>
          <w:color w:val="000000"/>
          <w:rFonts w:ascii="Times New Roman" w:hAnsi="Times New Roman" w:cs="Times New Roman"/>
        </w:rPr>
        <w:t xml:space="preserve">Penelitian ini didukung oleh model </w:t>
      </w:r>
      <w:r>
        <w:rPr>
          <w:b w:val="0"/>
          <w:i/>
          <w:sz w:val="24"/>
          <w:color w:val="000000"/>
          <w:rFonts w:ascii="Times New Roman" w:hAnsi="Times New Roman" w:cs="Times New Roman"/>
        </w:rPr>
        <w:t>Stimulus-Organism-Response</w:t>
      </w:r>
      <w:r>
        <w:rPr>
          <w:b w:val="0"/>
          <w:i w:val="0"/>
          <w:sz w:val="24"/>
          <w:color w:val="000000"/>
          <w:rFonts w:ascii="Times New Roman" w:hAnsi="Times New Roman" w:cs="Times New Roman"/>
        </w:rPr>
        <w:t xml:space="preserve"> (S-O-R) yang dikembangkan oleh Mehrabian and Russell (1974). Model ini menjelaskan bahwa pemicu lingkungan eksternal (</w:t>
      </w:r>
      <w:r>
        <w:rPr>
          <w:b w:val="0"/>
          <w:i/>
          <w:sz w:val="24"/>
          <w:color w:val="000000"/>
          <w:rFonts w:ascii="Times New Roman" w:hAnsi="Times New Roman" w:cs="Times New Roman"/>
        </w:rPr>
        <w:t>Stimulus</w:t>
      </w:r>
      <w:r>
        <w:rPr>
          <w:b w:val="0"/>
          <w:i w:val="0"/>
          <w:sz w:val="24"/>
          <w:color w:val="000000"/>
          <w:rFonts w:ascii="Times New Roman" w:hAnsi="Times New Roman" w:cs="Times New Roman"/>
        </w:rPr>
        <w:t>) mempengaruhi kondisi internal kognitif dan afektif individu (</w:t>
      </w:r>
      <w:r>
        <w:rPr>
          <w:b w:val="0"/>
          <w:i/>
          <w:sz w:val="24"/>
          <w:color w:val="000000"/>
          <w:rFonts w:ascii="Times New Roman" w:hAnsi="Times New Roman" w:cs="Times New Roman"/>
        </w:rPr>
        <w:t>Organism</w:t>
      </w:r>
      <w:r>
        <w:rPr>
          <w:b w:val="0"/>
          <w:i w:val="0"/>
          <w:sz w:val="24"/>
          <w:color w:val="000000"/>
          <w:rFonts w:ascii="Times New Roman" w:hAnsi="Times New Roman" w:cs="Times New Roman"/>
        </w:rPr>
        <w:t>), yang pada gilirannya memicu tindakan nyata (</w:t>
      </w:r>
      <w:r>
        <w:rPr>
          <w:b w:val="0"/>
          <w:i/>
          <w:sz w:val="24"/>
          <w:color w:val="000000"/>
          <w:rFonts w:ascii="Times New Roman" w:hAnsi="Times New Roman" w:cs="Times New Roman"/>
        </w:rPr>
        <w:t>Response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Stimulus (S):</w:t>
      </w:r>
      <w:r>
        <w:rPr>
          <w:b w:val="0"/>
          <w:i w:val="0"/>
          <w:sz w:val="24"/>
          <w:color w:val="000000"/>
          <w:rFonts w:ascii="Times New Roman" w:hAnsi="Times New Roman" w:cs="Times New Roman"/>
        </w:rPr>
        <w:t xml:space="preserve"> Pajangan kemasan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di kasir minimarket, mekanisme kejutan bungkus acak (</w:t>
      </w:r>
      <w:r>
        <w:rPr>
          <w:b w:val="0"/>
          <w:i/>
          <w:sz w:val="24"/>
          <w:color w:val="000000"/>
          <w:rFonts w:ascii="Times New Roman" w:hAnsi="Times New Roman" w:cs="Times New Roman"/>
        </w:rPr>
        <w:t>blind-pack</w:t>
      </w:r>
      <w:r>
        <w:rPr>
          <w:b w:val="0"/>
          <w:i w:val="0"/>
          <w:sz w:val="24"/>
          <w:color w:val="000000"/>
          <w:rFonts w:ascii="Times New Roman" w:hAnsi="Times New Roman" w:cs="Times New Roman"/>
        </w:rPr>
        <w:t>), promosi rilis seri baru, serta dinamika harga mahal di pasar sekunder.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Organism (O):</w:t>
      </w:r>
      <w:r>
        <w:rPr>
          <w:b w:val="0"/>
          <w:i w:val="0"/>
          <w:sz w:val="24"/>
          <w:color w:val="000000"/>
          <w:rFonts w:ascii="Times New Roman" w:hAnsi="Times New Roman" w:cs="Times New Roman"/>
        </w:rPr>
        <w:t xml:space="preserve"> Kondisi emosional mencari kesenangan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₁), desakan psikologis menutup slot album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₂), motif spekulasi keuntungan modal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X</w:t>
      </w:r>
      <w:r>
        <w:rPr>
          <w:b w:val="0"/>
          <w:i w:val="0"/>
          <w:sz w:val="24"/>
          <w:color w:val="000000"/>
          <w:rFonts w:ascii="Times New Roman" w:hAnsi="Times New Roman" w:cs="Times New Roman"/>
        </w:rPr>
        <w:t>₃), serta kapasitas pengaturan diri sebagai pemoderasi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Response (R):</w:t>
      </w:r>
      <w:r>
        <w:rPr>
          <w:b w:val="0"/>
          <w:i w:val="0"/>
          <w:sz w:val="24"/>
          <w:color w:val="000000"/>
          <w:rFonts w:ascii="Times New Roman" w:hAnsi="Times New Roman" w:cs="Times New Roman"/>
        </w:rPr>
        <w:t xml:space="preserve"> Tindakan akhir berupa pembelian spontan dan tidak terencana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2.1.3 Supporting Theory: Psikologi Kolektor dan </w:t>
      </w:r>
      <w:r>
        <w:rPr>
          <w:b/>
          <w:i/>
          <w:sz w:val="24"/>
          <w:color w:val="000000"/>
          <w:rFonts w:ascii="Times New Roman" w:hAnsi="Times New Roman" w:cs="Times New Roman"/>
        </w:rPr>
        <w:t>The “Completing the Set” Effect</w:t>
      </w:r>
    </w:p>
    <w:p>
      <w:pPr>
        <w:spacing w:line="360" w:lineRule="auto" w:before="0" w:after="0"/>
        <w:ind w:firstLine="709"/>
        <w:jc w:val="both"/>
      </w:pPr>
      <w:r>
        <w:rPr>
          <w:b w:val="0"/>
          <w:i w:val="0"/>
          <w:sz w:val="24"/>
          <w:color w:val="000000"/>
          <w:rFonts w:ascii="Times New Roman" w:hAnsi="Times New Roman" w:cs="Times New Roman"/>
        </w:rPr>
        <w:t xml:space="preserve">Mengoleksi adalah bentuk konsumsi aktif dan penuh gairah yang didorong oleh kebutuhan psikologis akan keteraturan dan pencapaian (Belk, 1995). Dorongan ini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di mana tugas atau susunan yang belum lengkap menghasilkan ketegangan kognitif internal (</w:t>
      </w:r>
      <w:r>
        <w:rPr>
          <w:b w:val="0"/>
          <w:i/>
          <w:sz w:val="24"/>
          <w:color w:val="000000"/>
          <w:rFonts w:ascii="Times New Roman" w:hAnsi="Times New Roman" w:cs="Times New Roman"/>
        </w:rPr>
        <w:t>cognitive tension</w:t>
      </w:r>
      <w:r>
        <w:rPr>
          <w:b w:val="0"/>
          <w:i w:val="0"/>
          <w:sz w:val="24"/>
          <w:color w:val="000000"/>
          <w:rFonts w:ascii="Times New Roman" w:hAnsi="Times New Roman" w:cs="Times New Roman"/>
        </w:rPr>
        <w:t>) yang menuntut penyelesaian (</w:t>
      </w:r>
      <w:r>
        <w:rPr>
          <w:b w:val="0"/>
          <w:i/>
          <w:sz w:val="24"/>
          <w:color w:val="000000"/>
          <w:rFonts w:ascii="Times New Roman" w:hAnsi="Times New Roman" w:cs="Times New Roman"/>
        </w:rPr>
        <w:t>closure</w:t>
      </w:r>
      <w:r>
        <w:rPr>
          <w:b w:val="0"/>
          <w:i w:val="0"/>
          <w:sz w:val="24"/>
          <w:color w:val="000000"/>
          <w:rFonts w:ascii="Times New Roman" w:hAnsi="Times New Roman" w:cs="Times New Roman"/>
        </w:rPr>
        <w:t xml:space="preserve">). Gao et al. (2014) dalam studi seminalnya di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xml:space="preserve"> memformalkan fenomena ini ke dalam konsep </w:t>
      </w:r>
      <w:r>
        <w:rPr>
          <w:b/>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membuktikan bahwa motivasi konsumen mengakuisisi barang melonjak drastis saat set mendekati kelengkapan. Barasz et al. (2017) memperkuat temuan ini melalui konsep </w:t>
      </w:r>
      <w:r>
        <w:rPr>
          <w:b/>
          <w:i/>
          <w:sz w:val="24"/>
          <w:color w:val="000000"/>
          <w:rFonts w:ascii="Times New Roman" w:hAnsi="Times New Roman" w:cs="Times New Roman"/>
        </w:rPr>
        <w:t>Pseudo-Set Framing</w:t>
      </w:r>
      <w:r>
        <w:rPr>
          <w:b w:val="0"/>
          <w:i w:val="0"/>
          <w:sz w:val="24"/>
          <w:color w:val="000000"/>
          <w:rFonts w:ascii="Times New Roman" w:hAnsi="Times New Roman" w:cs="Times New Roman"/>
        </w:rPr>
        <w:t>, di mana pembeli terdorong melengkapi item yang dibingkai sebagai kesatuan himpunan utuh.</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2.1.4 Supporting Theory: Teori Regulasi Diri (</w:t>
      </w:r>
      <w:r>
        <w:rPr>
          <w:b/>
          <w:i/>
          <w:sz w:val="24"/>
          <w:color w:val="000000"/>
          <w:rFonts w:ascii="Times New Roman" w:hAnsi="Times New Roman" w:cs="Times New Roman"/>
        </w:rPr>
        <w:t>Self-Regulation Theory</w:t>
      </w:r>
      <w:r>
        <w:rPr>
          <w:b/>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b w:val="0"/>
          <w:i/>
          <w:sz w:val="24"/>
          <w:color w:val="000000"/>
          <w:rFonts w:ascii="Times New Roman" w:hAnsi="Times New Roman" w:cs="Times New Roman"/>
        </w:rPr>
        <w:t>high trait self-control</w:t>
      </w:r>
      <w:r>
        <w:rPr>
          <w:b w:val="0"/>
          <w:i w:val="0"/>
          <w:sz w:val="24"/>
          <w:color w:val="000000"/>
          <w:rFonts w:ascii="Times New Roman" w:hAnsi="Times New Roman" w:cs="Times New Roman"/>
        </w:rPr>
        <w:t>) memiliki kapasitas volisional tangguh untuk menolak godaan belanja sesaat dan menunda kepuasan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(Tangney et al., 2004).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2.2 Kajian Variabel Penelitian</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2.2.1 Variabel Dependen (</w:t>
      </w:r>
      <w:r>
        <w:rPr>
          <w:b/>
          <w:i/>
          <w:sz w:val="24"/>
          <w:color w:val="000000"/>
          <w:rFonts w:ascii="Times New Roman" w:hAnsi="Times New Roman" w:cs="Times New Roman"/>
        </w:rPr>
        <w:t>Y</w:t>
      </w:r>
      <w:r>
        <w:rPr>
          <w:b/>
          <w:i w:val="0"/>
          <w:sz w:val="24"/>
          <w:color w:val="000000"/>
          <w:rFonts w:ascii="Times New Roman" w:hAnsi="Times New Roman" w:cs="Times New Roman"/>
        </w:rPr>
        <w:t xml:space="preserve">):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(Pembelian Impulsif)</w:t>
      </w:r>
    </w:p>
    <w:p>
      <w:pPr>
        <w:spacing w:line="360" w:lineRule="auto" w:before="0" w:after="0"/>
        <w:ind w:firstLine="709"/>
        <w:jc w:val="both"/>
      </w:pPr>
      <w:r>
        <w:rPr>
          <w:b w:val="0"/>
          <w:i w:val="0"/>
          <w:sz w:val="24"/>
          <w:color w:val="000000"/>
          <w:rFonts w:ascii="Times New Roman" w:hAnsi="Times New Roman"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pembelian impulsif dipicu oleh konvergensi stimulus afektif, faktor kognitif internal, dan situasi pasar.</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2.2.2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₁):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(Motivasi Hedonis)</w:t>
      </w:r>
    </w:p>
    <w:p>
      <w:pPr>
        <w:spacing w:line="360" w:lineRule="auto" w:before="0" w:after="0"/>
        <w:ind w:firstLine="709"/>
        <w:jc w:val="both"/>
      </w:pPr>
      <w:r>
        <w:rPr>
          <w:b w:val="0"/>
          <w:i w:val="0"/>
          <w:sz w:val="24"/>
          <w:color w:val="000000"/>
          <w:rFonts w:ascii="Times New Roman" w:hAnsi="Times New Roman"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b w:val="0"/>
          <w:i/>
          <w:sz w:val="24"/>
          <w:color w:val="000000"/>
          <w:rFonts w:ascii="Times New Roman" w:hAnsi="Times New Roman" w:cs="Times New Roman"/>
        </w:rPr>
        <w:t>Adventure Shopping</w:t>
      </w:r>
      <w:r>
        <w:rPr>
          <w:b w:val="0"/>
          <w:i w:val="0"/>
          <w:sz w:val="24"/>
          <w:color w:val="000000"/>
          <w:rFonts w:ascii="Times New Roman" w:hAnsi="Times New Roman" w:cs="Times New Roman"/>
        </w:rPr>
        <w:t xml:space="preserve"> (sensasi petualangan dan kejutan) serta </w:t>
      </w:r>
      <w:r>
        <w:rPr>
          <w:b w:val="0"/>
          <w:i/>
          <w:sz w:val="24"/>
          <w:color w:val="000000"/>
          <w:rFonts w:ascii="Times New Roman" w:hAnsi="Times New Roman" w:cs="Times New Roman"/>
        </w:rPr>
        <w:t>Gratification Shopping</w:t>
      </w:r>
      <w:r>
        <w:rPr>
          <w:b w:val="0"/>
          <w:i w:val="0"/>
          <w:sz w:val="24"/>
          <w:color w:val="000000"/>
          <w:rFonts w:ascii="Times New Roman" w:hAnsi="Times New Roman" w:cs="Times New Roman"/>
        </w:rPr>
        <w:t xml:space="preserve"> (pelepasan stres dan hadiah diri) merupakan dimensi paling dominan dalam pembelian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kartu Pokémon TCG fisik.</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2.2.3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₂):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(Hasrat Kelengkapan Koleksi)</w:t>
      </w:r>
    </w:p>
    <w:p>
      <w:pPr>
        <w:spacing w:line="360" w:lineRule="auto" w:before="0" w:after="0"/>
        <w:ind w:firstLine="709"/>
        <w:jc w:val="both"/>
      </w:pP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b w:val="0"/>
          <w:i/>
          <w:sz w:val="24"/>
          <w:color w:val="000000"/>
          <w:rFonts w:ascii="Times New Roman" w:hAnsi="Times New Roman" w:cs="Times New Roman"/>
        </w:rPr>
        <w:t>perceived set boundaries</w:t>
      </w:r>
      <w:r>
        <w:rPr>
          <w:b w:val="0"/>
          <w:i w:val="0"/>
          <w:sz w:val="24"/>
          <w:color w:val="000000"/>
          <w:rFonts w:ascii="Times New Roman" w:hAnsi="Times New Roman" w:cs="Times New Roman"/>
        </w:rPr>
        <w:t>), ketegangan kognitif celah koleksi (</w:t>
      </w:r>
      <w:r>
        <w:rPr>
          <w:b w:val="0"/>
          <w:i/>
          <w:sz w:val="24"/>
          <w:color w:val="000000"/>
          <w:rFonts w:ascii="Times New Roman" w:hAnsi="Times New Roman" w:cs="Times New Roman"/>
        </w:rPr>
        <w:t>cognitive incompletion tension</w:t>
      </w:r>
      <w:r>
        <w:rPr>
          <w:b w:val="0"/>
          <w:i w:val="0"/>
          <w:sz w:val="24"/>
          <w:color w:val="000000"/>
          <w:rFonts w:ascii="Times New Roman" w:hAnsi="Times New Roman" w:cs="Times New Roman"/>
        </w:rPr>
        <w:t>), dan desakan penuntasan himpunan (</w:t>
      </w:r>
      <w:r>
        <w:rPr>
          <w:b w:val="0"/>
          <w:i/>
          <w:sz w:val="24"/>
          <w:color w:val="000000"/>
          <w:rFonts w:ascii="Times New Roman" w:hAnsi="Times New Roman" w:cs="Times New Roman"/>
        </w:rPr>
        <w:t>drive for closure</w:t>
      </w:r>
      <w:r>
        <w:rPr>
          <w:b w:val="0"/>
          <w:i w:val="0"/>
          <w:sz w:val="24"/>
          <w:color w:val="000000"/>
          <w:rFonts w:ascii="Times New Roman" w:hAnsi="Times New Roman" w:cs="Times New Roman"/>
        </w:rPr>
        <w:t xml:space="preserve">). Setiap seri Pokémon TCG memiliki 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yang mendesak pembelian kemasan tambahan demi mengisi nomor yang hilang.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2.2.4 Variabel Independen (</w:t>
      </w:r>
      <w:r>
        <w:rPr>
          <w:b/>
          <w:i/>
          <w:sz w:val="24"/>
          <w:color w:val="000000"/>
          <w:rFonts w:ascii="Times New Roman" w:hAnsi="Times New Roman" w:cs="Times New Roman"/>
        </w:rPr>
        <w:t>X</w:t>
      </w:r>
      <w:r>
        <w:rPr>
          <w:b/>
          <w:i w:val="0"/>
          <w:sz w:val="24"/>
          <w:color w:val="000000"/>
          <w:rFonts w:ascii="Times New Roman" w:hAnsi="Times New Roman" w:cs="Times New Roman"/>
        </w:rPr>
        <w:t xml:space="preserve">₃):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(Motif Spekulasi Finansial)</w:t>
      </w:r>
    </w:p>
    <w:p>
      <w:pPr>
        <w:spacing w:line="360" w:lineRule="auto" w:before="0" w:after="0"/>
        <w:ind w:firstLine="709"/>
        <w:jc w:val="both"/>
      </w:pPr>
      <w:r>
        <w:rPr>
          <w:b w:val="0"/>
          <w:i w:val="0"/>
          <w:sz w:val="24"/>
          <w:color w:val="000000"/>
          <w:rFonts w:ascii="Times New Roman" w:hAnsi="Times New Roman" w:cs="Times New Roman"/>
        </w:rPr>
        <w:t xml:space="preserve">Motif spekulasi berakar pada teori moneter Keynes (1936) dan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(Shiller, 2000; Baur et al., 2018), yaitu hasrat mengakuisisi barang dengan ekspektasi menjualnya kembali demi perolehan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Dimensinya meliputi: ekspektasi kenaikan harga pasar, sensitivitas terhadap likuiditas pasar sekunder, dan motif arbitrase grading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Kehadiran lembaga sertifikasi grading independen internasional (</w:t>
      </w:r>
      <w:r>
        <w:rPr>
          <w:b/>
          <w:i w:val="0"/>
          <w:sz w:val="24"/>
          <w:color w:val="000000"/>
          <w:rFonts w:ascii="Times New Roman" w:hAnsi="Times New Roman" w:cs="Times New Roman"/>
        </w:rPr>
        <w:t>PSA, BGS, CGC</w:t>
      </w:r>
      <w:r>
        <w:rPr>
          <w:b w:val="0"/>
          <w:i w:val="0"/>
          <w:sz w:val="24"/>
          <w:color w:val="000000"/>
          <w:rFonts w:ascii="Times New Roman" w:hAnsi="Times New Roman" w:cs="Times New Roman"/>
        </w:rPr>
        <w:t>) yang menilai kondisi fisik kartu secara mikroskopis pada skala 1–10 (</w:t>
      </w:r>
      <w:r>
        <w:rPr>
          <w:b w:val="0"/>
          <w:i/>
          <w:sz w:val="24"/>
          <w:color w:val="000000"/>
          <w:rFonts w:ascii="Times New Roman" w:hAnsi="Times New Roman" w:cs="Times New Roman"/>
        </w:rPr>
        <w:t>Gem Mint 10</w:t>
      </w:r>
      <w:r>
        <w:rPr>
          <w:b w:val="0"/>
          <w:i w:val="0"/>
          <w:sz w:val="24"/>
          <w:color w:val="000000"/>
          <w:rFonts w:ascii="Times New Roman" w:hAnsi="Times New Roman" w:cs="Times New Roman"/>
        </w:rPr>
        <w:t xml:space="preserve">) mentransformasi kartu Pokémon menjadi aset alternatif terstandardisasi. Kartu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memiliki likuiditas lelang global dan harga jual yang melonjak hingga puluhan kali lipat dibandingkan kartu mentah (</w:t>
      </w:r>
      <w:r>
        <w:rPr>
          <w:b w:val="0"/>
          <w:i/>
          <w:sz w:val="24"/>
          <w:color w:val="000000"/>
          <w:rFonts w:ascii="Times New Roman" w:hAnsi="Times New Roman" w:cs="Times New Roman"/>
        </w:rPr>
        <w:t>raw card</w:t>
      </w:r>
      <w:r>
        <w:rPr>
          <w:b w:val="0"/>
          <w:i w:val="0"/>
          <w:sz w:val="24"/>
          <w:color w:val="000000"/>
          <w:rFonts w:ascii="Times New Roman" w:hAnsi="Times New Roman" w:cs="Times New Roman"/>
        </w:rPr>
        <w:t>), sehingga menjadi katalisator pemicu motif spekulasi finansial pembeli.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2.2.5 Variabel Moderasi (</w:t>
      </w:r>
      <w:r>
        <w:rPr>
          <w:b/>
          <w:i/>
          <w:sz w:val="24"/>
          <w:color w:val="000000"/>
          <w:rFonts w:ascii="Times New Roman" w:hAnsi="Times New Roman" w:cs="Times New Roman"/>
        </w:rPr>
        <w:t>M</w:t>
      </w:r>
      <w:r>
        <w:rPr>
          <w:b/>
          <w:i w:val="0"/>
          <w:sz w:val="24"/>
          <w:color w:val="000000"/>
          <w:rFonts w:ascii="Times New Roman" w:hAnsi="Times New Roman" w:cs="Times New Roman"/>
        </w:rPr>
        <w:t xml:space="preserve">):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(Kontrol Diri)</w:t>
      </w:r>
    </w:p>
    <w:p>
      <w:pPr>
        <w:spacing w:line="360" w:lineRule="auto" w:before="0" w:after="0"/>
        <w:ind w:firstLine="709"/>
        <w:jc w:val="both"/>
      </w:pPr>
      <w:r>
        <w:rPr>
          <w:b w:val="0"/>
          <w:i w:val="0"/>
          <w:sz w:val="24"/>
          <w:color w:val="000000"/>
          <w:rFonts w:ascii="Times New Roman" w:hAnsi="Times New Roman" w:cs="Times New Roman"/>
        </w:rPr>
        <w:t>Kontrol diri merupakan kapasitas volisional individu untuk menolak godaan belanja, menunda kepuasan sesaat (</w:t>
      </w:r>
      <w:r>
        <w:rPr>
          <w:b w:val="0"/>
          <w:i/>
          <w:sz w:val="24"/>
          <w:color w:val="000000"/>
          <w:rFonts w:ascii="Times New Roman" w:hAnsi="Times New Roman" w:cs="Times New Roman"/>
        </w:rPr>
        <w:t>delay of gratification</w:t>
      </w:r>
      <w:r>
        <w:rPr>
          <w:b w:val="0"/>
          <w:i w:val="0"/>
          <w:sz w:val="24"/>
          <w:color w:val="000000"/>
          <w:rFonts w:ascii="Times New Roman" w:hAnsi="Times New Roman" w:cs="Times New Roman"/>
        </w:rPr>
        <w:t xml:space="preserve">), dan mendisiplinkan pengeluaran agar selaras dengan rencana keuangan jangka panjang (Tangney et al., 2004; Baumeister, 2002; Vohs and Faber, 2007). Dalam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kontrol diri bertindak sebagai rem volisional kognitif. Konsumen dengan kontrol diri tinggi mampu menahan desakan emosional dan spekulatif, sehingga pengaruh variabel independen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diperlemah secara signifikan (Sultan et al., 2012).</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2.3 Penelitian Sebelumnya</w:t>
      </w:r>
    </w:p>
    <w:p>
      <w:pPr>
        <w:spacing w:line="360" w:lineRule="auto" w:before="0" w:after="0"/>
        <w:ind w:firstLine="709"/>
        <w:jc w:val="both"/>
      </w:pPr>
      <w:r>
        <w:rPr>
          <w:b w:val="0"/>
          <w:i w:val="0"/>
          <w:sz w:val="24"/>
          <w:color w:val="000000"/>
          <w:rFonts w:ascii="Times New Roman" w:hAnsi="Times New Roman" w:cs="Times New Roman"/>
        </w:rPr>
        <w:t>Berikut disajikan ringkasan penelitian-penelitian terdahulu yang relevan dengan konstruk penelitian ini:</w:t>
      </w:r>
    </w:p>
    <w:p>
      <w:pPr>
        <w:spacing w:line="360" w:lineRule="auto" w:before="0" w:after="0"/>
        <w:ind w:firstLine="709"/>
        <w:jc w:val="both"/>
      </w:pPr>
      <w:r>
        <w:rPr>
          <w:b/>
          <w:i w:val="0"/>
          <w:sz w:val="24"/>
          <w:color w:val="000000"/>
          <w:rFonts w:ascii="Times New Roman" w:hAnsi="Times New Roman" w:cs="Times New Roman"/>
        </w:rPr>
        <w:t>Tabel 2.1 Ringkasan Penelitian Sebelumnya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No</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Peneliti (Tahun)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Judul Penelitian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 &amp; Metode</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Hasil Utama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Pranggabayu and Andjarwati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Pengaruh Hedonic Shopping Motivation dan Store Atmosphere terhadap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shopping motivation, X2: Store atmosphere; Y: Impulsive buying; Regresi linear berganda (100 pengunjung)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Motivasi belanja hedonis berpengaruh positif dan signifikan terhadap </w:t>
            </w:r>
            <w:r>
              <w:rPr>
                <w:rFonts w:ascii="Times New Roman" w:hAnsi="Times New Roman"/>
                <w:i/>
                <w:sz w:val="19"/>
                <w:color w:val="000000"/>
              </w:rPr>
              <w:t>impulsive buying</w:t>
            </w:r>
            <w:r>
              <w:rPr>
                <w:rFonts w:ascii="Times New Roman" w:hAnsi="Times New Roman"/>
                <w:sz w:val="19"/>
                <w:color w:val="000000"/>
              </w:rPr>
              <w:t>; kesenangan berbelanja menurunkan deliberasi rasional konsumen.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Apidana and Kholifah (2022)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Peran Self Control dalam Memoderasi Pengaruh Hedonic Motives dan Shopping Lifestyle terhadap Impulse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Hedonic motives, X2: Shopping lifestyle; Y: Impulse buying; Mod: Self-control; MRA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Motif hedonis berpengaruh positif signifikan terhadap </w:t>
            </w:r>
            <w:r>
              <w:rPr>
                <w:rFonts w:ascii="Times New Roman" w:hAnsi="Times New Roman"/>
                <w:i/>
                <w:sz w:val="19"/>
                <w:color w:val="000000"/>
              </w:rPr>
              <w:t>impulsive buying</w:t>
            </w:r>
            <w:r>
              <w:rPr>
                <w:rFonts w:ascii="Times New Roman" w:hAnsi="Times New Roman"/>
                <w:sz w:val="19"/>
                <w:color w:val="000000"/>
              </w:rPr>
              <w:t>; kontrol diri secara empiris memoderasi dan memperlemah kecenderungan belanja impulsif.</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Lienardy and Panasea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The Role of Self-Control in Moderating the Influence of Shopping Lifestyle and Hedonistic Behavior on Impulsive Buying</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Shopping lifestyle, X2: Hedonistic behavior; Y: Impulsive buying; Mod: Self-control; MRA (160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Perilaku hedonis berpengaruh positif signifikan terhadap pembelian impulsif; kontrol diri terbukti memoderasi dan memperlemah pengaruh perilaku hedonis terhadap </w:t>
            </w:r>
            <w:r>
              <w:rPr>
                <w:rFonts w:ascii="Times New Roman" w:hAnsi="Times New Roman"/>
                <w:i/>
                <w:sz w:val="19"/>
                <w:color w:val="000000"/>
              </w:rPr>
              <w:t>impulsive buying</w:t>
            </w:r>
            <w:r>
              <w:rPr>
                <w:rFonts w:ascii="Times New Roman" w:hAnsi="Times New Roman"/>
                <w:sz w:val="19"/>
                <w:color w:val="000000"/>
              </w:rPr>
              <w: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Gong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Unveiling the Enigma of Blind Box Impulse Buying Curiosity: The Moderating Role of Price Consciousness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Karakteristik kemasan blind box; Med: Rasa ingin tahu; Y: Impulse buying; Kerangka S-O-R; PLS-SEM (306 responden)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Mekanisme kejutan kemasan tertutup (</w:t>
            </w:r>
            <w:r>
              <w:rPr>
                <w:rFonts w:ascii="Times New Roman" w:hAnsi="Times New Roman"/>
                <w:i/>
                <w:sz w:val="19"/>
                <w:color w:val="000000"/>
              </w:rPr>
              <w:t>blind box/booster pack</w:t>
            </w:r>
            <w:r>
              <w:rPr>
                <w:rFonts w:ascii="Times New Roman" w:hAnsi="Times New Roman"/>
                <w:sz w:val="19"/>
                <w:color w:val="000000"/>
              </w:rPr>
              <w:t>) memicu rasa ingin tahu afektif yang secara langsung mendorong pembelian impulsif; kesadaran harga memoderasi hubungan tersebut.</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Tan and Adyantari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Ketidakpastian Blind Box dan Perilaku Pembelian Impulsif: Peran Nilai Fungsional, Emosional, dan Sosial</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Ketidakpastian blind box, Nilai konsumsi; Y: Pembelian impulsif;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Ketidakpastian isi kemasan acak membangkitkan nilai emosional yang kuat, secara signifikan mendorong perilaku pembelian impulsif konsumen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6</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Dewi et al.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Understanding Impulse Buying Behavior: The Case of Blind Box Purchases in Indonesia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 Perceived scarcity, X2: Perceived uncertainty; Med: FOMO; Y: Impulse buying; PLS-SEM (211 Gen Z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 xml:space="preserve">Persepsi kelangkaan item dan ketidakpastian memicu FOMO dan hasrat memiliki set koleksi utuh, yang secara langsung dan signifikan memicu </w:t>
            </w:r>
            <w:r>
              <w:rPr>
                <w:rFonts w:ascii="Times New Roman" w:hAnsi="Times New Roman"/>
                <w:i/>
                <w:sz w:val="19"/>
                <w:color w:val="000000"/>
              </w:rPr>
              <w:t>impulse buying</w:t>
            </w:r>
            <w:r>
              <w:rPr>
                <w:rFonts w:ascii="Times New Roman" w:hAnsi="Times New Roman"/>
                <w:sz w:val="19"/>
                <w:color w:val="000000"/>
              </w:rPr>
              <w:t xml:space="preserve"> pada Generasi Z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Aryadi and Lingga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Personal Traits and Motivation Impact on Collectibles as an Alternative Investment: A Case Study of Trading Card Game Community in Greater Jakarta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Motivasi kolektor &amp; ciri kepribadian; Y: Keputusan investasi TCG; Regresi logistik biner (158 anggota komunitas TCG)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bahwa motivasi kolektor dan motif spekulasi finansial secara positif mendorong partisipasi dalam transaksi kartu TCG (Pokémon, dkk.) sebagai aset alternatif investasi di Jabodetabek.</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Colline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Biases in Indonesian Stock Investor Behavior</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Bias perilaku kognitif (overconfidence, herding); Y: Keputusan investasi; Kuantitatif survei di Indonesia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Membuktikan kuatnya pengaruh bias optimisme berlebih (</w:t>
            </w:r>
            <w:r>
              <w:rPr>
                <w:rFonts w:ascii="Times New Roman" w:hAnsi="Times New Roman"/>
                <w:i/>
                <w:sz w:val="19"/>
                <w:color w:val="000000"/>
              </w:rPr>
              <w:t>overconfidence</w:t>
            </w:r>
            <w:r>
              <w:rPr>
                <w:rFonts w:ascii="Times New Roman" w:hAnsi="Times New Roman"/>
                <w:sz w:val="19"/>
                <w:color w:val="000000"/>
              </w:rPr>
              <w:t>) dan perilaku ikut-ikutan (</w:t>
            </w:r>
            <w:r>
              <w:rPr>
                <w:rFonts w:ascii="Times New Roman" w:hAnsi="Times New Roman"/>
                <w:i/>
                <w:sz w:val="19"/>
                <w:color w:val="000000"/>
              </w:rPr>
              <w:t>herding</w:t>
            </w:r>
            <w:r>
              <w:rPr>
                <w:rFonts w:ascii="Times New Roman" w:hAnsi="Times New Roman"/>
                <w:sz w:val="19"/>
                <w:color w:val="000000"/>
              </w:rPr>
              <w:t>) pada pengambilan keputusan finansial investor muda di Indonesia.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9</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Artadita and Firmialy (2024)</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How Does Self-Control Moderate Shopping Enjoyment and Impulse Buying Among Generation Z Online Gamers?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Kenikmatan belanja (shopping enjoyment); Y: Impulse buying; Mod: Self-control; MRA (220 Gen Z Gamers)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Kenikmatan berbelanja komoditas game berpengaruh positif kuat terhadap pembelian impulsif; kontrol diri kognitif memegang peranan esensial dalam menahan dorongan belanja spontan.</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10</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Katauke et al. (2023)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Financial Literacy and Impulsivity: Evidence from Japan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 Literasi &amp; disiplin finansial; Y: Impulsivity (hyperbolic discounting); Instrumental variables &amp; regresi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Kapasitas regulasi diri dan kontrol finansial secara signifikan menekan impulsivitas belanja dan mencegah keputusan konsumtif yang merugikan.</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Data diolah dari publikasi jurnal ilmiah bereputasi 2021–2025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2.4 Pengembangan Hipotesis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2.4.1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empiris terkini oleh Pranggabayu and Andjarwati (2022), Prasetio et al. (2021), serta Artadita and Firmialy (2024) pada konsumen muda dan komunitas gamer di Indonesia membuktikan bahwa motivasi hedonis dan kenikmatan berbelanja (</w:t>
      </w:r>
      <w:r>
        <w:rPr>
          <w:b w:val="0"/>
          <w:i/>
          <w:sz w:val="24"/>
          <w:color w:val="000000"/>
          <w:rFonts w:ascii="Times New Roman" w:hAnsi="Times New Roman" w:cs="Times New Roman"/>
        </w:rPr>
        <w:t>shopping enjoyment</w:t>
      </w:r>
      <w:r>
        <w:rPr>
          <w:b w:val="0"/>
          <w:i w:val="0"/>
          <w:sz w:val="24"/>
          <w:color w:val="000000"/>
          <w:rFonts w:ascii="Times New Roman" w:hAnsi="Times New Roman" w:cs="Times New Roman"/>
        </w:rPr>
        <w:t xml:space="preserve">) berpengaruh positif signifikan terhadap perilaku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Kemasan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pPr>
        <w:spacing w:line="360" w:lineRule="auto" w:before="0" w:after="0"/>
        <w:ind w:firstLine="709"/>
        <w:jc w:val="both"/>
      </w:pPr>
      <w:r>
        <w:rPr>
          <w:b/>
          <w:i w:val="0"/>
          <w:sz w:val="24"/>
          <w:color w:val="000000"/>
          <w:rFonts w:ascii="Times New Roman" w:hAnsi="Times New Roman" w:cs="Times New Roman"/>
        </w:rPr>
        <w:t xml:space="preserve">H1: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2.4.2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Berakar pada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xml:space="preserve"> (Zeigarnik, 1927) dan </w:t>
      </w:r>
      <w:r>
        <w:rPr>
          <w:b w:val="0"/>
          <w:i/>
          <w:sz w:val="24"/>
          <w:color w:val="000000"/>
          <w:rFonts w:ascii="Times New Roman" w:hAnsi="Times New Roman" w:cs="Times New Roman"/>
        </w:rPr>
        <w:t>The “Completing the Set” Effect</w:t>
      </w:r>
      <w:r>
        <w:rPr>
          <w:b w:val="0"/>
          <w:i w:val="0"/>
          <w:sz w:val="24"/>
          <w:color w:val="000000"/>
          <w:rFonts w:ascii="Times New Roman" w:hAnsi="Times New Roman" w:cs="Times New Roman"/>
        </w:rPr>
        <w:t xml:space="preserve"> (Gao et al., 2014), manusia memiliki resistensi alami terhadap ketidaktuntasan (</w:t>
      </w:r>
      <w:r>
        <w:rPr>
          <w:b w:val="0"/>
          <w:i/>
          <w:sz w:val="24"/>
          <w:color w:val="000000"/>
          <w:rFonts w:ascii="Times New Roman" w:hAnsi="Times New Roman" w:cs="Times New Roman"/>
        </w:rPr>
        <w:t>aversion to incompleteness</w:t>
      </w:r>
      <w:r>
        <w:rPr>
          <w:b w:val="0"/>
          <w:i w:val="0"/>
          <w:sz w:val="24"/>
          <w:color w:val="000000"/>
          <w:rFonts w:ascii="Times New Roman" w:hAnsi="Times New Roman" w:cs="Times New Roman"/>
        </w:rPr>
        <w:t>). Celah dalam suatu himpunan menciptakan ketegangan kognitif yang mendesak tindakan penyelesaian (Belk, 1995; Barasz et al., 2017).</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Selain pembuktian seminal oleh Gao et al. (2014), riset empiris mutakhir pada produk berkemasan acak (</w:t>
      </w:r>
      <w:r>
        <w:rPr>
          <w:b w:val="0"/>
          <w:i/>
          <w:sz w:val="24"/>
          <w:color w:val="000000"/>
          <w:rFonts w:ascii="Times New Roman" w:hAnsi="Times New Roman" w:cs="Times New Roman"/>
        </w:rPr>
        <w:t>blind-box</w:t>
      </w:r>
      <w:r>
        <w:rPr>
          <w:b w:val="0"/>
          <w:i w:val="0"/>
          <w:sz w:val="24"/>
          <w:color w:val="000000"/>
          <w:rFonts w:ascii="Times New Roman" w:hAnsi="Times New Roman" w:cs="Times New Roman"/>
        </w:rPr>
        <w:t>) oleh Gong et al. (2024), Tan and Adyantari (2024), serta Dewi et al. (2024) membuktikan bahwa mekanisme kejutan kemasan, persepsi kelangkaan (</w:t>
      </w:r>
      <w:r>
        <w:rPr>
          <w:b w:val="0"/>
          <w:i/>
          <w:sz w:val="24"/>
          <w:color w:val="000000"/>
          <w:rFonts w:ascii="Times New Roman" w:hAnsi="Times New Roman" w:cs="Times New Roman"/>
        </w:rPr>
        <w:t>scarcity</w:t>
      </w:r>
      <w:r>
        <w:rPr>
          <w:b w:val="0"/>
          <w:i w:val="0"/>
          <w:sz w:val="24"/>
          <w:color w:val="000000"/>
          <w:rFonts w:ascii="Times New Roman" w:hAnsi="Times New Roman" w:cs="Times New Roman"/>
        </w:rPr>
        <w:t>), dan hasrat menuntaskan seri koleksi secara empiris menjadi determinan utama pemicu pembelian impulsif yang agresif pada Generasi Z.</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Setiap seri kartu Pokémon dirilis dengan daftar periksa (</w:t>
      </w:r>
      <w:r>
        <w:rPr>
          <w:b w:val="0"/>
          <w:i/>
          <w:sz w:val="24"/>
          <w:color w:val="000000"/>
          <w:rFonts w:ascii="Times New Roman" w:hAnsi="Times New Roman" w:cs="Times New Roman"/>
        </w:rPr>
        <w:t>set checklist</w:t>
      </w:r>
      <w:r>
        <w:rPr>
          <w:b w:val="0"/>
          <w:i w:val="0"/>
          <w:sz w:val="24"/>
          <w:color w:val="000000"/>
          <w:rFonts w:ascii="Times New Roman" w:hAnsi="Times New Roman" w:cs="Times New Roman"/>
        </w:rPr>
        <w:t xml:space="preserve">) bernomor urut resmi. Kotak slot kosong pada album </w:t>
      </w:r>
      <w:r>
        <w:rPr>
          <w:b w:val="0"/>
          <w:i/>
          <w:sz w:val="24"/>
          <w:color w:val="000000"/>
          <w:rFonts w:ascii="Times New Roman" w:hAnsi="Times New Roman" w:cs="Times New Roman"/>
        </w:rPr>
        <w:t>binder</w:t>
      </w:r>
      <w:r>
        <w:rPr>
          <w:b w:val="0"/>
          <w:i w:val="0"/>
          <w:sz w:val="24"/>
          <w:color w:val="000000"/>
          <w:rFonts w:ascii="Times New Roman" w:hAnsi="Times New Roman" w:cs="Times New Roman"/>
        </w:rPr>
        <w:t xml:space="preserve"> kolektor memicu ketegangan kognitif visual yang kuat untuk menuntaskan set secara utuh. Desakan menutup celah kosong ini mendorong kolektor membeli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secara terburu-buru dan spontan saat berada di toko ritel.</w:t>
      </w:r>
    </w:p>
    <w:p>
      <w:pPr>
        <w:spacing w:line="360" w:lineRule="auto" w:before="0" w:after="0"/>
        <w:ind w:firstLine="709"/>
        <w:jc w:val="both"/>
      </w:pPr>
      <w:r>
        <w:rPr>
          <w:b/>
          <w:i w:val="0"/>
          <w:sz w:val="24"/>
          <w:color w:val="000000"/>
          <w:rFonts w:ascii="Times New Roman" w:hAnsi="Times New Roman" w:cs="Times New Roman"/>
        </w:rPr>
        <w:t xml:space="preserve">H2: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2.4.3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kerangka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xml:space="preserve"> (Kahneman and Tversky, 1979; Shiller, 2000), motif spekulasi memandu keputusan pembelian berdasarkan ekspektasi keuntungan modal (</w:t>
      </w:r>
      <w:r>
        <w:rPr>
          <w:b w:val="0"/>
          <w:i/>
          <w:sz w:val="24"/>
          <w:color w:val="000000"/>
          <w:rFonts w:ascii="Times New Roman" w:hAnsi="Times New Roman" w:cs="Times New Roman"/>
        </w:rPr>
        <w:t>capital gain</w:t>
      </w:r>
      <w:r>
        <w:rPr>
          <w:b w:val="0"/>
          <w:i w:val="0"/>
          <w:sz w:val="24"/>
          <w:color w:val="000000"/>
          <w:rFonts w:ascii="Times New Roman" w:hAnsi="Times New Roman" w:cs="Times New Roman"/>
        </w:rPr>
        <w:t>). Pelaku pasar kerap terjangkit bias optimisme berlebihan dan kesesatan berpikir penjudi (</w:t>
      </w:r>
      <w:r>
        <w:rPr>
          <w:b w:val="0"/>
          <w:i/>
          <w:sz w:val="24"/>
          <w:color w:val="000000"/>
          <w:rFonts w:ascii="Times New Roman" w:hAnsi="Times New Roman" w:cs="Times New Roman"/>
        </w:rPr>
        <w:t>gambler's fallacy</w:t>
      </w:r>
      <w:r>
        <w:rPr>
          <w:b w:val="0"/>
          <w:i w:val="0"/>
          <w:sz w:val="24"/>
          <w:color w:val="000000"/>
          <w:rFonts w:ascii="Times New Roman" w:hAnsi="Times New Roman" w:cs="Times New Roman"/>
        </w:rPr>
        <w:t>), melebih-lebihkan peluang menarik aset bernilai tinggi dari modal kecil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Aryadi and Lingga (2024) membuktikan secara empiris bahwa komunitas penggemar permainan kartu koleksi (</w:t>
      </w:r>
      <w:r>
        <w:rPr>
          <w:b w:val="0"/>
          <w:i/>
          <w:sz w:val="24"/>
          <w:color w:val="000000"/>
          <w:rFonts w:ascii="Times New Roman" w:hAnsi="Times New Roman" w:cs="Times New Roman"/>
        </w:rPr>
        <w:t>Trading Card Game</w:t>
      </w:r>
      <w:r>
        <w:rPr>
          <w:b w:val="0"/>
          <w:i w:val="0"/>
          <w:sz w:val="24"/>
          <w:color w:val="000000"/>
          <w:rFonts w:ascii="Times New Roman" w:hAnsi="Times New Roman" w:cs="Times New Roman"/>
        </w:rPr>
        <w:t>) di wilayah Jabodetabek memiliki motif spekulasi finansial kuat yang memandang kartu sebagai aset alternatif investasi. Sementara itu, Colline (2024) mengonfirmasi tingginya bias perilaku finansial seperti optimisme berlebihan (</w:t>
      </w:r>
      <w:r>
        <w:rPr>
          <w:b w:val="0"/>
          <w:i/>
          <w:sz w:val="24"/>
          <w:color w:val="000000"/>
          <w:rFonts w:ascii="Times New Roman" w:hAnsi="Times New Roman" w:cs="Times New Roman"/>
        </w:rPr>
        <w:t>overconfidence</w:t>
      </w:r>
      <w:r>
        <w:rPr>
          <w:b w:val="0"/>
          <w:i w:val="0"/>
          <w:sz w:val="24"/>
          <w:color w:val="000000"/>
          <w:rFonts w:ascii="Times New Roman" w:hAnsi="Times New Roman" w:cs="Times New Roman"/>
        </w:rPr>
        <w:t>) dan perilaku ikut-ikutan (</w:t>
      </w:r>
      <w:r>
        <w:rPr>
          <w:b w:val="0"/>
          <w:i/>
          <w:sz w:val="24"/>
          <w:color w:val="000000"/>
          <w:rFonts w:ascii="Times New Roman" w:hAnsi="Times New Roman" w:cs="Times New Roman"/>
        </w:rPr>
        <w:t>herding</w:t>
      </w:r>
      <w:r>
        <w:rPr>
          <w:b w:val="0"/>
          <w:i w:val="0"/>
          <w:sz w:val="24"/>
          <w:color w:val="000000"/>
          <w:rFonts w:ascii="Times New Roman" w:hAnsi="Times New Roman" w:cs="Times New Roman"/>
        </w:rPr>
        <w:t>) pada generasi muda di Indonesia saat mengejar potensi imbal hasil.</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Disparitas harga antara harga resmi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(Rp20.000–Rp30.000) dan potensi nilai kartu langka bergradasi </w:t>
      </w:r>
      <w:r>
        <w:rPr>
          <w:b w:val="0"/>
          <w:i/>
          <w:sz w:val="24"/>
          <w:color w:val="000000"/>
          <w:rFonts w:ascii="Times New Roman" w:hAnsi="Times New Roman" w:cs="Times New Roman"/>
        </w:rPr>
        <w:t>PSA 10 Gem Mint</w:t>
      </w:r>
      <w:r>
        <w:rPr>
          <w:b w:val="0"/>
          <w:i w:val="0"/>
          <w:sz w:val="24"/>
          <w:color w:val="000000"/>
          <w:rFonts w:ascii="Times New Roman" w:hAnsi="Times New Roman" w:cs="Times New Roman"/>
        </w:rPr>
        <w:t xml:space="preserve"> (ratusan ribu hingga puluhan juta rupiah) di pasar sekunder melahirkan ilusi keuntungan instan (</w:t>
      </w:r>
      <w:r>
        <w:rPr>
          <w:b w:val="0"/>
          <w:i/>
          <w:sz w:val="24"/>
          <w:color w:val="000000"/>
          <w:rFonts w:ascii="Times New Roman" w:hAnsi="Times New Roman" w:cs="Times New Roman"/>
        </w:rPr>
        <w:t>grading arbitrage</w:t>
      </w:r>
      <w:r>
        <w:rPr>
          <w:b w:val="0"/>
          <w:i w:val="0"/>
          <w:sz w:val="24"/>
          <w:color w:val="000000"/>
          <w:rFonts w:ascii="Times New Roman" w:hAnsi="Times New Roman" w:cs="Times New Roman"/>
        </w:rPr>
        <w:t xml:space="preserve">). Persepsi modal kecil berpotensi menghasilkan cuan besar melumpuhkan kehati-hatian finansial dan memicu aksi borong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secara spontan.</w:t>
      </w:r>
    </w:p>
    <w:p>
      <w:pPr>
        <w:spacing w:line="360" w:lineRule="auto" w:before="0" w:after="0"/>
        <w:ind w:firstLine="709"/>
        <w:jc w:val="both"/>
      </w:pPr>
      <w:r>
        <w:rPr>
          <w:b/>
          <w:i w:val="0"/>
          <w:sz w:val="24"/>
          <w:color w:val="000000"/>
          <w:rFonts w:ascii="Times New Roman" w:hAnsi="Times New Roman" w:cs="Times New Roman"/>
        </w:rPr>
        <w:t xml:space="preserve">H3: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berpengaruh positif dan signifikan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2.4.4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Mengacu pada </w:t>
      </w:r>
      <w:r>
        <w:rPr>
          <w:b w:val="0"/>
          <w:i/>
          <w:sz w:val="24"/>
          <w:color w:val="000000"/>
          <w:rFonts w:ascii="Times New Roman" w:hAnsi="Times New Roman" w:cs="Times New Roman"/>
        </w:rPr>
        <w:t>Self-Regulation Theory</w:t>
      </w:r>
      <w:r>
        <w:rPr>
          <w:b w:val="0"/>
          <w:i w:val="0"/>
          <w:sz w:val="24"/>
          <w:color w:val="000000"/>
          <w:rFonts w:ascii="Times New Roman" w:hAnsi="Times New Roman" w:cs="Times New Roman"/>
        </w:rPr>
        <w:t xml:space="preserve"> (Baumeister, 2002) dan model </w:t>
      </w:r>
      <w:r>
        <w:rPr>
          <w:b w:val="0"/>
          <w:i/>
          <w:sz w:val="24"/>
          <w:color w:val="000000"/>
          <w:rFonts w:ascii="Times New Roman" w:hAnsi="Times New Roman" w:cs="Times New Roman"/>
        </w:rPr>
        <w:t>Planner-Doer</w:t>
      </w:r>
      <w:r>
        <w:rPr>
          <w:b w:val="0"/>
          <w:i w:val="0"/>
          <w:sz w:val="24"/>
          <w:color w:val="000000"/>
          <w:rFonts w:ascii="Times New Roman" w:hAnsi="Times New Roman" w:cs="Times New Roman"/>
        </w:rPr>
        <w:t xml:space="preserve"> (Thaler and Shefrin, 1981), dorongan hedonis sesaat (</w:t>
      </w:r>
      <w:r>
        <w:rPr>
          <w:b w:val="0"/>
          <w:i/>
          <w:sz w:val="24"/>
          <w:color w:val="000000"/>
          <w:rFonts w:ascii="Times New Roman" w:hAnsi="Times New Roman" w:cs="Times New Roman"/>
        </w:rPr>
        <w:t>doer</w:t>
      </w:r>
      <w:r>
        <w:rPr>
          <w:b w:val="0"/>
          <w:i w:val="0"/>
          <w:sz w:val="24"/>
          <w:color w:val="000000"/>
          <w:rFonts w:ascii="Times New Roman" w:hAnsi="Times New Roman" w:cs="Times New Roman"/>
        </w:rPr>
        <w:t>) dapat dinetralkan oleh kapasitas kontrol diri volisional entitas perencana (</w:t>
      </w:r>
      <w:r>
        <w:rPr>
          <w:b w:val="0"/>
          <w:i/>
          <w:sz w:val="24"/>
          <w:color w:val="000000"/>
          <w:rFonts w:ascii="Times New Roman" w:hAnsi="Times New Roman" w:cs="Times New Roman"/>
        </w:rPr>
        <w:t>planner</w:t>
      </w:r>
      <w:r>
        <w:rPr>
          <w:b w:val="0"/>
          <w:i w:val="0"/>
          <w:sz w:val="24"/>
          <w:color w:val="000000"/>
          <w:rFonts w:ascii="Times New Roman" w:hAnsi="Times New Roman" w:cs="Times New Roman"/>
        </w:rPr>
        <w:t>). Kontrol diri memungkinkan individu menolak godaan sensorik dan menunda kepuasan demi tujuan finansial jangka panjang (Tangney et al., 2004).</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Apidana and Kholifah (2022) serta Lienardy and Panasea (2024) membuktikan secara empiris melalui MRA bahwa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secara signifikan memoderasi dan memperlemah pengaruh motivasi hedonis terhadap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Temuan ini didukung oleh studi Artadita and Firmialy (2024) yang meneliti kontrol kognitif pada gamer muda di Indonesia serta Katauke et al. (2023) mengenai fungsi regulasi diri dalam menekan perilaku impulsif.</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pPr>
        <w:spacing w:line="360" w:lineRule="auto" w:before="0" w:after="0"/>
        <w:ind w:firstLine="709"/>
        <w:jc w:val="both"/>
      </w:pPr>
      <w:r>
        <w:rPr>
          <w:b/>
          <w:i w:val="0"/>
          <w:sz w:val="24"/>
          <w:color w:val="000000"/>
          <w:rFonts w:ascii="Times New Roman" w:hAnsi="Times New Roman" w:cs="Times New Roman"/>
        </w:rPr>
        <w:t xml:space="preserve">H4: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Hedonic Motivation</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2.4.5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Respon terhadap ketegangan kognitif celah koleksi (</w:t>
      </w:r>
      <w:r>
        <w:rPr>
          <w:b w:val="0"/>
          <w:i/>
          <w:sz w:val="24"/>
          <w:color w:val="000000"/>
          <w:rFonts w:ascii="Times New Roman" w:hAnsi="Times New Roman" w:cs="Times New Roman"/>
        </w:rPr>
        <w:t>Zeigarnik Effect</w:t>
      </w:r>
      <w:r>
        <w:rPr>
          <w:b w:val="0"/>
          <w:i w:val="0"/>
          <w:sz w:val="24"/>
          <w:color w:val="000000"/>
          <w:rFonts w:ascii="Times New Roman" w:hAnsi="Times New Roman" w:cs="Times New Roman"/>
        </w:rPr>
        <w:t>) dimediasi oleh kapasitas regulasi diri individu. Seseorang dengan kontrol diri matang mampu mentoleransi ketidaknyamanan mental tanpa meresponnya secara reaktif atau tergesa-gesa (Tangney et al., 2004; Baumeister, 2002).</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Kolektor yang memiliki kontrol diri tinggi menyadari bahwa membeli </w:t>
      </w:r>
      <w:r>
        <w:rPr>
          <w:b w:val="0"/>
          <w:i/>
          <w:sz w:val="24"/>
          <w:color w:val="000000"/>
          <w:rFonts w:ascii="Times New Roman" w:hAnsi="Times New Roman" w:cs="Times New Roman"/>
        </w:rPr>
        <w:t>pack</w:t>
      </w:r>
      <w:r>
        <w:rPr>
          <w:b w:val="0"/>
          <w:i w:val="0"/>
          <w:sz w:val="24"/>
          <w:color w:val="000000"/>
          <w:rFonts w:ascii="Times New Roman" w:hAnsi="Times New Roman" w:cs="Times New Roman"/>
        </w:rPr>
        <w:t xml:space="preserve"> acak demi mencari satu kartu spesifik yang hilang memiliki probabilitas sangat kecil dan boros biaya. Kontrol diri memampukan kolektor menahan diri dari belanja impulsif dan memilih membeli kartu lepasan (</w:t>
      </w:r>
      <w:r>
        <w:rPr>
          <w:b w:val="0"/>
          <w:i/>
          <w:sz w:val="24"/>
          <w:color w:val="000000"/>
          <w:rFonts w:ascii="Times New Roman" w:hAnsi="Times New Roman" w:cs="Times New Roman"/>
        </w:rPr>
        <w:t>singles</w:t>
      </w:r>
      <w:r>
        <w:rPr>
          <w:b w:val="0"/>
          <w:i w:val="0"/>
          <w:sz w:val="24"/>
          <w:color w:val="000000"/>
          <w:rFonts w:ascii="Times New Roman" w:hAnsi="Times New Roman" w:cs="Times New Roman"/>
        </w:rPr>
        <w:t>) di pasar sekunder secara terencana. Dengan demikian, kontrol diri memperlemah pengaruh hasrat kelengkapan terhadap pembelian impulsif.</w:t>
      </w:r>
    </w:p>
    <w:p>
      <w:pPr>
        <w:spacing w:line="360" w:lineRule="auto" w:before="0" w:after="0"/>
        <w:ind w:firstLine="709"/>
        <w:jc w:val="both"/>
      </w:pPr>
      <w:r>
        <w:rPr>
          <w:b/>
          <w:i w:val="0"/>
          <w:sz w:val="24"/>
          <w:color w:val="000000"/>
          <w:rFonts w:ascii="Times New Roman" w:hAnsi="Times New Roman" w:cs="Times New Roman"/>
        </w:rPr>
        <w:t xml:space="preserve">H5: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Desire for Completeness</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 xml:space="preserve">2.4.6 Pengaruh Moderasi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terhadap Hubungan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dan </w:t>
      </w:r>
      <w:r>
        <w:rPr>
          <w:b/>
          <w:i/>
          <w:sz w:val="24"/>
          <w:color w:val="000000"/>
          <w:rFonts w:ascii="Times New Roman" w:hAnsi="Times New Roman" w:cs="Times New Roman"/>
        </w:rPr>
        <w:t>Impulsive Buying</w:t>
      </w:r>
    </w:p>
    <w:p>
      <w:pPr>
        <w:spacing w:line="360" w:lineRule="auto" w:before="0" w:after="0"/>
        <w:ind w:firstLine="709"/>
        <w:jc w:val="both"/>
      </w:pPr>
      <w:r>
        <w:rPr>
          <w:b/>
          <w:i w:val="0"/>
          <w:sz w:val="24"/>
          <w:color w:val="000000"/>
          <w:rFonts w:ascii="Times New Roman" w:hAnsi="Times New Roman" w:cs="Times New Roman"/>
        </w:rPr>
        <w:t>Landasan Teoretis:</w:t>
      </w:r>
      <w:r>
        <w:rPr>
          <w:b w:val="0"/>
          <w:i w:val="0"/>
          <w:sz w:val="24"/>
          <w:color w:val="000000"/>
          <w:rFonts w:ascii="Times New Roman" w:hAnsi="Times New Roman" w:cs="Times New Roman"/>
        </w:rPr>
        <w:t xml:space="preserve"> Dalam </w:t>
      </w:r>
      <w:r>
        <w:rPr>
          <w:b w:val="0"/>
          <w:i/>
          <w:sz w:val="24"/>
          <w:color w:val="000000"/>
          <w:rFonts w:ascii="Times New Roman" w:hAnsi="Times New Roman" w:cs="Times New Roman"/>
        </w:rPr>
        <w:t>Behavioral Finance</w:t>
      </w:r>
      <w:r>
        <w:rPr>
          <w:b w:val="0"/>
          <w:i w:val="0"/>
          <w:sz w:val="24"/>
          <w:color w:val="000000"/>
          <w:rFonts w:ascii="Times New Roman" w:hAnsi="Times New Roman" w:cs="Times New Roman"/>
        </w:rPr>
        <w:t>, kontrol diri mendisiplinkan individu untuk menimbang risiko kerugian modal riil dan tidak terjebak dalam euforia transaksi spekulatif berlebihan (Thaler and Shefrin, 1981; Barber and Odean, 2008).</w:t>
      </w:r>
    </w:p>
    <w:p>
      <w:pPr>
        <w:spacing w:line="360" w:lineRule="auto" w:before="0" w:after="0"/>
        <w:ind w:firstLine="709"/>
        <w:jc w:val="both"/>
      </w:pPr>
      <w:r>
        <w:rPr>
          <w:b/>
          <w:i w:val="0"/>
          <w:sz w:val="24"/>
          <w:color w:val="000000"/>
          <w:rFonts w:ascii="Times New Roman" w:hAnsi="Times New Roman" w:cs="Times New Roman"/>
        </w:rPr>
        <w:t>Kajian Empiris Terdahulu:</w:t>
      </w:r>
      <w:r>
        <w:rPr>
          <w:b w:val="0"/>
          <w:i w:val="0"/>
          <w:sz w:val="24"/>
          <w:color w:val="000000"/>
          <w:rFonts w:ascii="Times New Roman" w:hAnsi="Times New Roman" w:cs="Times New Roman"/>
        </w:rPr>
        <w:t xml:space="preserve"> Colline (2024), Aryadi and Lingga (2024), serta Katauke et al. (2023) menemukan bahwa literasi dan kontrol diri finansial yang kokoh secara signifikan memitigasi perilaku spekulasi belanja berisiko pada investor dan konsumen muda.</w:t>
      </w:r>
    </w:p>
    <w:p>
      <w:pPr>
        <w:spacing w:line="360" w:lineRule="auto" w:before="0" w:after="0"/>
        <w:ind w:firstLine="709"/>
        <w:jc w:val="both"/>
      </w:pPr>
      <w:r>
        <w:rPr>
          <w:b/>
          <w:i w:val="0"/>
          <w:sz w:val="24"/>
          <w:color w:val="000000"/>
          <w:rFonts w:ascii="Times New Roman" w:hAnsi="Times New Roman" w:cs="Times New Roman"/>
        </w:rPr>
        <w:t>Keterkaitan dengan Objek (Pokémon TCG):</w:t>
      </w:r>
      <w:r>
        <w:rPr>
          <w:b w:val="0"/>
          <w:i w:val="0"/>
          <w:sz w:val="24"/>
          <w:color w:val="000000"/>
          <w:rFonts w:ascii="Times New Roman" w:hAnsi="Times New Roman"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w:t>
      </w:r>
    </w:p>
    <w:p>
      <w:pPr>
        <w:spacing w:line="360" w:lineRule="auto" w:before="0" w:after="0"/>
        <w:ind w:firstLine="709"/>
        <w:jc w:val="both"/>
      </w:pPr>
      <w:r>
        <w:rPr>
          <w:b/>
          <w:i w:val="0"/>
          <w:sz w:val="24"/>
          <w:color w:val="000000"/>
          <w:rFonts w:ascii="Times New Roman" w:hAnsi="Times New Roman" w:cs="Times New Roman"/>
        </w:rPr>
        <w:t xml:space="preserve">H6: </w:t>
      </w:r>
      <w:r>
        <w:rPr>
          <w:b/>
          <w:i/>
          <w:sz w:val="24"/>
          <w:color w:val="000000"/>
          <w:rFonts w:ascii="Times New Roman" w:hAnsi="Times New Roman" w:cs="Times New Roman"/>
        </w:rPr>
        <w:t>Self-Control</w:t>
      </w:r>
      <w:r>
        <w:rPr>
          <w:b/>
          <w:i w:val="0"/>
          <w:sz w:val="24"/>
          <w:color w:val="000000"/>
          <w:rFonts w:ascii="Times New Roman" w:hAnsi="Times New Roman" w:cs="Times New Roman"/>
        </w:rPr>
        <w:t xml:space="preserve"> memoderasi (memperlemah) pengaruh </w:t>
      </w:r>
      <w:r>
        <w:rPr>
          <w:b/>
          <w:i/>
          <w:sz w:val="24"/>
          <w:color w:val="000000"/>
          <w:rFonts w:ascii="Times New Roman" w:hAnsi="Times New Roman" w:cs="Times New Roman"/>
        </w:rPr>
        <w:t>Speculative Motive</w:t>
      </w:r>
      <w:r>
        <w:rPr>
          <w:b/>
          <w:i w:val="0"/>
          <w:sz w:val="24"/>
          <w:color w:val="000000"/>
          <w:rFonts w:ascii="Times New Roman" w:hAnsi="Times New Roman" w:cs="Times New Roman"/>
        </w:rPr>
        <w:t xml:space="preserve"> terhadap </w:t>
      </w:r>
      <w:r>
        <w:rPr>
          <w:b/>
          <w:i/>
          <w:sz w:val="24"/>
          <w:color w:val="000000"/>
          <w:rFonts w:ascii="Times New Roman" w:hAnsi="Times New Roman" w:cs="Times New Roman"/>
        </w:rPr>
        <w:t>Impulsive Buying</w:t>
      </w:r>
      <w:r>
        <w:rPr>
          <w:b/>
          <w:i w:val="0"/>
          <w:sz w:val="24"/>
          <w:color w:val="000000"/>
          <w:rFonts w:ascii="Times New Roman" w:hAnsi="Times New Roman" w:cs="Times New Roman"/>
        </w:rPr>
        <w:t xml:space="preserve"> booster pack kartu Pokémon TCG.</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2.5 Rerangka Penelitian</w:t>
      </w:r>
    </w:p>
    <w:p>
      <w:pPr>
        <w:spacing w:line="360" w:lineRule="auto" w:before="0" w:after="0"/>
        <w:ind w:firstLine="709"/>
        <w:jc w:val="both"/>
      </w:pPr>
      <w:r>
        <w:rPr>
          <w:b w:val="0"/>
          <w:i w:val="0"/>
          <w:sz w:val="24"/>
          <w:color w:val="000000"/>
          <w:rFonts w:ascii="Times New Roman" w:hAnsi="Times New Roman" w:cs="Times New Roman"/>
        </w:rPr>
        <w:t>Berdasarkan landasan teori dan perumusan hipotesis di atas, hubungan struktural antarvariabel disajikan pada Gambar 2.1:</w:t>
      </w:r>
    </w:p>
    <w:p>
      <w:pPr>
        <w:spacing w:before="240" w:after="80"/>
        <w:ind w:firstLine="0"/>
        <w:jc w:val="center"/>
      </w:pPr>
      <w:r>
        <w:drawing>
          <wp:inline xmlns:a="http://schemas.openxmlformats.org/drawingml/2006/main" xmlns:pic="http://schemas.openxmlformats.org/drawingml/2006/picture">
            <wp:extent cx="5040000" cy="2753704"/>
            <wp:docPr id="5" name="Picture 5"/>
            <wp:cNvGraphicFramePr>
              <a:graphicFrameLocks noChangeAspect="1"/>
            </wp:cNvGraphicFramePr>
            <a:graphic>
              <a:graphicData uri="http://schemas.openxmlformats.org/drawingml/2006/picture">
                <pic:pic>
                  <pic:nvPicPr>
                    <pic:cNvPr id="0" name="gambar_rerangka_penelitian.png"/>
                    <pic:cNvPicPr/>
                  </pic:nvPicPr>
                  <pic:blipFill>
                    <a:blip r:embed="rId18"/>
                    <a:stretch>
                      <a:fillRect/>
                    </a:stretch>
                  </pic:blipFill>
                  <pic:spPr>
                    <a:xfrm>
                      <a:off x="0" y="0"/>
                      <a:ext cx="5040000" cy="2753704"/>
                    </a:xfrm>
                    <a:prstGeom prst="rect"/>
                  </pic:spPr>
                </pic:pic>
              </a:graphicData>
            </a:graphic>
          </wp:inline>
        </w:drawing>
      </w:r>
    </w:p>
    <w:p>
      <w:pPr>
        <w:spacing w:before="40" w:after="40"/>
        <w:ind w:firstLine="0"/>
        <w:jc w:val="center"/>
      </w:pPr>
      <w:r>
        <w:rPr>
          <w:b/>
          <w:color w:val="000000"/>
          <w:rFonts w:ascii="Times New Roman" w:hAnsi="Times New Roman" w:cs="Times New Roman"/>
        </w:rPr>
        <w:t>Gambar 2.1. Model Rerangka Konseptual Penelitian</w:t>
      </w:r>
    </w:p>
    <w:p>
      <w:pPr>
        <w:spacing w:before="0" w:after="240"/>
        <w:ind w:firstLine="0"/>
        <w:jc w:val="center"/>
      </w:pPr>
      <w:r>
        <w:rPr>
          <w:i/>
          <w:sz w:val="20"/>
          <w:color w:val="000000"/>
          <w:rFonts w:ascii="Times New Roman" w:hAnsi="Times New Roman" w:cs="Times New Roman"/>
        </w:rPr>
        <w:t>Keterangan: Garis lurus menunjukkan pengaruh langsung (H1, H2, H3); Garis putus-putus menunjukkan efek moderasi kontrol diri yang memperlemah (H4, H5, H6).</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BAB 3 METODE PENELITIAN</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3.1 Jenis dan Sumber Data</w:t>
      </w:r>
    </w:p>
    <w:p>
      <w:pPr>
        <w:spacing w:line="360" w:lineRule="auto" w:before="0" w:after="0"/>
        <w:ind w:firstLine="709"/>
        <w:jc w:val="both"/>
      </w:pPr>
      <w:r>
        <w:rPr>
          <w:b w:val="0"/>
          <w:i w:val="0"/>
          <w:sz w:val="24"/>
          <w:color w:val="000000"/>
          <w:rFonts w:ascii="Times New Roman" w:hAnsi="Times New Roman" w:cs="Times New Roman"/>
        </w:rPr>
        <w:t xml:space="preserve">Penelitian ini menggunakan pendekatan kuantitatif asosiatif dengan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Pendekatan kuantitatif dipilih karena penelitian ini menguji hipotesis empiris mengenai hubungan struktural antarvariabel yang telah dirumuskan berdasarkan kajian teoritis. Desain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digunakan karena pengumpulan data primer dilakukan pada satu titik periode waktu tertentu secara serentak kepada sampel responden untuk menggambarkan fenomena yang diteliti (Sekaran and Bougie, 2016).</w:t>
      </w:r>
    </w:p>
    <w:p>
      <w:pPr>
        <w:spacing w:line="360" w:lineRule="auto" w:before="0" w:after="0"/>
        <w:ind w:firstLine="709"/>
        <w:jc w:val="both"/>
      </w:pPr>
      <w:r>
        <w:rPr>
          <w:b w:val="0"/>
          <w:i w:val="0"/>
          <w:sz w:val="24"/>
          <w:color w:val="000000"/>
          <w:rFonts w:ascii="Times New Roman" w:hAnsi="Times New Roman" w:cs="Times New Roman"/>
        </w:rPr>
        <w:t>Data primer diperoleh langsung dari responden melalui penyebaran instrumen kuesioner daring (</w:t>
      </w:r>
      <w:r>
        <w:rPr>
          <w:b w:val="0"/>
          <w:i/>
          <w:sz w:val="24"/>
          <w:color w:val="000000"/>
          <w:rFonts w:ascii="Times New Roman" w:hAnsi="Times New Roman" w:cs="Times New Roman"/>
        </w:rPr>
        <w:t>online questionnaire</w:t>
      </w:r>
      <w:r>
        <w:rPr>
          <w:b w:val="0"/>
          <w:i w:val="0"/>
          <w:sz w:val="24"/>
          <w:color w:val="000000"/>
          <w:rFonts w:ascii="Times New Roman" w:hAnsi="Times New Roman" w:cs="Times New Roman"/>
        </w:rPr>
        <w:t>) berbasis Google Forms. Kuesioner dirancang menggunakan pertanyaan tertutup berskala Likert 5 poin (Sugiyono, 2019), sebagaimana disajikan pada Tabel 3.1:</w:t>
      </w:r>
    </w:p>
    <w:p>
      <w:pPr>
        <w:spacing w:line="360" w:lineRule="auto" w:before="0" w:after="0"/>
        <w:ind w:firstLine="709"/>
        <w:jc w:val="both"/>
      </w:pPr>
      <w:r>
        <w:rPr>
          <w:b/>
          <w:i w:val="0"/>
          <w:sz w:val="24"/>
          <w:color w:val="000000"/>
          <w:rFonts w:ascii="Times New Roman" w:hAnsi="Times New Roman" w:cs="Times New Roman"/>
        </w:rPr>
        <w:t>Tabel 3.1 Skala Pengukuran Likert 5 Poin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2646"/>
        <w:gridCol w:w="2646"/>
        <w:gridCol w:w="2646"/>
      </w:tblGrid>
      <w:tr>
        <w:trPr>
          <w:cantSplit/>
          <w:tblHeader/>
        </w:trPr>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Skor</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Pernyataan Sikap</w:t>
            </w:r>
          </w:p>
        </w:tc>
        <w:tc>
          <w:tcPr>
            <w:tcW w:type="dxa" w:w="2646"/>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Singkatan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1</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2</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Tidak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3</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Netral / Ragu-ragu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N</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4</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w:t>
            </w:r>
          </w:p>
        </w:tc>
      </w:tr>
      <w:tr>
        <w:trPr>
          <w:cantSplit/>
        </w:trPr>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5</w:t>
            </w:r>
          </w:p>
        </w:tc>
        <w:tc>
          <w:tcPr>
            <w:tcW w:type="dxa" w:w="2646"/>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Sangat Setuju</w:t>
            </w:r>
          </w:p>
        </w:tc>
        <w:tc>
          <w:tcPr>
            <w:tcW w:type="dxa" w:w="2646"/>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SS</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Dikembangkan untuk instrumen kuesioner penelitian, 2026.</w:t>
      </w:r>
    </w:p>
    <w:p>
      <w:pPr>
        <w:spacing w:line="360" w:lineRule="auto" w:before="0" w:after="0"/>
        <w:ind w:firstLine="709"/>
        <w:jc w:val="both"/>
      </w:pPr>
      <w:r>
        <w:rPr>
          <w:b w:val="0"/>
          <w:i w:val="0"/>
          <w:sz w:val="24"/>
          <w:color w:val="000000"/>
          <w:rFonts w:ascii="Times New Roman" w:hAnsi="Times New Roman"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3.1.1 Batasan Penelitian dan Ruang Lingkup Operasional</w:t>
      </w:r>
    </w:p>
    <w:p>
      <w:pPr>
        <w:spacing w:line="360" w:lineRule="auto" w:before="0" w:after="0"/>
        <w:ind w:firstLine="709"/>
        <w:jc w:val="both"/>
      </w:pPr>
      <w:r>
        <w:rPr>
          <w:b w:val="0"/>
          <w:i w:val="0"/>
          <w:sz w:val="24"/>
          <w:color w:val="000000"/>
          <w:rFonts w:ascii="Times New Roman" w:hAnsi="Times New Roman" w:cs="Times New Roman"/>
        </w:rPr>
        <w:t>Guna memastikan kejelasan ruang lingkup serta arah analisis yang terfokus, penelitian ini menetapkan batasan-batasan operasional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Komoditas Objek:</w:t>
      </w:r>
      <w:r>
        <w:rPr>
          <w:b w:val="0"/>
          <w:i w:val="0"/>
          <w:sz w:val="24"/>
          <w:color w:val="000000"/>
          <w:rFonts w:ascii="Times New Roman" w:hAnsi="Times New Roman" w:cs="Times New Roman"/>
        </w:rPr>
        <w:t xml:space="preserve"> Penelitian ini secara ketat dibatasi pada pembelian produk kemasan acak tertutup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resmi </w:t>
      </w:r>
      <w:r>
        <w:rPr>
          <w:b w:val="0"/>
          <w:i/>
          <w:sz w:val="24"/>
          <w:color w:val="000000"/>
          <w:rFonts w:ascii="Times New Roman" w:hAnsi="Times New Roman" w:cs="Times New Roman"/>
        </w:rPr>
        <w:t>Pokémon Trading Card Game</w:t>
      </w:r>
      <w:r>
        <w:rPr>
          <w:b w:val="0"/>
          <w:i w:val="0"/>
          <w:sz w:val="24"/>
          <w:color w:val="000000"/>
          <w:rFonts w:ascii="Times New Roman" w:hAnsi="Times New Roman" w:cs="Times New Roman"/>
        </w:rPr>
        <w:t xml:space="preserve"> (Pokémon TCG) berbahasa Indonesia yang dirilis oleh The Pokémon Company / AKG Games. Penelitian ini tidak meneliti kartu permainan digital (seperti </w:t>
      </w:r>
      <w:r>
        <w:rPr>
          <w:b w:val="0"/>
          <w:i/>
          <w:sz w:val="24"/>
          <w:color w:val="000000"/>
          <w:rFonts w:ascii="Times New Roman" w:hAnsi="Times New Roman" w:cs="Times New Roman"/>
        </w:rPr>
        <w:t>Pokémon TCG Live</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Pokémon TCG Pocket</w:t>
      </w:r>
      <w:r>
        <w:rPr>
          <w:b w:val="0"/>
          <w:i w:val="0"/>
          <w:sz w:val="24"/>
          <w:color w:val="000000"/>
          <w:rFonts w:ascii="Times New Roman" w:hAnsi="Times New Roman" w:cs="Times New Roman"/>
        </w:rPr>
        <w:t>) maupun produk kartu dari waralaba lain (</w:t>
      </w:r>
      <w:r>
        <w:rPr>
          <w:b w:val="0"/>
          <w:i/>
          <w:sz w:val="24"/>
          <w:color w:val="000000"/>
          <w:rFonts w:ascii="Times New Roman" w:hAnsi="Times New Roman" w:cs="Times New Roman"/>
        </w:rPr>
        <w:t>Yu-Gi-Oh!</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Magic: The Gathering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One Piece Card Game</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Responden:</w:t>
      </w:r>
      <w:r>
        <w:rPr>
          <w:b w:val="0"/>
          <w:i w:val="0"/>
          <w:sz w:val="24"/>
          <w:color w:val="000000"/>
          <w:rFonts w:ascii="Times New Roman" w:hAnsi="Times New Roman" w:cs="Times New Roman"/>
        </w:rPr>
        <w:t xml:space="preserve"> Subjek penelitian dibatasi pada konsumen dan kolektor Warga Negara Indonesia (WNI) yang berdomisili di Indonesia, berusia minimal 17 tahun, dan memiliki riwayat pembelian aktif </w:t>
      </w:r>
      <w:r>
        <w:rPr>
          <w:b w:val="0"/>
          <w:i/>
          <w:sz w:val="24"/>
          <w:color w:val="000000"/>
          <w:rFonts w:ascii="Times New Roman" w:hAnsi="Times New Roman" w:cs="Times New Roman"/>
        </w:rPr>
        <w:t>booster pack</w:t>
      </w:r>
      <w:r>
        <w:rPr>
          <w:b w:val="0"/>
          <w:i w:val="0"/>
          <w:sz w:val="24"/>
          <w:color w:val="000000"/>
          <w:rFonts w:ascii="Times New Roman" w:hAnsi="Times New Roman" w:cs="Times New Roman"/>
        </w:rPr>
        <w:t xml:space="preserve"> fisik dalam 6 hingga 12 bulan terakhir.</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Batasan Konseptual dan Metodologis:</w:t>
      </w:r>
      <w:r>
        <w:rPr>
          <w:b w:val="0"/>
          <w:i w:val="0"/>
          <w:sz w:val="24"/>
          <w:color w:val="000000"/>
          <w:rFonts w:ascii="Times New Roman" w:hAnsi="Times New Roman" w:cs="Times New Roman"/>
        </w:rPr>
        <w:t xml:space="preserve"> Variabel yang diteliti dibatasi pada pengaruh tiga variabel independen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terhadap satu variabel dependen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dengan satu variabel moderasi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yang diestimasi menggunakan teknik regresi moderasi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 MRA) berbantuan perangkat lunak IBM SPSS Statistics.</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3.2 Populasi dan Sampel</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3.2.1 Populasi dan Identifikasi Sumber Komunitas</w:t>
      </w:r>
    </w:p>
    <w:p>
      <w:pPr>
        <w:spacing w:line="360" w:lineRule="auto" w:before="0" w:after="0"/>
        <w:ind w:firstLine="709"/>
        <w:jc w:val="both"/>
      </w:pPr>
      <w:r>
        <w:rPr>
          <w:b w:val="0"/>
          <w:i w:val="0"/>
          <w:sz w:val="24"/>
          <w:color w:val="000000"/>
          <w:rFonts w:ascii="Times New Roman" w:hAnsi="Times New Roman"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b w:val="0"/>
          <w:i/>
          <w:sz w:val="24"/>
          <w:color w:val="000000"/>
          <w:rFonts w:ascii="Times New Roman" w:hAnsi="Times New Roman" w:cs="Times New Roman"/>
        </w:rPr>
        <w:t>infinite / unknown population</w:t>
      </w:r>
      <w:r>
        <w:rPr>
          <w:b w:val="0"/>
          <w:i w:val="0"/>
          <w:sz w:val="24"/>
          <w:color w:val="000000"/>
          <w:rFonts w:ascii="Times New Roman" w:hAnsi="Times New Roman" w:cs="Times New Roman"/>
        </w:rPr>
        <w:t>) karena jumlah pasti seluruh pembeli kartu di Indonesia tidak dapat diketahui secara persis akibat luasnya jaringan distribusi minimarket modern di seluruh pelosok Nusantara.</w:t>
      </w:r>
    </w:p>
    <w:p>
      <w:pPr>
        <w:spacing w:line="360" w:lineRule="auto" w:before="0" w:after="0"/>
        <w:ind w:firstLine="709"/>
        <w:jc w:val="both"/>
      </w:pPr>
      <w:r>
        <w:rPr>
          <w:b w:val="0"/>
          <w:i w:val="0"/>
          <w:sz w:val="24"/>
          <w:color w:val="000000"/>
          <w:rFonts w:ascii="Times New Roman" w:hAnsi="Times New Roman" w:cs="Times New Roman"/>
        </w:rPr>
        <w:t>Keberadaan dan identifikasi populasi sasaran dalam penelitian ini bersumber dari ekosistem nyata komunitas TCG di Indonesia: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Toko Hobi Resmi (</w:t>
      </w:r>
      <w:r>
        <w:rPr>
          <w:b/>
          <w:i/>
          <w:sz w:val="24"/>
          <w:color w:val="000000"/>
          <w:rFonts w:ascii="Times New Roman" w:hAnsi="Times New Roman" w:cs="Times New Roman"/>
        </w:rPr>
        <w:t>Local Game Stores</w:t>
      </w:r>
      <w:r>
        <w:rPr>
          <w:b/>
          <w:i w:val="0"/>
          <w:sz w:val="24"/>
          <w:color w:val="000000"/>
          <w:rFonts w:ascii="Times New Roman" w:hAnsi="Times New Roman" w:cs="Times New Roman"/>
        </w:rPr>
        <w:t xml:space="preserve"> / LGS):</w:t>
      </w:r>
      <w:r>
        <w:rPr>
          <w:b w:val="0"/>
          <w:i w:val="0"/>
          <w:sz w:val="24"/>
          <w:color w:val="000000"/>
          <w:rFonts w:ascii="Times New Roman" w:hAnsi="Times New Roman" w:cs="Times New Roman"/>
        </w:rPr>
        <w:t xml:space="preserve"> Jaringan komunitas pemain dan kolektor terdaftar yang aktif berkegiatan di toko hobi resmi mitra AKG Games di wilayah Jabodetabek, Bandung, Surabaya, Yogyakarta, Medan, dan kota-kota besar lainnya.</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Komunitas Digital Berskala Nasional:</w:t>
      </w:r>
      <w:r>
        <w:rPr>
          <w:b w:val="0"/>
          <w:i w:val="0"/>
          <w:sz w:val="24"/>
          <w:color w:val="000000"/>
          <w:rFonts w:ascii="Times New Roman" w:hAnsi="Times New Roman" w:cs="Times New Roman"/>
        </w:rPr>
        <w:t xml:space="preserve"> Grup komunitas daring aktif, antara lain grup Facebook </w:t>
      </w:r>
      <w:r>
        <w:rPr>
          <w:b w:val="0"/>
          <w:i/>
          <w:sz w:val="24"/>
          <w:color w:val="000000"/>
          <w:rFonts w:ascii="Times New Roman" w:hAnsi="Times New Roman" w:cs="Times New Roman"/>
        </w:rPr>
        <w:t>Pokémon TCG Indonesia</w:t>
      </w:r>
      <w:r>
        <w:rPr>
          <w:b w:val="0"/>
          <w:i w:val="0"/>
          <w:sz w:val="24"/>
          <w:color w:val="000000"/>
          <w:rFonts w:ascii="Times New Roman" w:hAnsi="Times New Roman" w:cs="Times New Roman"/>
        </w:rPr>
        <w:t xml:space="preserve"> (dengan puluhan ribu anggota aktif), server Discord komunitas pemain kartu Indonesia, serta grup lelang dan jual-beli kartu di WhatsApp dan Telegram.</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Peserta Turnamen Resmi:</w:t>
      </w:r>
      <w:r>
        <w:rPr>
          <w:b w:val="0"/>
          <w:i w:val="0"/>
          <w:sz w:val="24"/>
          <w:color w:val="000000"/>
          <w:rFonts w:ascii="Times New Roman" w:hAnsi="Times New Roman" w:cs="Times New Roman"/>
        </w:rPr>
        <w:t xml:space="preserve"> Komunitas pemain yang berpartisipasi dalam ajang kompetisi resmi seperti </w:t>
      </w:r>
      <w:r>
        <w:rPr>
          <w:b w:val="0"/>
          <w:i/>
          <w:sz w:val="24"/>
          <w:color w:val="000000"/>
          <w:rFonts w:ascii="Times New Roman" w:hAnsi="Times New Roman" w:cs="Times New Roman"/>
        </w:rPr>
        <w:t>Town League</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Regional League</w:t>
      </w:r>
      <w:r>
        <w:rPr>
          <w:b w:val="0"/>
          <w:i w:val="0"/>
          <w:sz w:val="24"/>
          <w:color w:val="000000"/>
          <w:rFonts w:ascii="Times New Roman" w:hAnsi="Times New Roman" w:cs="Times New Roman"/>
        </w:rPr>
        <w:t xml:space="preserve"> yang diselenggarakan secara berkala di Indonesia.</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3.2.2 Sampel dan Justifikasi Kriteria Inklusi</w:t>
      </w:r>
    </w:p>
    <w:p>
      <w:pPr>
        <w:spacing w:line="360" w:lineRule="auto" w:before="0" w:after="0"/>
        <w:ind w:firstLine="709"/>
        <w:jc w:val="both"/>
      </w:pPr>
      <w:r>
        <w:rPr>
          <w:b w:val="0"/>
          <w:i w:val="0"/>
          <w:sz w:val="24"/>
          <w:color w:val="000000"/>
          <w:rFonts w:ascii="Times New Roman" w:hAnsi="Times New Roman" w:cs="Times New Roman"/>
        </w:rPr>
        <w:t>Penarikan sampel dilakukan dengan teknik sampel bertujuan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Responden yang dipilih wajib memenuhi kriteria inklusi dengan justifikasi ilmiah sebagai berikut: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Warga Negara Indonesia (WNI) dan Berdomisili di Indonesia:</w:t>
      </w:r>
      <w:r>
        <w:rPr>
          <w:b w:val="0"/>
          <w:i w:val="0"/>
          <w:sz w:val="24"/>
          <w:color w:val="000000"/>
          <w:rFonts w:ascii="Times New Roman" w:hAnsi="Times New Roman" w:cs="Times New Roman"/>
        </w:rPr>
        <w:t xml:space="preserve"> Menjamin bahwa responden mengalami langsung dinamika ketersediaan produk kartu resmi berbahasa Indonesia serta struktur harga ritel dan pasar sekunder domestik.</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Berusia Minimal 17 Tahun pada Saat Pengisian Kuesioner: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Aspek Legalitas dan Kedewasaan Hukum:</w:t>
      </w:r>
      <w:r>
        <w:rPr>
          <w:b w:val="0"/>
          <w:i w:val="0"/>
          <w:sz w:val="24"/>
          <w:color w:val="000000"/>
          <w:rFonts w:ascii="Times New Roman" w:hAnsi="Times New Roman" w:cs="Times New Roman"/>
        </w:rPr>
        <w:t xml:space="preserve"> Sesuai Pasal 330 Kitab Undang-Undang Hukum Perdata (KUHPerdata) serta undang-undang administrasi kependudukan di Indonesia, usia 17 tahun menandai kedewasaan hukum dan kepemilikan Kartu Tanda Penduduk (KTP), sehingga responden memiliki kecakapan hukum penuh untuk membuat keputusan tanpa perwalian.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Diskresi Keuangan Mandiri:</w:t>
      </w:r>
      <w:r>
        <w:rPr>
          <w:b w:val="0"/>
          <w:i w:val="0"/>
          <w:sz w:val="24"/>
          <w:color w:val="000000"/>
          <w:rFonts w:ascii="Times New Roman" w:hAnsi="Times New Roman"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Kapasitas Kognitif:</w:t>
      </w:r>
      <w:r>
        <w:rPr>
          <w:b w:val="0"/>
          <w:i w:val="0"/>
          <w:sz w:val="24"/>
          <w:color w:val="000000"/>
          <w:rFonts w:ascii="Times New Roman" w:hAnsi="Times New Roman" w:cs="Times New Roman"/>
        </w:rPr>
        <w:t xml:space="preserve"> Memastikan kematangan kognitif responden dalam memahami butir-butir pernyataan kuesioner ilmiah secara objektif dan bertanggung jawab.</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 xml:space="preserve">Pernah Membeli </w:t>
      </w:r>
      <w:r>
        <w:rPr>
          <w:b/>
          <w:i/>
          <w:sz w:val="24"/>
          <w:color w:val="000000"/>
          <w:rFonts w:ascii="Times New Roman" w:hAnsi="Times New Roman" w:cs="Times New Roman"/>
        </w:rPr>
        <w:t>Booster Pack</w:t>
      </w:r>
      <w:r>
        <w:rPr>
          <w:b/>
          <w:i w:val="0"/>
          <w:sz w:val="24"/>
          <w:color w:val="000000"/>
          <w:rFonts w:ascii="Times New Roman" w:hAnsi="Times New Roman" w:cs="Times New Roman"/>
        </w:rPr>
        <w:t xml:space="preserve"> Resmi Pokémon TCG Fisik Minimal 1 Kali dalam 6–12 Bulan Terakhir:</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Menjamin Pengalaman Riil Konsumsi:</w:t>
      </w:r>
      <w:r>
        <w:rPr>
          <w:b w:val="0"/>
          <w:i w:val="0"/>
          <w:sz w:val="24"/>
          <w:color w:val="000000"/>
          <w:rFonts w:ascii="Times New Roman" w:hAnsi="Times New Roman" w:cs="Times New Roman"/>
        </w:rPr>
        <w:t xml:space="preserve"> Memastikan responden benar-benar pernah mengalami proses pengambilan keputusan belanja di etalase toko dan merasakan sensasi membuka bungkus kartu (</w:t>
      </w:r>
      <w:r>
        <w:rPr>
          <w:b w:val="0"/>
          <w:i/>
          <w:sz w:val="24"/>
          <w:color w:val="000000"/>
          <w:rFonts w:ascii="Times New Roman" w:hAnsi="Times New Roman" w:cs="Times New Roman"/>
        </w:rPr>
        <w:t>pack opening thrill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Meminimalkan Bias Ingatan Retrospektif (</w:t>
      </w:r>
      <w:r>
        <w:rPr>
          <w:b w:val="0"/>
          <w:i w:val="0"/>
          <w:sz w:val="24"/>
          <w:color w:val="000000"/>
          <w:rFonts w:ascii="Times New Roman" w:hAnsi="Times New Roman" w:cs="Times New Roman"/>
        </w:rPr>
        <w:t>Recall Bias</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3.2.3 Penentuan Ukuran Sampel</w:t>
      </w:r>
    </w:p>
    <w:p>
      <w:pPr>
        <w:spacing w:line="360" w:lineRule="auto" w:before="0" w:after="0"/>
        <w:ind w:firstLine="709"/>
        <w:jc w:val="both"/>
      </w:pPr>
      <w:r>
        <w:rPr>
          <w:b w:val="0"/>
          <w:i w:val="0"/>
          <w:sz w:val="24"/>
          <w:color w:val="000000"/>
          <w:rFonts w:ascii="Times New Roman" w:hAnsi="Times New Roman" w:cs="Times New Roman"/>
        </w:rPr>
        <w:t>Penentuan ukuran sampel minimum dalam penelitian ini mengacu pada formula Green (1991) yang dirancang khusus untuk mendeteksi efek pada analisis regresi linear berganda:</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model korelasi keseluruhan (</w:t>
      </w:r>
      <w:r>
        <w:rPr>
          <w:b w:val="0"/>
          <w:i/>
          <w:sz w:val="24"/>
          <w:color w:val="000000"/>
          <w:rFonts w:ascii="Times New Roman" w:hAnsi="Times New Roman" w:cs="Times New Roman"/>
        </w:rPr>
        <w:t>overall model</w:t>
      </w:r>
      <w:r>
        <w:rPr>
          <w:b w:val="0"/>
          <w:i w:val="0"/>
          <w:sz w:val="24"/>
          <w:color w:val="000000"/>
          <w:rFonts w:ascii="Times New Roman" w:hAnsi="Times New Roman" w:cs="Times New Roman"/>
        </w:rPr>
        <w:t>):</w:t>
      </w:r>
    </w:p>
    <w:p>
      <w:pPr>
        <w:spacing w:before="120" w:after="120" w:line="360" w:lineRule="auto"/>
        <w:jc w:val="center"/>
      </w:pPr>
      <w:r>
        <w:rPr>
          <w:rFonts w:ascii="Cambria Math" w:hAnsi="Cambria Math"/>
          <w:i/>
          <w:sz w:val="22"/>
          <w:color w:val="000000"/>
        </w:rPr>
        <w:t>N \ge 50 + 8k</w:t>
      </w:r>
    </w:p>
    <w:p>
      <w:pPr>
        <w:spacing w:line="360" w:lineRule="auto" w:before="0" w:after="0"/>
        <w:ind w:firstLine="709"/>
        <w:jc w:val="both"/>
      </w:pPr>
      <w:r>
        <w:rPr>
          <w:b w:val="0"/>
          <w:i w:val="0"/>
          <w:sz w:val="24"/>
          <w:color w:val="000000"/>
          <w:rFonts w:ascii="Times New Roman" w:hAnsi="Times New Roman" w:cs="Times New Roman"/>
        </w:rPr>
        <w:t xml:space="preserve">Dengan </w:t>
      </w:r>
      <w:r>
        <w:rPr>
          <w:b w:val="0"/>
          <w:i/>
          <w:sz w:val="24"/>
          <w:color w:val="000000"/>
          <w:rFonts w:ascii="Times New Roman" w:hAnsi="Times New Roman" w:cs="Times New Roman"/>
        </w:rPr>
        <w:t>k</w:t>
      </w:r>
      <w:r>
        <w:rPr>
          <w:b w:val="0"/>
          <w:i w:val="0"/>
          <w:sz w:val="24"/>
          <w:color w:val="000000"/>
          <w:rFonts w:ascii="Times New Roman" w:hAnsi="Times New Roman" w:cs="Times New Roman"/>
        </w:rPr>
        <w:t xml:space="preserve"> = 7 prediktor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maka:</w:t>
      </w:r>
    </w:p>
    <w:p>
      <w:pPr>
        <w:spacing w:before="120" w:after="120" w:line="360" w:lineRule="auto"/>
        <w:jc w:val="center"/>
      </w:pPr>
      <w:r>
        <w:rPr>
          <w:rFonts w:ascii="Cambria Math" w:hAnsi="Cambria Math"/>
          <w:i/>
          <w:sz w:val="22"/>
          <w:color w:val="000000"/>
        </w:rPr>
        <w:t>N \ge 50 + 8(7) = 50 + 56 = 106\text responden</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Untuk pengujian prediktor individual (</w:t>
      </w:r>
      <w:r>
        <w:rPr>
          <w:b w:val="0"/>
          <w:i/>
          <w:sz w:val="24"/>
          <w:color w:val="000000"/>
          <w:rFonts w:ascii="Times New Roman" w:hAnsi="Times New Roman" w:cs="Times New Roman"/>
        </w:rPr>
        <w:t>individual predictors</w:t>
      </w:r>
      <w:r>
        <w:rPr>
          <w:b w:val="0"/>
          <w:i w:val="0"/>
          <w:sz w:val="24"/>
          <w:color w:val="000000"/>
          <w:rFonts w:ascii="Times New Roman" w:hAnsi="Times New Roman" w:cs="Times New Roman"/>
        </w:rPr>
        <w:t>):</w:t>
      </w:r>
    </w:p>
    <w:p>
      <w:pPr>
        <w:spacing w:before="120" w:after="120" w:line="360" w:lineRule="auto"/>
        <w:jc w:val="center"/>
      </w:pPr>
      <w:r>
        <w:rPr>
          <w:rFonts w:ascii="Cambria Math" w:hAnsi="Cambria Math"/>
          <w:i/>
          <w:sz w:val="22"/>
          <w:color w:val="000000"/>
        </w:rPr>
        <w:t>N \ge 104 + k</w:t>
      </w:r>
    </w:p>
    <w:p>
      <w:pPr>
        <w:spacing w:before="120" w:after="120" w:line="360" w:lineRule="auto"/>
        <w:jc w:val="center"/>
      </w:pPr>
      <w:r>
        <w:rPr>
          <w:rFonts w:ascii="Cambria Math" w:hAnsi="Cambria Math"/>
          <w:i/>
          <w:sz w:val="22"/>
          <w:color w:val="000000"/>
        </w:rPr>
        <w:t>N \ge 104 + 7 = 111\text responden</w:t>
      </w:r>
    </w:p>
    <w:p>
      <w:pPr>
        <w:spacing w:line="360" w:lineRule="auto" w:before="0" w:after="0"/>
        <w:ind w:firstLine="709"/>
        <w:jc w:val="both"/>
      </w:pPr>
      <w:r>
        <w:rPr>
          <w:b w:val="0"/>
          <w:i w:val="0"/>
          <w:sz w:val="24"/>
          <w:color w:val="000000"/>
          <w:rFonts w:ascii="Times New Roman" w:hAnsi="Times New Roman" w:cs="Times New Roman"/>
        </w:rPr>
        <w:t>Mengacu pada perhitungan di atas, ukuran sampel minimum absolut yang dipersyaratkan adalah 111 responden. Guna mengantisipasi kuesioner yang tidak terisi lengkap (</w:t>
      </w:r>
      <w:r>
        <w:rPr>
          <w:b w:val="0"/>
          <w:i/>
          <w:sz w:val="24"/>
          <w:color w:val="000000"/>
          <w:rFonts w:ascii="Times New Roman" w:hAnsi="Times New Roman" w:cs="Times New Roman"/>
        </w:rPr>
        <w:t>unusable responses</w:t>
      </w:r>
      <w:r>
        <w:rPr>
          <w:b w:val="0"/>
          <w:i w:val="0"/>
          <w:sz w:val="24"/>
          <w:color w:val="000000"/>
          <w:rFonts w:ascii="Times New Roman" w:hAnsi="Times New Roman" w:cs="Times New Roman"/>
        </w:rPr>
        <w:t>) serta memenuhi kriteria Cohen (1988) untuk mencapai kekuatan uji statistik (</w:t>
      </w:r>
      <w:r>
        <w:rPr>
          <w:b w:val="0"/>
          <w:i/>
          <w:sz w:val="24"/>
          <w:color w:val="000000"/>
          <w:rFonts w:ascii="Times New Roman" w:hAnsi="Times New Roman" w:cs="Times New Roman"/>
        </w:rPr>
        <w:t>statistical power</w:t>
      </w:r>
      <w:r>
        <w:rPr>
          <w:b w:val="0"/>
          <w:i w:val="0"/>
          <w:sz w:val="24"/>
          <w:color w:val="000000"/>
          <w:rFonts w:ascii="Times New Roman" w:hAnsi="Times New Roman" w:cs="Times New Roman"/>
        </w:rPr>
        <w:t xml:space="preserve">) sebesar 0,80 pada taraf signifikansi α = 0,05 dengan </w:t>
      </w:r>
      <w:r>
        <w:rPr>
          <w:b w:val="0"/>
          <w:i/>
          <w:sz w:val="24"/>
          <w:color w:val="000000"/>
          <w:rFonts w:ascii="Times New Roman" w:hAnsi="Times New Roman" w:cs="Times New Roman"/>
        </w:rPr>
        <w:t>medium effect size</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f</w:t>
      </w:r>
      <w:r>
        <w:rPr>
          <w:b w:val="0"/>
          <w:i w:val="0"/>
          <w:sz w:val="24"/>
          <w:color w:val="000000"/>
          <w:rFonts w:ascii="Times New Roman" w:hAnsi="Times New Roman" w:cs="Times New Roman"/>
        </w:rPr>
        <w:t xml:space="preserve">² = 0,15), peneliti menetapkan target sampel sebesar </w:t>
      </w:r>
      <w:r>
        <w:rPr>
          <w:b/>
          <w:i w:val="0"/>
          <w:sz w:val="24"/>
          <w:color w:val="000000"/>
          <w:rFonts w:ascii="Times New Roman" w:hAnsi="Times New Roman" w:cs="Times New Roman"/>
        </w:rPr>
        <w:t>120 hingga 150 responden</w:t>
      </w:r>
      <w:r>
        <w:rPr>
          <w:b w:val="0"/>
          <w:i w:val="0"/>
          <w:sz w:val="24"/>
          <w:color w:val="000000"/>
          <w:rFonts w:ascii="Times New Roman" w:hAnsi="Times New Roman" w:cs="Times New Roman"/>
        </w:rPr>
        <w: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3.2.4 Justifikasi Komparatif Pemilihan Teknik Sampling</w:t>
      </w:r>
    </w:p>
    <w:p>
      <w:pPr>
        <w:spacing w:line="360" w:lineRule="auto" w:before="0" w:after="0"/>
        <w:ind w:firstLine="709"/>
        <w:jc w:val="both"/>
      </w:pPr>
      <w:r>
        <w:rPr>
          <w:b w:val="0"/>
          <w:i w:val="0"/>
          <w:sz w:val="24"/>
          <w:color w:val="000000"/>
          <w:rFonts w:ascii="Times New Roman" w:hAnsi="Times New Roman" w:cs="Times New Roman"/>
        </w:rPr>
        <w:t xml:space="preserve">Dalam literatur metodologi penelitian kuantitatif (Sekaran and Bougie, 2016; Sugiyono, 2019), metode pengambilan sampel terbagi ke dalam dua rumpun utama: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dan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Probability Sampling</w:t>
      </w:r>
      <w:r>
        <w:rPr>
          <w:b w:val="0"/>
          <w:i w:val="0"/>
          <w:sz w:val="24"/>
          <w:color w:val="000000"/>
          <w:rFonts w:ascii="Times New Roman" w:hAnsi="Times New Roman" w:cs="Times New Roman"/>
        </w:rPr>
        <w:t xml:space="preserve"> (seperti </w:t>
      </w:r>
      <w:r>
        <w:rPr>
          <w:b w:val="0"/>
          <w:i/>
          <w:sz w:val="24"/>
          <w:color w:val="000000"/>
          <w:rFonts w:ascii="Times New Roman" w:hAnsi="Times New Roman" w:cs="Times New Roman"/>
        </w:rPr>
        <w:t>Simple Random Sampling</w:t>
      </w:r>
      <w:r>
        <w:rPr>
          <w:b w:val="0"/>
          <w:i w:val="0"/>
          <w:sz w:val="24"/>
          <w:color w:val="000000"/>
          <w:rFonts w:ascii="Times New Roman" w:hAnsi="Times New Roman" w:cs="Times New Roman"/>
        </w:rPr>
        <w:t xml:space="preserve"> atau </w:t>
      </w:r>
      <w:r>
        <w:rPr>
          <w:b w:val="0"/>
          <w:i/>
          <w:sz w:val="24"/>
          <w:color w:val="000000"/>
          <w:rFonts w:ascii="Times New Roman" w:hAnsi="Times New Roman" w:cs="Times New Roman"/>
        </w:rPr>
        <w:t>Stratified Random Sampling</w:t>
      </w:r>
      <w:r>
        <w:rPr>
          <w:b w:val="0"/>
          <w:i w:val="0"/>
          <w:sz w:val="24"/>
          <w:color w:val="000000"/>
          <w:rFonts w:ascii="Times New Roman" w:hAnsi="Times New Roman" w:cs="Times New Roman"/>
        </w:rPr>
        <w:t>) menuntut adanya kerangka sampling (</w:t>
      </w:r>
      <w:r>
        <w:rPr>
          <w:b w:val="0"/>
          <w:i/>
          <w:sz w:val="24"/>
          <w:color w:val="000000"/>
          <w:rFonts w:ascii="Times New Roman" w:hAnsi="Times New Roman" w:cs="Times New Roman"/>
        </w:rPr>
        <w:t>sampling frame</w:t>
      </w:r>
      <w:r>
        <w:rPr>
          <w:b w:val="0"/>
          <w:i w:val="0"/>
          <w:sz w:val="24"/>
          <w:color w:val="000000"/>
          <w:rFonts w:ascii="Times New Roman" w:hAnsi="Times New Roman" w:cs="Times New Roman"/>
        </w:rPr>
        <w:t>) yang memuat daftar lengkap seluruh anggota populasi. Pada penelitian ini, kerangka sampling sensus pembeli kartu Pokémon di Indonesia tidak tersedia secara terpusat, sehingga teknik probabilitas murni mustahil diterapkan secara akurat.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Oleh karena itu, penelitian ini memilih rumpun </w:t>
      </w:r>
      <w:r>
        <w:rPr>
          <w:b w:val="0"/>
          <w:i/>
          <w:sz w:val="24"/>
          <w:color w:val="000000"/>
          <w:rFonts w:ascii="Times New Roman" w:hAnsi="Times New Roman" w:cs="Times New Roman"/>
        </w:rPr>
        <w:t>Non-Probability Sampling</w:t>
      </w:r>
      <w:r>
        <w:rPr>
          <w:b w:val="0"/>
          <w:i w:val="0"/>
          <w:sz w:val="24"/>
          <w:color w:val="000000"/>
          <w:rFonts w:ascii="Times New Roman" w:hAnsi="Times New Roman" w:cs="Times New Roman"/>
        </w:rPr>
        <w:t xml:space="preserve"> dengan teknik spesifik </w:t>
      </w:r>
      <w:r>
        <w:rPr>
          <w:b/>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(sampel bertujuan). Teknik ini memilih responden berdasarkan pertimbangan dan kriteria inklusi terdefinisi yang ditetapkan peneliti.</w:t>
      </w:r>
    </w:p>
    <w:p>
      <w:pPr>
        <w:spacing w:line="360" w:lineRule="auto" w:before="0" w:after="0"/>
        <w:ind w:firstLine="709"/>
        <w:jc w:val="both"/>
      </w:pPr>
      <w:r>
        <w:rPr>
          <w:b w:val="0"/>
          <w:i w:val="0"/>
          <w:sz w:val="24"/>
          <w:color w:val="000000"/>
          <w:rFonts w:ascii="Times New Roman" w:hAnsi="Times New Roman" w:cs="Times New Roman"/>
        </w:rPr>
        <w:t xml:space="preserve">Pemilihan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merupakan pendekatan yang paling tepat (</w:t>
      </w:r>
      <w:r>
        <w:rPr>
          <w:b w:val="0"/>
          <w:i/>
          <w:sz w:val="24"/>
          <w:color w:val="000000"/>
          <w:rFonts w:ascii="Times New Roman" w:hAnsi="Times New Roman" w:cs="Times New Roman"/>
        </w:rPr>
        <w:t>the most suitable</w:t>
      </w:r>
      <w:r>
        <w:rPr>
          <w:b w:val="0"/>
          <w:i w:val="0"/>
          <w:sz w:val="24"/>
          <w:color w:val="000000"/>
          <w:rFonts w:ascii="Times New Roman" w:hAnsi="Times New Roman"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b w:val="0"/>
          <w:i/>
          <w:sz w:val="24"/>
          <w:color w:val="000000"/>
          <w:rFonts w:ascii="Times New Roman" w:hAnsi="Times New Roman" w:cs="Times New Roman"/>
        </w:rPr>
        <w:t>purposive sampling</w:t>
      </w:r>
      <w:r>
        <w:rPr>
          <w:b w:val="0"/>
          <w:i w:val="0"/>
          <w:sz w:val="24"/>
          <w:color w:val="000000"/>
          <w:rFonts w:ascii="Times New Roman" w:hAnsi="Times New Roman" w:cs="Times New Roman"/>
        </w:rPr>
        <w:t xml:space="preserve"> pada komunitas hobi dan kartu koleksi ini sejalan dengan praktik riset internasional terdahulu pada konteks barang koleksi (Belk, 1995; Gao et al., 2014).</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3.3 Model Penelitian</w:t>
      </w:r>
    </w:p>
    <w:p>
      <w:pPr>
        <w:spacing w:line="360" w:lineRule="auto" w:before="0" w:after="0"/>
        <w:ind w:firstLine="709"/>
        <w:jc w:val="both"/>
      </w:pPr>
      <w:r>
        <w:rPr>
          <w:b w:val="0"/>
          <w:i w:val="0"/>
          <w:sz w:val="24"/>
          <w:color w:val="000000"/>
          <w:rFonts w:ascii="Times New Roman" w:hAnsi="Times New Roman" w:cs="Times New Roman"/>
        </w:rPr>
        <w:t xml:space="preserve">Model penelitian mengadopsi </w:t>
      </w:r>
      <w:r>
        <w:rPr>
          <w:b w:val="0"/>
          <w:i/>
          <w:sz w:val="24"/>
          <w:color w:val="000000"/>
          <w:rFonts w:ascii="Times New Roman" w:hAnsi="Times New Roman" w:cs="Times New Roman"/>
        </w:rPr>
        <w:t>Moderated Regression Analysis</w:t>
      </w:r>
      <w:r>
        <w:rPr>
          <w:b w:val="0"/>
          <w:i w:val="0"/>
          <w:sz w:val="24"/>
          <w:color w:val="000000"/>
          <w:rFonts w:ascii="Times New Roman" w:hAnsi="Times New Roman" w:cs="Times New Roman"/>
        </w:rPr>
        <w:t xml:space="preserve"> (MRA) yang diestimasi dalam dua model bertahap untuk menguji efek utama dan efek interaksi moderasi:</w:t>
      </w:r>
    </w:p>
    <w:p>
      <w:pPr>
        <w:spacing w:line="360" w:lineRule="auto" w:before="0" w:after="0"/>
        <w:ind w:firstLine="709"/>
        <w:jc w:val="both"/>
      </w:pPr>
      <w:r>
        <w:rPr>
          <w:b/>
          <w:i w:val="0"/>
          <w:sz w:val="24"/>
          <w:color w:val="000000"/>
          <w:rFonts w:ascii="Times New Roman" w:hAnsi="Times New Roman" w:cs="Times New Roman"/>
        </w:rPr>
        <w:t>Model 1 — Regresi Linear Berganda (Pengaruh Langsung / Efek Utama):</w:t>
      </w:r>
    </w:p>
    <w:p>
      <w:pPr>
        <w:spacing w:before="120" w:after="120" w:line="360" w:lineRule="auto"/>
        <w:jc w:val="center"/>
      </w:pPr>
      <w:r>
        <w:rPr>
          <w:rFonts w:ascii="Cambria Math" w:hAnsi="Cambria Math"/>
          <w:i/>
          <w:sz w:val="22"/>
          <w:color w:val="000000"/>
        </w:rPr>
        <w:t>Y = α + β1 X1 + β2 X2 + β3 X3 + e</w:t>
      </w:r>
    </w:p>
    <w:p>
      <w:pPr>
        <w:spacing w:line="360" w:lineRule="auto" w:before="0" w:after="0"/>
        <w:ind w:firstLine="709"/>
        <w:jc w:val="both"/>
      </w:pPr>
      <w:r>
        <w:rPr>
          <w:b/>
          <w:i w:val="0"/>
          <w:sz w:val="24"/>
          <w:color w:val="000000"/>
          <w:rFonts w:ascii="Times New Roman" w:hAnsi="Times New Roman" w:cs="Times New Roman"/>
        </w:rPr>
        <w:t xml:space="preserve">Model 2 —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 MRA (Model Interaksi Moderasi Penuh):</w:t>
      </w:r>
    </w:p>
    <w:p>
      <w:pPr>
        <w:spacing w:before="120" w:after="120" w:line="360" w:lineRule="auto"/>
        <w:jc w:val="center"/>
      </w:pPr>
      <w:r>
        <w:rPr>
          <w:rFonts w:ascii="Cambria Math" w:hAnsi="Cambria Math"/>
          <w:i/>
          <w:sz w:val="22"/>
          <w:color w:val="000000"/>
        </w:rPr>
        <w:t>Y = α + β1 X1 + β2 X2 + β3 X3 + β4 M + β5 (X1  ·  M) + β6 (X2  ·  M) + β7 (X3  ·  M) + e</w:t>
      </w:r>
    </w:p>
    <w:p>
      <w:pPr>
        <w:spacing w:line="360" w:lineRule="auto" w:before="0" w:after="0"/>
        <w:ind w:firstLine="709"/>
        <w:jc w:val="both"/>
      </w:pPr>
      <w:r>
        <w:rPr>
          <w:b w:val="0"/>
          <w:i w:val="0"/>
          <w:sz w:val="24"/>
          <w:color w:val="000000"/>
          <w:rFonts w:ascii="Times New Roman" w:hAnsi="Times New Roman" w:cs="Times New Roman"/>
        </w:rPr>
        <w:t>Di mana:</w:t>
      </w:r>
    </w:p>
    <w:p>
      <w:pPr>
        <w:spacing w:line="360" w:lineRule="auto" w:before="0" w:after="0"/>
        <w:ind w:firstLine="709"/>
        <w:jc w:val="both"/>
      </w:pPr>
      <w:r>
        <w:rPr>
          <w:b w:val="0"/>
          <w:i w:val="0"/>
          <w:sz w:val="24"/>
          <w:color w:val="000000"/>
          <w:rFonts w:ascii="Times New Roman" w:hAnsi="Times New Roman" w:cs="Times New Roman"/>
        </w:rPr>
        <w:t>[noitemsep,topsep=2pt]</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Y</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Impulsive Buying</w:t>
      </w:r>
      <w:r>
        <w:rPr>
          <w:b w:val="0"/>
          <w:i w:val="0"/>
          <w:sz w:val="24"/>
          <w:color w:val="000000"/>
          <w:rFonts w:ascii="Times New Roman" w:hAnsi="Times New Roman" w:cs="Times New Roman"/>
        </w:rPr>
        <w:t xml:space="preserve"> (variabel dependen)</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Hedonic Motivation</w:t>
      </w:r>
      <w:r>
        <w:rPr>
          <w:b w:val="0"/>
          <w:i w:val="0"/>
          <w:sz w:val="24"/>
          <w:color w:val="000000"/>
          <w:rFonts w:ascii="Times New Roman" w:hAnsi="Times New Roman" w:cs="Times New Roman"/>
        </w:rPr>
        <w:t xml:space="preserve"> (variabel independen 1)</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Desire for Completeness</w:t>
      </w:r>
      <w:r>
        <w:rPr>
          <w:b w:val="0"/>
          <w:i w:val="0"/>
          <w:sz w:val="24"/>
          <w:color w:val="000000"/>
          <w:rFonts w:ascii="Times New Roman" w:hAnsi="Times New Roman" w:cs="Times New Roman"/>
        </w:rPr>
        <w:t xml:space="preserve"> (variabel independen 2)</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Speculative Motive</w:t>
      </w:r>
      <w:r>
        <w:rPr>
          <w:b w:val="0"/>
          <w:i w:val="0"/>
          <w:sz w:val="24"/>
          <w:color w:val="000000"/>
          <w:rFonts w:ascii="Times New Roman" w:hAnsi="Times New Roman" w:cs="Times New Roman"/>
        </w:rPr>
        <w:t xml:space="preserve"> (variabel independen 3)</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Self-Control</w:t>
      </w:r>
      <w:r>
        <w:rPr>
          <w:b w:val="0"/>
          <w:i w:val="0"/>
          <w:sz w:val="24"/>
          <w:color w:val="000000"/>
          <w:rFonts w:ascii="Times New Roman" w:hAnsi="Times New Roman" w:cs="Times New Roman"/>
        </w:rPr>
        <w:t xml:space="preserve"> (variabel moderasi)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Istilah interaksi pemoderasi (</w:t>
      </w:r>
      <w:r>
        <w:rPr>
          <w:b w:val="0"/>
          <w:i/>
          <w:sz w:val="24"/>
          <w:color w:val="000000"/>
          <w:rFonts w:ascii="Times New Roman" w:hAnsi="Times New Roman" w:cs="Times New Roman"/>
        </w:rPr>
        <w:t>interaction terms</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α = Konstanta regresi</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β₁ ... β₇ = Koefisien regresi</w:t>
      </w:r>
    </w:p>
    <w:p>
      <w:pPr>
        <w:spacing w:before="0" w:after="40" w:line="360" w:lineRule="auto"/>
        <w:ind w:left="709" w:hanging="227"/>
        <w:jc w:val="both"/>
      </w:pPr>
      <w:r>
        <w:rPr>
          <w:b/>
          <w:color w:val="000000"/>
          <w:rFonts w:ascii="Times New Roman" w:hAnsi="Times New Roman" w:cs="Times New Roman"/>
        </w:rPr>
        <w:t xml:space="preserve">•  </w:t>
      </w:r>
      <w:r>
        <w:rPr>
          <w:b w:val="0"/>
          <w:i/>
          <w:sz w:val="24"/>
          <w:color w:val="000000"/>
          <w:rFonts w:ascii="Times New Roman" w:hAnsi="Times New Roman" w:cs="Times New Roman"/>
        </w:rPr>
        <w:t>e</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Error term</w:t>
      </w:r>
      <w:r>
        <w:rPr>
          <w:b w:val="0"/>
          <w:i w:val="0"/>
          <w:sz w:val="24"/>
          <w:color w:val="000000"/>
          <w:rFonts w:ascii="Times New Roman" w:hAnsi="Times New Roman" w:cs="Times New Roman"/>
        </w:rPr>
        <w:t xml:space="preserve"> (residual pengganggu)</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3.4 Operasionalisasi Variabel</w:t>
      </w:r>
    </w:p>
    <w:p>
      <w:pPr>
        <w:spacing w:line="360" w:lineRule="auto" w:before="0" w:after="0"/>
        <w:ind w:firstLine="709"/>
        <w:jc w:val="both"/>
      </w:pPr>
      <w:r>
        <w:rPr>
          <w:b w:val="0"/>
          <w:i w:val="0"/>
          <w:sz w:val="24"/>
          <w:color w:val="000000"/>
          <w:rFonts w:ascii="Times New Roman" w:hAnsi="Times New Roman" w:cs="Times New Roman"/>
        </w:rPr>
        <w:t>Operasionalisasi variabel penelitian disajikan secara komprehensif pada Tabel 3.2. Tabel disusun menggunakan format terbuka (</w:t>
      </w:r>
      <w:r>
        <w:rPr>
          <w:b w:val="0"/>
          <w:i/>
          <w:sz w:val="24"/>
          <w:color w:val="000000"/>
          <w:rFonts w:ascii="Times New Roman" w:hAnsi="Times New Roman" w:cs="Times New Roman"/>
        </w:rPr>
        <w:t>open table</w:t>
      </w:r>
      <w:r>
        <w:rPr>
          <w:b w:val="0"/>
          <w:i w:val="0"/>
          <w:sz w:val="24"/>
          <w:color w:val="000000"/>
          <w:rFonts w:ascii="Times New Roman" w:hAnsi="Times New Roman" w:cs="Times New Roman"/>
        </w:rPr>
        <w:t>) standar publikasi jurnal tanpa garis vertikal, dengan penataan kolom proporsional:</w:t>
      </w:r>
    </w:p>
    <w:p>
      <w:pPr>
        <w:spacing w:line="360" w:lineRule="auto" w:before="0" w:after="0"/>
        <w:ind w:firstLine="709"/>
        <w:jc w:val="both"/>
      </w:pPr>
      <w:r>
        <w:rPr>
          <w:b/>
          <w:i w:val="0"/>
          <w:sz w:val="24"/>
          <w:color w:val="000000"/>
          <w:rFonts w:ascii="Times New Roman" w:hAnsi="Times New Roman" w:cs="Times New Roman"/>
        </w:rPr>
        <w:t>Tabel 3.2 Operasionalisasi Variabel Penelitian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1587"/>
        <w:gridCol w:w="1587"/>
        <w:gridCol w:w="1587"/>
        <w:gridCol w:w="1587"/>
        <w:gridCol w:w="1587"/>
      </w:tblGrid>
      <w:tr>
        <w:trPr>
          <w:cantSplit/>
          <w:tblHeader/>
        </w:trPr>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Variabel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Definisi Operasional</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Dimensi</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Indikator Pernyataan</w:t>
            </w:r>
          </w:p>
        </w:tc>
        <w:tc>
          <w:tcPr>
            <w:tcW w:type="dxa" w:w="1587"/>
            <w:tcMar>
              <w:top w:w="80" w:type="dxa"/>
              <w:bottom w:w="80" w:type="dxa"/>
              <w:left w:w="100" w:type="dxa"/>
              <w:right w:w="100" w:type="dxa"/>
            </w:tcMar>
            <w:shd w:fill="F2F2F2"/>
            <w:tcBorders>
              <w:bottom w:val="single" w:sz="6" w:space="0" w:color="000000"/>
            </w:tcBorders>
          </w:tcPr>
          <w:p>
            <w:pPr>
              <w:spacing w:before="0" w:after="0" w:line="276" w:lineRule="auto"/>
              <w:ind w:firstLine="0"/>
              <w:jc w:val="center"/>
            </w:pPr>
            <w:r>
              <w:rPr>
                <w:rFonts w:ascii="Times New Roman" w:hAnsi="Times New Roman"/>
                <w:b/>
                <w:sz w:val="20"/>
                <w:color w:val="000000"/>
              </w:rPr>
              <w:t>Skala</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Impulsive Buying (Y)</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Kecenderungan membeli </w:t>
            </w:r>
            <w:r>
              <w:rPr>
                <w:rFonts w:ascii="Times New Roman" w:hAnsi="Times New Roman"/>
                <w:i/>
                <w:sz w:val="19"/>
                <w:color w:val="000000"/>
              </w:rPr>
              <w:t>booster pack</w:t>
            </w:r>
            <w:r>
              <w:rPr>
                <w:rFonts w:ascii="Times New Roman" w:hAnsi="Times New Roman"/>
                <w:sz w:val="19"/>
                <w:color w:val="000000"/>
              </w:rPr>
              <w:t xml:space="preserve"> Pokémon TCG tanpa rencana awal dan didorong emosi sesaat (Rook, 1987; Verplanken &amp; Herabadi, 2001).</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Y1. Saya sering membeli </w:t>
            </w:r>
            <w:r>
              <w:rPr>
                <w:rFonts w:ascii="Times New Roman" w:hAnsi="Times New Roman"/>
                <w:i/>
                <w:sz w:val="19"/>
                <w:color w:val="000000"/>
              </w:rPr>
              <w:t>booster pack</w:t>
            </w:r>
            <w:r>
              <w:rPr>
                <w:rFonts w:ascii="Times New Roman" w:hAnsi="Times New Roman"/>
                <w:sz w:val="19"/>
                <w:color w:val="000000"/>
              </w:rPr>
              <w:t xml:space="preserve"> kartu Pokémon tanpa rencana anggaran sebelumnya.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Y2. Saya tidak mempertimbangkan dampak finansial saat membeli kartu Pokémon di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Y3. Saya merasa terdorong secara spontan untuk membeli </w:t>
            </w:r>
            <w:r>
              <w:rPr>
                <w:rFonts w:ascii="Times New Roman" w:hAnsi="Times New Roman"/>
                <w:i/>
                <w:sz w:val="19"/>
                <w:color w:val="000000"/>
              </w:rPr>
              <w:t>pack</w:t>
            </w:r>
            <w:r>
              <w:rPr>
                <w:rFonts w:ascii="Times New Roman" w:hAnsi="Times New Roman"/>
                <w:sz w:val="19"/>
                <w:color w:val="000000"/>
              </w:rPr>
              <w:t xml:space="preserve"> saat melihatnya di etalase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Y4. Saya merasakan kegembiraan sesaat ketika memutuskan membeli kartu secara mendadak.</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Kognitif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Y5. Saya sering membeli </w:t>
            </w:r>
            <w:r>
              <w:rPr>
                <w:rFonts w:ascii="Times New Roman" w:hAnsi="Times New Roman"/>
                <w:i/>
                <w:sz w:val="19"/>
                <w:color w:val="000000"/>
              </w:rPr>
              <w:t>pack</w:t>
            </w:r>
            <w:r>
              <w:rPr>
                <w:rFonts w:ascii="Times New Roman" w:hAnsi="Times New Roman"/>
                <w:sz w:val="19"/>
                <w:color w:val="000000"/>
              </w:rPr>
              <w:t xml:space="preserve"> lebih banyak dari yang semula saya niatkan.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Afektif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Y6. Saya sulit menahan hasrat berbelanja kartu Pokémon saat rilis seri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Hedonic Motivation (X₁)</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Motivasi belanja untuk kesenangan emosional dan sensasi petualangan (Arnold &amp; Reynolds, 2003).</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X1.1. Membuka kemasan </w:t>
            </w:r>
            <w:r>
              <w:rPr>
                <w:rFonts w:ascii="Times New Roman" w:hAnsi="Times New Roman"/>
                <w:i/>
                <w:sz w:val="19"/>
                <w:color w:val="000000"/>
              </w:rPr>
              <w:t>booster pack</w:t>
            </w:r>
            <w:r>
              <w:rPr>
                <w:rFonts w:ascii="Times New Roman" w:hAnsi="Times New Roman"/>
                <w:sz w:val="19"/>
                <w:color w:val="000000"/>
              </w:rPr>
              <w:t xml:space="preserve"> memberikan sensasi petualangan dan kejutan mendebarkan.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Adventure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X1.2. Saya menikmati sensasi penasaran terhadap kartu acak di dalam kemasan bungkus.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X1.3. Membeli kartu Pokémon adalah cara saya memanjakan diri atau melepas penat stres.</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Gratification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X1.4. Menemukan kartu dengan ilustrasi langka (</w:t>
            </w:r>
            <w:r>
              <w:rPr>
                <w:rFonts w:ascii="Times New Roman" w:hAnsi="Times New Roman"/>
                <w:i/>
                <w:sz w:val="19"/>
                <w:color w:val="000000"/>
              </w:rPr>
              <w:t>SAR</w:t>
            </w:r>
            <w:r>
              <w:rPr>
                <w:rFonts w:ascii="Times New Roman" w:hAnsi="Times New Roman"/>
                <w:sz w:val="19"/>
                <w:color w:val="000000"/>
              </w:rPr>
              <w:t>) membuat saya sangat bahagia.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Idea</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X1.5. Saya senang mengikuti tren rilis seri kartu Pokémon dan inovasi desain terbarunya.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Desire for Completeness (X₂)</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Dorongan psikologis menuntaskan set koleksi akibat </w:t>
            </w:r>
            <w:r>
              <w:rPr>
                <w:rFonts w:ascii="Times New Roman" w:hAnsi="Times New Roman"/>
                <w:i/>
                <w:sz w:val="19"/>
                <w:color w:val="000000"/>
              </w:rPr>
              <w:t>Zeigarnik Effect</w:t>
            </w:r>
            <w:r>
              <w:rPr>
                <w:rFonts w:ascii="Times New Roman" w:hAnsi="Times New Roman"/>
                <w:sz w:val="19"/>
                <w:color w:val="000000"/>
              </w:rPr>
              <w:t xml:space="preserve"> (Belk, 1995; Gao et al., 2014; Barasz et al., 2017).</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X2.1. Saya merasa tidak nyaman ketika album koleksi kartu Pokémon saya memiliki slot kosong.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X2.2. Saya terdorong untuk terus membeli </w:t>
            </w:r>
            <w:r>
              <w:rPr>
                <w:rFonts w:ascii="Times New Roman" w:hAnsi="Times New Roman"/>
                <w:i/>
                <w:sz w:val="19"/>
                <w:color w:val="000000"/>
              </w:rPr>
              <w:t>booster pack</w:t>
            </w:r>
            <w:r>
              <w:rPr>
                <w:rFonts w:ascii="Times New Roman" w:hAnsi="Times New Roman"/>
                <w:sz w:val="19"/>
                <w:color w:val="000000"/>
              </w:rPr>
              <w:t xml:space="preserve"> agar dapat melengkapi seluruh kartu dalam satu seri.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Cognitive Tension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X2.3. Mengetahui ada kartu yang belum saya miliki dalam suatu seri membuat saya ingin segera membelinya.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Wholeness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X2.4. Melengkapi satu set penuh kartu Pokémon memberikan perasaan pencapaian dan kepuasan batin.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Drive for Closure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X2.5. Semakin sedikit kartu yang kurang dalam satu seri, semakin kuat desakan saya membeli </w:t>
            </w:r>
            <w:r>
              <w:rPr>
                <w:rFonts w:ascii="Times New Roman" w:hAnsi="Times New Roman"/>
                <w:i/>
                <w:sz w:val="19"/>
                <w:color w:val="000000"/>
              </w:rPr>
              <w:t>pack</w:t>
            </w:r>
            <w:r>
              <w:rPr>
                <w:rFonts w:ascii="Times New Roman" w:hAnsi="Times New Roman"/>
                <w:sz w:val="19"/>
                <w:color w:val="000000"/>
              </w:rPr>
              <w:t xml:space="preserve"> baru.</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Speculative Motive (X₃)</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memperoleh keuntungan finansial dari apresiasi harga di pasar sekunder (Shiller, 2000; Baur et al., 2018).</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Ekspektasi Cuan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X3.1. Saya membeli </w:t>
            </w:r>
            <w:r>
              <w:rPr>
                <w:rFonts w:ascii="Times New Roman" w:hAnsi="Times New Roman"/>
                <w:i/>
                <w:sz w:val="19"/>
                <w:color w:val="000000"/>
              </w:rPr>
              <w:t>pack</w:t>
            </w:r>
            <w:r>
              <w:rPr>
                <w:rFonts w:ascii="Times New Roman" w:hAnsi="Times New Roman"/>
                <w:sz w:val="19"/>
                <w:color w:val="000000"/>
              </w:rPr>
              <w:t xml:space="preserve"> dengan harapan menarik kartu langka bernilai jual tinggi.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Likuiditas</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X3.2. Likuiditas pasar sekunder yang aktif mendorong saya membeli kartu sebagai aset berharga.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Capital Gain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X3.3. Saya memantau kenaikan harga pasar kartu langka untuk dijual kembali demi keuntungan.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Potensi Nilai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 xml:space="preserve">X3.4. Saya memandang modal membeli beberapa </w:t>
            </w:r>
            <w:r>
              <w:rPr>
                <w:rFonts w:ascii="Times New Roman" w:hAnsi="Times New Roman"/>
                <w:i/>
                <w:sz w:val="19"/>
                <w:color w:val="000000"/>
              </w:rPr>
              <w:t>pack</w:t>
            </w:r>
            <w:r>
              <w:rPr>
                <w:rFonts w:ascii="Times New Roman" w:hAnsi="Times New Roman"/>
                <w:sz w:val="19"/>
                <w:color w:val="000000"/>
              </w:rPr>
              <w:t xml:space="preserve"> sebanding dengan potensi laba kartu langka.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i/>
                <w:sz w:val="19"/>
                <w:color w:val="000000"/>
              </w:rPr>
              <w:t>Grading Value</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X3.5. Saya tertarik dengan sertifikasi keaslian (</w:t>
            </w:r>
            <w:r>
              <w:rPr>
                <w:rFonts w:ascii="Times New Roman" w:hAnsi="Times New Roman"/>
                <w:i/>
                <w:sz w:val="19"/>
                <w:color w:val="000000"/>
              </w:rPr>
              <w:t>grading</w:t>
            </w:r>
            <w:r>
              <w:rPr>
                <w:rFonts w:ascii="Times New Roman" w:hAnsi="Times New Roman"/>
                <w:sz w:val="19"/>
                <w:color w:val="000000"/>
              </w:rPr>
              <w:t>) kartu demi menaikkan nilai investasi lelang.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b/>
                <w:sz w:val="19"/>
                <w:color w:val="000000"/>
              </w:rPr>
              <w:t>Self-Control (M)</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Kapasitas volisional menolak godaan belanja spontan dan menunda kepuasan sesaat (Tangney et al., 2004; Vohs &amp; Faber, 2007; Sultan et al., 2012).</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Tahan Godaan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M1. Saya mampu menolak godaan membeli barang menarik jika di luar perencanaan anggaran saya.</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Non-Impulsif</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M2. Saya terbiasa berpikir tenang dan mempertimbangkan dampak pengeluaran sebelum bertransaksi.</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Tunda Kepuasan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M3. Saya mampu menahan diri dari kesenangan belanja saat ini demi menjaga tujuan keuangan masa depan.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Disiplin Diri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M4. Saya memiliki disiplin diri yang kuat untuk tidak membeli barang secara mendadak di kasir toko.</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Kontrol Emosi</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M5. Saya tidak mudah terhanyut oleh suasana hati atau kegembiraan sesaat dalam membelanjakan uang.</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r>
        <w:trPr>
          <w:cantSplit/>
        </w:trPr>
        <w:tc>
          <w:tcPr>
            <w:tcW w:type="dxa" w:w="1587"/>
            <w:tcMar>
              <w:top w:w="80" w:type="dxa"/>
              <w:bottom w:w="80" w:type="dxa"/>
              <w:left w:w="100" w:type="dxa"/>
              <w:right w:w="100" w:type="dxa"/>
            </w:tcMar>
          </w:tcPr>
          <w:p>
            <w:pPr>
              <w:spacing w:before="0" w:after="0" w:line="276" w:lineRule="auto"/>
              <w:ind w:firstLine="0"/>
              <w:jc w:val="center"/>
            </w:pPr>
          </w:p>
        </w:tc>
        <w:tc>
          <w:tcPr>
            <w:tcW w:type="dxa" w:w="1587"/>
            <w:tcMar>
              <w:top w:w="80" w:type="dxa"/>
              <w:bottom w:w="80" w:type="dxa"/>
              <w:left w:w="100" w:type="dxa"/>
              <w:right w:w="100" w:type="dxa"/>
            </w:tcMar>
          </w:tcPr>
          <w:p>
            <w:pPr>
              <w:spacing w:before="0" w:after="0" w:line="276" w:lineRule="auto"/>
              <w:ind w:firstLine="0"/>
              <w:jc w:val="left"/>
            </w:pP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Taat Anggaran</w:t>
            </w:r>
          </w:p>
        </w:tc>
        <w:tc>
          <w:tcPr>
            <w:tcW w:type="dxa" w:w="1587"/>
            <w:tcMar>
              <w:top w:w="80" w:type="dxa"/>
              <w:bottom w:w="80" w:type="dxa"/>
              <w:left w:w="100" w:type="dxa"/>
              <w:right w:w="100" w:type="dxa"/>
            </w:tcMar>
          </w:tcPr>
          <w:p>
            <w:pPr>
              <w:spacing w:before="0" w:after="0" w:line="276" w:lineRule="auto"/>
              <w:ind w:firstLine="0"/>
              <w:jc w:val="left"/>
            </w:pPr>
            <w:r>
              <w:rPr>
                <w:rFonts w:ascii="Times New Roman" w:hAnsi="Times New Roman"/>
                <w:sz w:val="19"/>
                <w:color w:val="000000"/>
              </w:rPr>
              <w:t>M6. Saya secara konsisten mematuhi alokasi batas pengeluaran hobi yang telah saya rencanakan.</w:t>
            </w:r>
          </w:p>
        </w:tc>
        <w:tc>
          <w:tcPr>
            <w:tcW w:type="dxa" w:w="1587"/>
            <w:tcMar>
              <w:top w:w="80" w:type="dxa"/>
              <w:bottom w:w="80" w:type="dxa"/>
              <w:left w:w="100" w:type="dxa"/>
              <w:right w:w="100" w:type="dxa"/>
            </w:tcMar>
          </w:tcPr>
          <w:p>
            <w:pPr>
              <w:spacing w:before="0" w:after="0" w:line="276" w:lineRule="auto"/>
              <w:ind w:firstLine="0"/>
              <w:jc w:val="center"/>
            </w:pPr>
            <w:r>
              <w:rPr>
                <w:rFonts w:ascii="Times New Roman" w:hAnsi="Times New Roman"/>
                <w:sz w:val="19"/>
                <w:color w:val="000000"/>
              </w:rPr>
              <w:t>Likert 1–5</w:t>
            </w:r>
          </w:p>
        </w:tc>
      </w:tr>
    </w:tbl>
    <w:p>
      <w:pPr>
        <w:spacing w:before="80" w:after="120"/>
      </w:pPr>
    </w:p>
    <w:p>
      <w:pPr>
        <w:spacing w:line="360" w:lineRule="auto" w:before="0" w:after="0"/>
        <w:ind w:firstLine="709"/>
        <w:jc w:val="both"/>
      </w:pPr>
      <w:r>
        <w:rPr>
          <w:b w:val="0"/>
          <w:i/>
          <w:sz w:val="24"/>
          <w:color w:val="000000"/>
          <w:rFonts w:ascii="Times New Roman" w:hAnsi="Times New Roman" w:cs="Times New Roman"/>
        </w:rPr>
        <w:t>Sumber: Diadaptasi dari instrumen penelitian terdahulu yang tervalidasi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3.5 Metode Analisis Data</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3.5.1 Justifikasi Komparatif Pemilihan Metode Analisis</w:t>
      </w:r>
    </w:p>
    <w:p>
      <w:pPr>
        <w:spacing w:line="360" w:lineRule="auto" w:before="0" w:after="0"/>
        <w:ind w:firstLine="709"/>
        <w:jc w:val="both"/>
      </w:pPr>
      <w:r>
        <w:rPr>
          <w:b w:val="0"/>
          <w:i w:val="0"/>
          <w:sz w:val="24"/>
          <w:color w:val="000000"/>
          <w:rFonts w:ascii="Times New Roman" w:hAnsi="Times New Roman" w:cs="Times New Roman"/>
        </w:rPr>
        <w:t>Dalam pengujian model penelitian kuantitatif eksplanatori yang melibatkan efek moderasi, terdapat beberapa alternatif metode analisis dalam literatur statistik:</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Structural Equation Modeling</w:t>
      </w:r>
      <w:r>
        <w:rPr>
          <w:b/>
          <w:i w:val="0"/>
          <w:sz w:val="24"/>
          <w:color w:val="000000"/>
          <w:rFonts w:ascii="Times New Roman" w:hAnsi="Times New Roman" w:cs="Times New Roman"/>
        </w:rPr>
        <w:t xml:space="preserve"> (SEM) Berbasis Kovarians (SEM-CB) atau Varian (SEM-PLS):</w:t>
      </w:r>
      <w:r>
        <w:rPr>
          <w:b w:val="0"/>
          <w:i w:val="0"/>
          <w:sz w:val="24"/>
          <w:color w:val="000000"/>
          <w:rFonts w:ascii="Times New Roman" w:hAnsi="Times New Roman" w:cs="Times New Roman"/>
        </w:rPr>
        <w:t xml:space="preserve"> Cocok untuk model bertingkat dengan konstruk laten kompleks dan variabel mediasi simultan. Namun, SEM-CB menuntut asumsi distribusi normal multivariat yang sangat ketat serta sampel besar (</w:t>
      </w:r>
      <w:r>
        <w:rPr>
          <w:b w:val="0"/>
          <w:i/>
          <w:sz w:val="24"/>
          <w:color w:val="000000"/>
          <w:rFonts w:ascii="Times New Roman" w:hAnsi="Times New Roman" w:cs="Times New Roman"/>
        </w:rPr>
        <w:t>N</w:t>
      </w:r>
      <w:r>
        <w:rPr>
          <w:b w:val="0"/>
          <w:i w:val="0"/>
          <w:sz w:val="24"/>
          <w:color w:val="000000"/>
          <w:rFonts w:ascii="Times New Roman" w:hAnsi="Times New Roman" w:cs="Times New Roman"/>
        </w:rPr>
        <w:t xml:space="preserve"> &gt; 200), sedangkan SEM-PLS lebih ditujukan untuk pemodelan prediktif eksploratif (Hair et al., 2019).</w:t>
      </w:r>
    </w:p>
    <w:p>
      <w:pPr>
        <w:spacing w:before="0" w:after="40" w:line="360" w:lineRule="auto"/>
        <w:ind w:left="709" w:hanging="227"/>
        <w:jc w:val="both"/>
      </w:pPr>
      <w:r>
        <w:rPr>
          <w:b/>
          <w:color w:val="000000"/>
          <w:rFonts w:ascii="Times New Roman" w:hAnsi="Times New Roman" w:cs="Times New Roman"/>
        </w:rPr>
        <w:t xml:space="preserve">•  </w:t>
      </w:r>
      <w:r>
        <w:rPr>
          <w:b/>
          <w:i/>
          <w:sz w:val="24"/>
          <w:color w:val="000000"/>
          <w:rFonts w:ascii="Times New Roman" w:hAnsi="Times New Roman" w:cs="Times New Roman"/>
        </w:rPr>
        <w:t>Moderated Regression Analysis</w:t>
      </w:r>
      <w:r>
        <w:rPr>
          <w:b/>
          <w:i w:val="0"/>
          <w:sz w:val="24"/>
          <w:color w:val="000000"/>
          <w:rFonts w:ascii="Times New Roman" w:hAnsi="Times New Roman" w:cs="Times New Roman"/>
        </w:rPr>
        <w:t xml:space="preserve"> (MRA) Berbasis </w:t>
      </w:r>
      <w:r>
        <w:rPr>
          <w:b/>
          <w:i/>
          <w:sz w:val="24"/>
          <w:color w:val="000000"/>
          <w:rFonts w:ascii="Times New Roman" w:hAnsi="Times New Roman" w:cs="Times New Roman"/>
        </w:rPr>
        <w:t>Ordinary Least Squares</w:t>
      </w:r>
      <w:r>
        <w:rPr>
          <w:b/>
          <w:i w:val="0"/>
          <w:sz w:val="24"/>
          <w:color w:val="000000"/>
          <w:rFonts w:ascii="Times New Roman" w:hAnsi="Times New Roman" w:cs="Times New Roman"/>
        </w:rPr>
        <w:t xml:space="preserve"> (OLS):</w:t>
      </w:r>
      <w:r>
        <w:rPr>
          <w:b w:val="0"/>
          <w:i w:val="0"/>
          <w:sz w:val="24"/>
          <w:color w:val="000000"/>
          <w:rFonts w:ascii="Times New Roman" w:hAnsi="Times New Roman" w:cs="Times New Roman"/>
        </w:rPr>
        <w:t xml:space="preserve"> Merupakan metode klasik dan baku yang dirancang khusus untuk menguji apakah kekuatan atau arah hubungan antara variabel independen dan dependen dipengaruhi oleh variabel pemoderasi kuantitatif (Aiken and West, 1991; Hayes, 2018; Ghozali, 2018).</w:t>
      </w:r>
    </w:p>
    <w:p>
      <w:pPr>
        <w:spacing w:line="360" w:lineRule="auto" w:before="0" w:after="0"/>
        <w:ind w:firstLine="709"/>
        <w:jc w:val="both"/>
      </w:pPr>
      <w:r>
        <w:rPr>
          <w:b w:val="0"/>
          <w:i w:val="0"/>
          <w:sz w:val="24"/>
          <w:color w:val="000000"/>
          <w:rFonts w:ascii="Times New Roman" w:hAnsi="Times New Roman" w:cs="Times New Roman"/>
        </w:rPr>
        <w:t xml:space="preserve">Penelitian ini menetapkan bahwa </w:t>
      </w:r>
      <w:r>
        <w:rPr>
          <w:b/>
          <w:i w:val="0"/>
          <w:sz w:val="24"/>
          <w:color w:val="000000"/>
          <w:rFonts w:ascii="Times New Roman" w:hAnsi="Times New Roman" w:cs="Times New Roman"/>
        </w:rPr>
        <w:t>MRA berbasis OLS berbantuan IBM SPSS Statistics</w:t>
      </w:r>
      <w:r>
        <w:rPr>
          <w:b w:val="0"/>
          <w:i w:val="0"/>
          <w:sz w:val="24"/>
          <w:color w:val="000000"/>
          <w:rFonts w:ascii="Times New Roman" w:hAnsi="Times New Roman" w:cs="Times New Roman"/>
        </w:rPr>
        <w:t xml:space="preserve"> adalah metode yang </w:t>
      </w:r>
      <w:r>
        <w:rPr>
          <w:b/>
          <w:i w:val="0"/>
          <w:sz w:val="24"/>
          <w:color w:val="000000"/>
          <w:rFonts w:ascii="Times New Roman" w:hAnsi="Times New Roman" w:cs="Times New Roman"/>
        </w:rPr>
        <w:t>paling cocok (</w:t>
      </w:r>
      <w:r>
        <w:rPr>
          <w:b/>
          <w:i/>
          <w:sz w:val="24"/>
          <w:color w:val="000000"/>
          <w:rFonts w:ascii="Times New Roman" w:hAnsi="Times New Roman" w:cs="Times New Roman"/>
        </w:rPr>
        <w:t>the most suitable</w:t>
      </w:r>
      <w:r>
        <w:rPr>
          <w:b/>
          <w:i w:val="0"/>
          <w:sz w:val="24"/>
          <w:color w:val="000000"/>
          <w:rFonts w:ascii="Times New Roman" w:hAnsi="Times New Roman" w:cs="Times New Roman"/>
        </w:rPr>
        <w:t>)</w:t>
      </w:r>
      <w:r>
        <w:rPr>
          <w:b w:val="0"/>
          <w:i w:val="0"/>
          <w:sz w:val="24"/>
          <w:color w:val="000000"/>
          <w:rFonts w:ascii="Times New Roman" w:hAnsi="Times New Roman" w:cs="Times New Roman"/>
        </w:rPr>
        <w:t>, dengan pertimbangan metodologis sebagai berikut: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Seluruh variabel penelitian diukur menggunakan skala komposit teruji dengan indikator-indikator yang terdefinisi secara terfokus.</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Ukuran sampel penelitian (120–150 responden) berada pada rentang yang sangat ideal dan kokoh untuk OLS, tanpa menimbulkan risiko estimasi berlebih (</w:t>
      </w:r>
      <w:r>
        <w:rPr>
          <w:b w:val="0"/>
          <w:i/>
          <w:sz w:val="24"/>
          <w:color w:val="000000"/>
          <w:rFonts w:ascii="Times New Roman" w:hAnsi="Times New Roman" w:cs="Times New Roman"/>
        </w:rPr>
        <w:t>over-parameterization</w:t>
      </w:r>
      <w:r>
        <w:rPr>
          <w:b w:val="0"/>
          <w:i w:val="0"/>
          <w:sz w:val="24"/>
          <w:color w:val="000000"/>
          <w:rFonts w:ascii="Times New Roman" w:hAnsi="Times New Roman" w:cs="Times New Roman"/>
        </w:rPr>
        <w:t>) yang sering terjadi pada SEM (Hair et al., 2019).</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 xml:space="preserve">Prosedur standarisasi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ᵢ</w:t>
      </w:r>
      <w:r>
        <w:rPr>
          <w:b w:val="0"/>
          <w:i/>
          <w:sz w:val="24"/>
          <w:color w:val="000000"/>
          <w:rFonts w:ascii="Times New Roman" w:hAnsi="Times New Roman" w:cs="Times New Roman"/>
        </w:rPr>
        <w:t xml:space="preserve">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 </w:t>
      </w:r>
      <w:r>
        <w:rPr>
          <w:b w:val="0"/>
          <w:i w:val="0"/>
          <w:sz w:val="24"/>
          <w:color w:val="000000"/>
          <w:rFonts w:ascii="Times New Roman" w:hAnsi="Times New Roman" w:cs="Times New Roman"/>
        </w:rPr>
        <w:t>X̄</w:t>
      </w:r>
      <w:r>
        <w:rPr>
          <w:b w:val="0"/>
          <w:i/>
          <w:sz w:val="24"/>
          <w:color w:val="000000"/>
          <w:rFonts w:ascii="Times New Roman" w:hAnsi="Times New Roman" w:cs="Times New Roman"/>
        </w:rPr>
        <w:t xml:space="preserve">ᵢ; </w:t>
      </w:r>
      <w:r>
        <w:rPr>
          <w:b w:val="0"/>
          <w:i w:val="0"/>
          <w:sz w:val="24"/>
          <w:color w:val="000000"/>
          <w:rFonts w:ascii="Times New Roman" w:hAnsi="Times New Roman" w:cs="Times New Roman"/>
        </w:rPr>
        <w:t>M</w:t>
      </w:r>
      <w:r>
        <w:rPr>
          <w:b w:val="0"/>
          <w:i/>
          <w:sz w:val="24"/>
          <w:color w:val="000000"/>
          <w:rFonts w:ascii="Times New Roman" w:hAnsi="Times New Roman" w:cs="Times New Roman"/>
        </w:rPr>
        <w:t>\</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 </w:t>
      </w:r>
      <w:r>
        <w:rPr>
          <w:b w:val="0"/>
          <w:i/>
          <w:sz w:val="24"/>
          <w:color w:val="000000"/>
          <w:rFonts w:ascii="Times New Roman" w:hAnsi="Times New Roman" w:cs="Times New Roman"/>
        </w:rPr>
        <w:t>M̄</w:t>
      </w:r>
      <w:r>
        <w:rPr>
          <w:b w:val="0"/>
          <w:i w:val="0"/>
          <w:sz w:val="24"/>
          <w:color w:val="000000"/>
          <w:rFonts w:ascii="Times New Roman" w:hAnsi="Times New Roman" w:cs="Times New Roman"/>
        </w:rPr>
        <w:t>) yang diterapkan terbukti efektif secara matematis menghilangkan multikolinearitas struktural antar-istilah interaksi (Aiken and West, 1991; Ghozali, 2018).</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Metode ini telah terbukti secara luas dan diadopsi oleh banyak penelitian bereputasi dalam menguji moderasi kontrol diri terhadap perilaku pembelian impulsif (Sultan et al., 2012; Apidana and Kholifah, 2022; Lienardy and Panasea, 2024; Artadita and Firmialy, 2024).</w:t>
      </w:r>
    </w:p>
    <w:p>
      <w:pPr>
        <w:spacing w:line="360" w:lineRule="auto" w:before="0" w:after="0"/>
        <w:ind w:firstLine="709"/>
        <w:jc w:val="both"/>
      </w:pPr>
      <w:r>
        <w:rPr>
          <w:b w:val="0"/>
          <w:i w:val="0"/>
          <w:sz w:val="24"/>
          <w:color w:val="000000"/>
          <w:rFonts w:ascii="Times New Roman" w:hAnsi="Times New Roman" w:cs="Times New Roman"/>
        </w:rPr>
        <w:t>Tahapan analisis data secara sistematis dilaksanakan sebagai berikut:</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3.5.2 Uji Kualitas Data (Validitas dan Reliabilitas)</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Validitas Butir:</w:t>
      </w:r>
      <w:r>
        <w:rPr>
          <w:b w:val="0"/>
          <w:i w:val="0"/>
          <w:sz w:val="24"/>
          <w:color w:val="000000"/>
          <w:rFonts w:ascii="Times New Roman" w:hAnsi="Times New Roman" w:cs="Times New Roman"/>
        </w:rPr>
        <w:t xml:space="preserve"> Menggunakan teknik korelasi </w:t>
      </w:r>
      <w:r>
        <w:rPr>
          <w:b w:val="0"/>
          <w:i/>
          <w:sz w:val="24"/>
          <w:color w:val="000000"/>
          <w:rFonts w:ascii="Times New Roman" w:hAnsi="Times New Roman" w:cs="Times New Roman"/>
        </w:rPr>
        <w:t>Pearson Product Moment</w:t>
      </w:r>
      <w:r>
        <w:rPr>
          <w:b w:val="0"/>
          <w:i w:val="0"/>
          <w:sz w:val="24"/>
          <w:color w:val="000000"/>
          <w:rFonts w:ascii="Times New Roman" w:hAnsi="Times New Roman" w:cs="Times New Roman"/>
        </w:rPr>
        <w:t xml:space="preserve">. Suatu butir pernyataan kuesioner dinyatakan valid jika nilai </w:t>
      </w:r>
      <w:r>
        <w:rPr>
          <w:b w:val="0"/>
          <w:i/>
          <w:sz w:val="24"/>
          <w:color w:val="000000"/>
          <w:rFonts w:ascii="Times New Roman" w:hAnsi="Times New Roman" w:cs="Times New Roman"/>
        </w:rPr>
        <w:t>r</w:t>
      </w:r>
      <w:r>
        <w:rPr>
          <w:b w:val="0"/>
          <w:i w:val="0"/>
          <w:sz w:val="24"/>
          <w:color w:val="000000"/>
          <w:rFonts w:ascii="Times New Roman" w:hAnsi="Times New Roman" w:cs="Times New Roman"/>
        </w:rPr>
        <w:t xml:space="preserve">_{hitung} &gt; </w:t>
      </w:r>
      <w:r>
        <w:rPr>
          <w:b w:val="0"/>
          <w:i/>
          <w:sz w:val="24"/>
          <w:color w:val="000000"/>
          <w:rFonts w:ascii="Times New Roman" w:hAnsi="Times New Roman" w:cs="Times New Roman"/>
        </w:rPr>
        <w:t>r</w:t>
      </w:r>
      <w:r>
        <w:rPr>
          <w:b w:val="0"/>
          <w:i w:val="0"/>
          <w:sz w:val="24"/>
          <w:color w:val="000000"/>
          <w:rFonts w:ascii="Times New Roman" w:hAnsi="Times New Roman" w:cs="Times New Roman"/>
        </w:rPr>
        <w:t>_{tabel} pada tingkat signifikansi α = 0,05 untuk uji dua sisi.</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Reliabilitas Konsistensi Internal:</w:t>
      </w:r>
      <w:r>
        <w:rPr>
          <w:b w:val="0"/>
          <w:i w:val="0"/>
          <w:sz w:val="24"/>
          <w:color w:val="000000"/>
          <w:rFonts w:ascii="Times New Roman" w:hAnsi="Times New Roman" w:cs="Times New Roman"/>
        </w:rPr>
        <w:t xml:space="preserve"> Menggunakan koefisien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Instrumen penelitian dinyatakan reliabel jika nilai </w:t>
      </w:r>
      <w:r>
        <w:rPr>
          <w:b w:val="0"/>
          <w:i/>
          <w:sz w:val="24"/>
          <w:color w:val="000000"/>
          <w:rFonts w:ascii="Times New Roman" w:hAnsi="Times New Roman" w:cs="Times New Roman"/>
        </w:rPr>
        <w:t>Cronbach's Alpha</w:t>
      </w:r>
      <w:r>
        <w:rPr>
          <w:b w:val="0"/>
          <w:i w:val="0"/>
          <w:sz w:val="24"/>
          <w:color w:val="000000"/>
          <w:rFonts w:ascii="Times New Roman" w:hAnsi="Times New Roman" w:cs="Times New Roman"/>
        </w:rPr>
        <w:t xml:space="preserve"> ≥ 0,60 (Ghozali, 2018; Sekaran and Bougie, 2016).</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3.5.3 Uji Asumsi Klasik</w:t>
      </w:r>
    </w:p>
    <w:p>
      <w:pPr>
        <w:spacing w:line="360" w:lineRule="auto" w:before="0" w:after="0"/>
        <w:ind w:firstLine="709"/>
        <w:jc w:val="both"/>
      </w:pPr>
      <w:r>
        <w:rPr>
          <w:b w:val="0"/>
          <w:i w:val="0"/>
          <w:sz w:val="24"/>
          <w:color w:val="000000"/>
          <w:rFonts w:ascii="Times New Roman" w:hAnsi="Times New Roman" w:cs="Times New Roman"/>
        </w:rPr>
        <w:t>Untuk menjamin bahwa estimator regresi OLS bersifat tidak bias dan efisien (</w:t>
      </w:r>
      <w:r>
        <w:rPr>
          <w:b w:val="0"/>
          <w:i/>
          <w:sz w:val="24"/>
          <w:color w:val="000000"/>
          <w:rFonts w:ascii="Times New Roman" w:hAnsi="Times New Roman" w:cs="Times New Roman"/>
        </w:rPr>
        <w:t>Best Linear Unbiased Estimator</w:t>
      </w:r>
      <w:r>
        <w:rPr>
          <w:b w:val="0"/>
          <w:i w:val="0"/>
          <w:sz w:val="24"/>
          <w:color w:val="000000"/>
          <w:rFonts w:ascii="Times New Roman" w:hAnsi="Times New Roman" w:cs="Times New Roman"/>
        </w:rPr>
        <w:t xml:space="preserve"> / BLUE) pada data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Normalitas Residual:</w:t>
      </w:r>
      <w:r>
        <w:rPr>
          <w:b w:val="0"/>
          <w:i w:val="0"/>
          <w:sz w:val="24"/>
          <w:color w:val="000000"/>
          <w:rFonts w:ascii="Times New Roman" w:hAnsi="Times New Roman" w:cs="Times New Roman"/>
        </w:rPr>
        <w:t xml:space="preserve"> Menguji apakah residual model berdistribusi normal menggunakan uji statistik non-parametrik </w:t>
      </w:r>
      <w:r>
        <w:rPr>
          <w:b w:val="0"/>
          <w:i/>
          <w:sz w:val="24"/>
          <w:color w:val="000000"/>
          <w:rFonts w:ascii="Times New Roman" w:hAnsi="Times New Roman" w:cs="Times New Roman"/>
        </w:rPr>
        <w:t>One-Sample Kolmogorov-Smirnov</w:t>
      </w:r>
      <w:r>
        <w:rPr>
          <w:b w:val="0"/>
          <w:i w:val="0"/>
          <w:sz w:val="24"/>
          <w:color w:val="000000"/>
          <w:rFonts w:ascii="Times New Roman" w:hAnsi="Times New Roman" w:cs="Times New Roman"/>
        </w:rPr>
        <w:t xml:space="preserve">, dengan kriteria residual berdistribusi normal jika nilai signifikansi asimtotik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Multikolinearitas:</w:t>
      </w:r>
      <w:r>
        <w:rPr>
          <w:b w:val="0"/>
          <w:i w:val="0"/>
          <w:sz w:val="24"/>
          <w:color w:val="000000"/>
          <w:rFonts w:ascii="Times New Roman" w:hAnsi="Times New Roman" w:cs="Times New Roman"/>
        </w:rPr>
        <w:t xml:space="preserve"> Memastikan ketiadaan hubungan linear sempurna antarvariabel independen dengan memeriksa nilai </w:t>
      </w:r>
      <w:r>
        <w:rPr>
          <w:b w:val="0"/>
          <w:i/>
          <w:sz w:val="24"/>
          <w:color w:val="000000"/>
          <w:rFonts w:ascii="Times New Roman" w:hAnsi="Times New Roman" w:cs="Times New Roman"/>
        </w:rPr>
        <w:t>Tolerance</w:t>
      </w:r>
      <w:r>
        <w:rPr>
          <w:b w:val="0"/>
          <w:i w:val="0"/>
          <w:sz w:val="24"/>
          <w:color w:val="000000"/>
          <w:rFonts w:ascii="Times New Roman" w:hAnsi="Times New Roman" w:cs="Times New Roman"/>
        </w:rPr>
        <w:t xml:space="preserve"> (&gt; 0,10) dan nilai </w:t>
      </w:r>
      <w:r>
        <w:rPr>
          <w:b w:val="0"/>
          <w:i/>
          <w:sz w:val="24"/>
          <w:color w:val="000000"/>
          <w:rFonts w:ascii="Times New Roman" w:hAnsi="Times New Roman" w:cs="Times New Roman"/>
        </w:rPr>
        <w:t>Variance Inflation Factor</w:t>
      </w:r>
      <w:r>
        <w:rPr>
          <w:b w:val="0"/>
          <w:i w:val="0"/>
          <w:sz w:val="24"/>
          <w:color w:val="000000"/>
          <w:rFonts w:ascii="Times New Roman" w:hAnsi="Times New Roman" w:cs="Times New Roman"/>
        </w:rPr>
        <w:t xml:space="preserve"> (VIF &lt; 10).</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Heteroskedastisitas:</w:t>
      </w:r>
      <w:r>
        <w:rPr>
          <w:b w:val="0"/>
          <w:i w:val="0"/>
          <w:sz w:val="24"/>
          <w:color w:val="000000"/>
          <w:rFonts w:ascii="Times New Roman" w:hAnsi="Times New Roman" w:cs="Times New Roman"/>
        </w:rPr>
        <w:t xml:space="preserve"> Menguji kesamaan varians residual melalui uji Glejser, di mana model dinyatakan bebas heteroskedastisitas apabila nilai signifikansi parameter terhadap nilai absolut residual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&gt; 0,05.</w:t>
      </w:r>
    </w:p>
    <w:p>
      <w:pPr>
        <w:spacing w:line="360" w:lineRule="auto" w:before="0" w:after="0"/>
        <w:ind w:firstLine="709"/>
        <w:jc w:val="both"/>
      </w:pPr>
      <w:r>
        <w:rPr>
          <w:b w:val="0"/>
          <w:i/>
          <w:sz w:val="24"/>
          <w:color w:val="000000"/>
          <w:rFonts w:ascii="Times New Roman" w:hAnsi="Times New Roman" w:cs="Times New Roman"/>
        </w:rPr>
        <w:t>Catatan metodologis:</w:t>
      </w:r>
      <w:r>
        <w:rPr>
          <w:b w:val="0"/>
          <w:i w:val="0"/>
          <w:sz w:val="24"/>
          <w:color w:val="000000"/>
          <w:rFonts w:ascii="Times New Roman" w:hAnsi="Times New Roman" w:cs="Times New Roman"/>
        </w:rPr>
        <w:t xml:space="preserve"> Uji autokorelasi (seperti uji Durbin-Watson) sengaja tidak dilakukan karena pengujian autokorelasi secara teoritis hanya relevan untuk data runtun waktu (</w:t>
      </w:r>
      <w:r>
        <w:rPr>
          <w:b w:val="0"/>
          <w:i/>
          <w:sz w:val="24"/>
          <w:color w:val="000000"/>
          <w:rFonts w:ascii="Times New Roman" w:hAnsi="Times New Roman" w:cs="Times New Roman"/>
        </w:rPr>
        <w:t>time-series</w:t>
      </w:r>
      <w:r>
        <w:rPr>
          <w:b w:val="0"/>
          <w:i w:val="0"/>
          <w:sz w:val="24"/>
          <w:color w:val="000000"/>
          <w:rFonts w:ascii="Times New Roman" w:hAnsi="Times New Roman" w:cs="Times New Roman"/>
        </w:rPr>
        <w:t xml:space="preserve">) atau data panel berurutan, bukan untuk survei </w:t>
      </w:r>
      <w:r>
        <w:rPr>
          <w:b w:val="0"/>
          <w:i/>
          <w:sz w:val="24"/>
          <w:color w:val="000000"/>
          <w:rFonts w:ascii="Times New Roman" w:hAnsi="Times New Roman" w:cs="Times New Roman"/>
        </w:rPr>
        <w:t>cross-sectional</w:t>
      </w:r>
      <w:r>
        <w:rPr>
          <w:b w:val="0"/>
          <w:i w:val="0"/>
          <w:sz w:val="24"/>
          <w:color w:val="000000"/>
          <w:rFonts w:ascii="Times New Roman" w:hAnsi="Times New Roman" w:cs="Times New Roman"/>
        </w:rPr>
        <w:t xml:space="preserve"> primer (Ghozali, 2018).</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3.5.4 Estimasi Regresi Linear Berganda dan MRA</w:t>
      </w:r>
    </w:p>
    <w:p>
      <w:pPr>
        <w:spacing w:line="360" w:lineRule="auto" w:before="0" w:after="0"/>
        <w:ind w:firstLine="709"/>
        <w:jc w:val="both"/>
      </w:pPr>
      <w:r>
        <w:rPr>
          <w:b w:val="0"/>
          <w:i w:val="0"/>
          <w:sz w:val="24"/>
          <w:color w:val="000000"/>
          <w:rFonts w:ascii="Times New Roman" w:hAnsi="Times New Roman" w:cs="Times New Roman"/>
        </w:rPr>
        <w:t>Analisis regresi dilakukan dalam dua tahapan:</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Estimasi Model 1 (Persamaan (3.3)) untuk menguji pengaruh langsung ketiga variabel anteseden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terhadap </w:t>
      </w:r>
      <w:r>
        <w:rPr>
          <w:b w:val="0"/>
          <w:i/>
          <w:sz w:val="24"/>
          <w:color w:val="000000"/>
          <w:rFonts w:ascii="Times New Roman" w:hAnsi="Times New Roman" w:cs="Times New Roman"/>
        </w:rPr>
        <w:t>Y</w:t>
      </w:r>
      <w:r>
        <w:rPr>
          <w:b w:val="0"/>
          <w:i w:val="0"/>
          <w:sz w:val="24"/>
          <w:color w:val="000000"/>
          <w:rFonts w:ascii="Times New Roman" w:hAnsi="Times New Roman" w:cs="Times New Roman"/>
        </w:rPr>
        <w:t>.</w:t>
      </w:r>
    </w:p>
    <w:p>
      <w:pPr>
        <w:spacing w:before="0" w:after="40" w:line="360" w:lineRule="auto"/>
        <w:ind w:left="709" w:hanging="227"/>
        <w:jc w:val="both"/>
      </w:pPr>
      <w:r>
        <w:rPr>
          <w:b/>
          <w:color w:val="000000"/>
          <w:rFonts w:ascii="Times New Roman" w:hAnsi="Times New Roman" w:cs="Times New Roman"/>
        </w:rPr>
        <w:t xml:space="preserve">•  </w:t>
      </w:r>
      <w:r>
        <w:rPr>
          <w:b w:val="0"/>
          <w:i w:val="0"/>
          <w:sz w:val="24"/>
          <w:color w:val="000000"/>
          <w:rFonts w:ascii="Times New Roman" w:hAnsi="Times New Roman" w:cs="Times New Roman"/>
        </w:rPr>
        <w:t>Estimasi Model 2 (Persamaan (3.4)) untuk menguji efek interaksi moderasi kontrol diri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₁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₂ · </w:t>
      </w:r>
      <w:r>
        <w:rPr>
          <w:b w:val="0"/>
          <w:i/>
          <w:sz w:val="24"/>
          <w:color w:val="000000"/>
          <w:rFonts w:ascii="Times New Roman" w:hAnsi="Times New Roman" w:cs="Times New Roman"/>
        </w:rPr>
        <w:t>M</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X</w:t>
      </w:r>
      <w:r>
        <w:rPr>
          <w:b w:val="0"/>
          <w:i w:val="0"/>
          <w:sz w:val="24"/>
          <w:color w:val="000000"/>
          <w:rFonts w:ascii="Times New Roman" w:hAnsi="Times New Roman" w:cs="Times New Roman"/>
        </w:rPr>
        <w:t xml:space="preserve">₃ · </w:t>
      </w:r>
      <w:r>
        <w:rPr>
          <w:b w:val="0"/>
          <w:i/>
          <w:sz w:val="24"/>
          <w:color w:val="000000"/>
          <w:rFonts w:ascii="Times New Roman" w:hAnsi="Times New Roman" w:cs="Times New Roman"/>
        </w:rPr>
        <w:t>M</w:t>
      </w:r>
      <w:r>
        <w:rPr>
          <w:b w:val="0"/>
          <w:i w:val="0"/>
          <w:sz w:val="24"/>
          <w:color w:val="000000"/>
          <w:rFonts w:ascii="Times New Roman" w:hAnsi="Times New Roman" w:cs="Times New Roman"/>
        </w:rPr>
        <w:t>).</w:t>
      </w:r>
    </w:p>
    <w:p>
      <w:pPr>
        <w:spacing w:line="360" w:lineRule="auto" w:before="0" w:after="0"/>
        <w:ind w:firstLine="709"/>
        <w:jc w:val="both"/>
      </w:pPr>
      <w:r>
        <w:rPr>
          <w:b w:val="0"/>
          <w:i w:val="0"/>
          <w:sz w:val="24"/>
          <w:color w:val="000000"/>
          <w:rFonts w:ascii="Times New Roman" w:hAnsi="Times New Roman" w:cs="Times New Roman"/>
        </w:rPr>
        <w:t xml:space="preserve">Sebelum perkalian istilah interaksi dibentuk, variabel prediktor dan pemoderasi distandarisasi menggunakan prosedur </w:t>
      </w:r>
      <w:r>
        <w:rPr>
          <w:b w:val="0"/>
          <w:i/>
          <w:sz w:val="24"/>
          <w:color w:val="000000"/>
          <w:rFonts w:ascii="Times New Roman" w:hAnsi="Times New Roman" w:cs="Times New Roman"/>
        </w:rPr>
        <w:t>mean-centering</w:t>
      </w:r>
      <w:r>
        <w:rPr>
          <w:b w:val="0"/>
          <w:i w:val="0"/>
          <w:sz w:val="24"/>
          <w:color w:val="000000"/>
          <w:rFonts w:ascii="Times New Roman" w:hAnsi="Times New Roman" w:cs="Times New Roman"/>
        </w:rPr>
        <w:t xml:space="preserve"> untuk mengeliminasi kolinearitas struktural (Aiken and West, 1991).</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3.5.5 Uji Koefisien Determinasi (</w:t>
      </w:r>
      <w:r>
        <w:rPr>
          <w:b/>
          <w:i/>
          <w:sz w:val="24"/>
          <w:color w:val="000000"/>
          <w:rFonts w:ascii="Times New Roman" w:hAnsi="Times New Roman" w:cs="Times New Roman"/>
        </w:rPr>
        <w:t>R</w:t>
      </w:r>
      <w:r>
        <w:rPr>
          <w:b/>
          <w:i w:val="0"/>
          <w:sz w:val="24"/>
          <w:color w:val="000000"/>
          <w:rFonts w:ascii="Times New Roman" w:hAnsi="Times New Roman" w:cs="Times New Roman"/>
        </w:rPr>
        <w:t>²)</w:t>
      </w:r>
    </w:p>
    <w:p>
      <w:pPr>
        <w:spacing w:line="360" w:lineRule="auto" w:before="0" w:after="0"/>
        <w:ind w:firstLine="709"/>
        <w:jc w:val="both"/>
      </w:pPr>
      <w:r>
        <w:rPr>
          <w:b w:val="0"/>
          <w:i w:val="0"/>
          <w:sz w:val="24"/>
          <w:color w:val="000000"/>
          <w:rFonts w:ascii="Times New Roman" w:hAnsi="Times New Roman" w:cs="Times New Roman"/>
        </w:rPr>
        <w:t xml:space="preserve">Evaluasi kecocokan model dilakukan dengan memeriksa nilai </w:t>
      </w:r>
      <w:r>
        <w:rPr>
          <w:b w:val="0"/>
          <w:i/>
          <w:sz w:val="24"/>
          <w:color w:val="000000"/>
          <w:rFonts w:ascii="Times New Roman" w:hAnsi="Times New Roman" w:cs="Times New Roman"/>
        </w:rPr>
        <w:t>Adjusted</w:t>
      </w:r>
      <w:r>
        <w:rPr>
          <w:b w:val="0"/>
          <w:i w:val="0"/>
          <w:sz w:val="24"/>
          <w:color w:val="000000"/>
          <w:rFonts w:ascii="Times New Roman" w:hAnsi="Times New Roman" w:cs="Times New Roman"/>
        </w:rPr>
        <w:t xml:space="preserve"> </w:t>
      </w:r>
      <w:r>
        <w:rPr>
          <w:b w:val="0"/>
          <w:i/>
          <w:sz w:val="24"/>
          <w:color w:val="000000"/>
          <w:rFonts w:ascii="Times New Roman" w:hAnsi="Times New Roman" w:cs="Times New Roman"/>
        </w:rPr>
        <w:t>R</w:t>
      </w:r>
      <w:r>
        <w:rPr>
          <w:b w:val="0"/>
          <w:i w:val="0"/>
          <w:sz w:val="24"/>
          <w:color w:val="000000"/>
          <w:rFonts w:ascii="Times New Roman" w:hAnsi="Times New Roman" w:cs="Times New Roman"/>
        </w:rPr>
        <w:t>² pada Model 1 dan Model 2, serta mengamati peningkatan koefisien determinasi (Δ</w:t>
      </w:r>
      <w:r>
        <w:rPr>
          <w:b w:val="0"/>
          <w:i/>
          <w:sz w:val="24"/>
          <w:color w:val="000000"/>
          <w:rFonts w:ascii="Times New Roman" w:hAnsi="Times New Roman" w:cs="Times New Roman"/>
        </w:rPr>
        <w:t>R</w:t>
      </w:r>
      <w:r>
        <w:rPr>
          <w:b w:val="0"/>
          <w:i w:val="0"/>
          <w:sz w:val="24"/>
          <w:color w:val="000000"/>
          <w:rFonts w:ascii="Times New Roman" w:hAnsi="Times New Roman" w:cs="Times New Roman"/>
        </w:rPr>
        <w:t>²) untuk membuktikan kontribusi penjelas tambahan dari variabel interaksi moderasi.</w:t>
      </w:r>
    </w:p>
    <w:p>
      <w:pPr>
        <w:pStyle w:val="Heading3"/>
        <w:keepNext/>
        <w:spacing w:before="120" w:after="60" w:line="360" w:lineRule="auto"/>
        <w:ind w:firstLine="0"/>
        <w:jc w:val="left"/>
        <w:outlineLvl w:val="2"/>
      </w:pPr>
      <w:r>
        <w:rPr>
          <w:b/>
          <w:i w:val="0"/>
          <w:sz w:val="24"/>
          <w:color w:val="000000"/>
          <w:rFonts w:ascii="Times New Roman" w:hAnsi="Times New Roman" w:cs="Times New Roman"/>
        </w:rPr>
        <w:t>3.5.6 Uji Hipotesis (Uji t dan Uji F)</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t (Uji Parsial):</w:t>
      </w:r>
      <w:r>
        <w:rPr>
          <w:b w:val="0"/>
          <w:i w:val="0"/>
          <w:sz w:val="24"/>
          <w:color w:val="000000"/>
          <w:rFonts w:ascii="Times New Roman" w:hAnsi="Times New Roman" w:cs="Times New Roman"/>
        </w:rPr>
        <w:t xml:space="preserve"> Menguji signifikansi pengaruh masing-masing koefisien regresi secara individual terhadap variabel dependen pada taraf α = 0,05. Hipotesis didukung jika nilai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 dan arah koefisien sejalan dengan hipotesis yang diajukan.</w:t>
      </w:r>
    </w:p>
    <w:p>
      <w:pPr>
        <w:spacing w:before="0" w:after="40" w:line="360" w:lineRule="auto"/>
        <w:ind w:left="709" w:hanging="227"/>
        <w:jc w:val="both"/>
      </w:pPr>
      <w:r>
        <w:rPr>
          <w:b/>
          <w:color w:val="000000"/>
          <w:rFonts w:ascii="Times New Roman" w:hAnsi="Times New Roman" w:cs="Times New Roman"/>
        </w:rPr>
        <w:t xml:space="preserve">•  </w:t>
      </w:r>
      <w:r>
        <w:rPr>
          <w:b/>
          <w:i w:val="0"/>
          <w:sz w:val="24"/>
          <w:color w:val="000000"/>
          <w:rFonts w:ascii="Times New Roman" w:hAnsi="Times New Roman" w:cs="Times New Roman"/>
        </w:rPr>
        <w:t>Uji Statistik F (Uji Simultan):</w:t>
      </w:r>
      <w:r>
        <w:rPr>
          <w:b w:val="0"/>
          <w:i w:val="0"/>
          <w:sz w:val="24"/>
          <w:color w:val="000000"/>
          <w:rFonts w:ascii="Times New Roman" w:hAnsi="Times New Roman" w:cs="Times New Roman"/>
        </w:rPr>
        <w:t xml:space="preserve"> Menguji kelayakan model regresi secara keseluruhan pada taraf signifikansi </w:t>
      </w:r>
      <w:r>
        <w:rPr>
          <w:b w:val="0"/>
          <w:i/>
          <w:sz w:val="24"/>
          <w:color w:val="000000"/>
          <w:rFonts w:ascii="Times New Roman" w:hAnsi="Times New Roman" w:cs="Times New Roman"/>
        </w:rPr>
        <w:t>p</w:t>
      </w:r>
      <w:r>
        <w:rPr>
          <w:b w:val="0"/>
          <w:i w:val="0"/>
          <w:sz w:val="24"/>
          <w:color w:val="000000"/>
          <w:rFonts w:ascii="Times New Roman" w:hAnsi="Times New Roman" w:cs="Times New Roman"/>
        </w:rPr>
        <w:t xml:space="preserve"> &lt; 0,05.</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3.6 Diagram Alur Penelitian</w:t>
      </w:r>
    </w:p>
    <w:p>
      <w:pPr>
        <w:spacing w:line="360" w:lineRule="auto" w:before="0" w:after="0"/>
        <w:ind w:firstLine="709"/>
        <w:jc w:val="both"/>
      </w:pPr>
      <w:r>
        <w:rPr>
          <w:b w:val="0"/>
          <w:i w:val="0"/>
          <w:sz w:val="24"/>
          <w:color w:val="000000"/>
          <w:rFonts w:ascii="Times New Roman" w:hAnsi="Times New Roman" w:cs="Times New Roman"/>
        </w:rPr>
        <w:t>Tahapan pelaksanaan penelitian ini dari awal perumusan gagasan hingga penarikan kesimpulan disajikan secara skematis pada Gambar 3.1:</w:t>
      </w:r>
    </w:p>
    <w:p>
      <w:pPr>
        <w:spacing w:before="240" w:after="80"/>
        <w:ind w:firstLine="0"/>
        <w:jc w:val="center"/>
      </w:pPr>
      <w:r>
        <w:drawing>
          <wp:inline xmlns:a="http://schemas.openxmlformats.org/drawingml/2006/main" xmlns:pic="http://schemas.openxmlformats.org/drawingml/2006/picture">
            <wp:extent cx="4680000" cy="4706426"/>
            <wp:docPr id="6" name="Picture 6"/>
            <wp:cNvGraphicFramePr>
              <a:graphicFrameLocks noChangeAspect="1"/>
            </wp:cNvGraphicFramePr>
            <a:graphic>
              <a:graphicData uri="http://schemas.openxmlformats.org/drawingml/2006/picture">
                <pic:pic>
                  <pic:nvPicPr>
                    <pic:cNvPr id="0" name="diagram_alur_penelitian.png"/>
                    <pic:cNvPicPr/>
                  </pic:nvPicPr>
                  <pic:blipFill>
                    <a:blip r:embed="rId19"/>
                    <a:stretch>
                      <a:fillRect/>
                    </a:stretch>
                  </pic:blipFill>
                  <pic:spPr>
                    <a:xfrm>
                      <a:off x="0" y="0"/>
                      <a:ext cx="4680000" cy="4706426"/>
                    </a:xfrm>
                    <a:prstGeom prst="rect"/>
                  </pic:spPr>
                </pic:pic>
              </a:graphicData>
            </a:graphic>
          </wp:inline>
        </w:drawing>
      </w:r>
    </w:p>
    <w:p>
      <w:pPr>
        <w:spacing w:before="40" w:after="40"/>
        <w:ind w:firstLine="0"/>
        <w:jc w:val="center"/>
      </w:pPr>
      <w:r>
        <w:rPr>
          <w:b/>
          <w:color w:val="000000"/>
          <w:rFonts w:ascii="Times New Roman" w:hAnsi="Times New Roman" w:cs="Times New Roman"/>
        </w:rPr>
        <w:t>Gambar 3.1. Diagram Alur Pelaksanaan Penelitian</w:t>
      </w:r>
    </w:p>
    <w:p>
      <w:pPr>
        <w:spacing w:before="0" w:after="240"/>
        <w:ind w:firstLine="0"/>
        <w:jc w:val="center"/>
      </w:pPr>
      <w:r>
        <w:rPr>
          <w:i/>
          <w:sz w:val="20"/>
          <w:color w:val="000000"/>
          <w:rFonts w:ascii="Times New Roman" w:hAnsi="Times New Roman" w:cs="Times New Roman"/>
        </w:rPr>
        <w:t>Sumber: Dikembangkan oleh penulis untuk tahapan operasional penelitian, 2026.</w:t>
      </w:r>
    </w:p>
    <w:p>
      <w:pPr>
        <w:pStyle w:val="Heading2"/>
        <w:keepNext/>
        <w:spacing w:before="240" w:after="120" w:line="360" w:lineRule="auto"/>
        <w:ind w:firstLine="0"/>
        <w:jc w:val="left"/>
        <w:outlineLvl w:val="1"/>
      </w:pPr>
      <w:r>
        <w:rPr>
          <w:b/>
          <w:i w:val="0"/>
          <w:sz w:val="24"/>
          <w:color w:val="000000"/>
          <w:rFonts w:ascii="Times New Roman" w:hAnsi="Times New Roman" w:cs="Times New Roman"/>
        </w:rPr>
        <w:t>3.7 Jadwal Pelaksanaan Penelitian</w:t>
      </w:r>
    </w:p>
    <w:p>
      <w:pPr>
        <w:spacing w:line="360" w:lineRule="auto" w:before="0" w:after="0"/>
        <w:ind w:firstLine="709"/>
        <w:jc w:val="both"/>
      </w:pPr>
      <w:r>
        <w:rPr>
          <w:b w:val="0"/>
          <w:i w:val="0"/>
          <w:sz w:val="24"/>
          <w:color w:val="000000"/>
          <w:rFonts w:ascii="Times New Roman" w:hAnsi="Times New Roman" w:cs="Times New Roman"/>
        </w:rPr>
        <w:t>Jadwal pelaksanaan tahapan kegiatan penelitian direncanakan berlangsung selama 6 (enam) bulan kalender, sebagaimana dirangkum pada Tabel 3.3:</w:t>
      </w:r>
    </w:p>
    <w:p>
      <w:pPr>
        <w:spacing w:before="240" w:after="80"/>
        <w:ind w:firstLine="0"/>
        <w:jc w:val="left"/>
      </w:pPr>
      <w:r>
        <w:rPr>
          <w:b/>
          <w:color w:val="000000"/>
          <w:rFonts w:ascii="Times New Roman" w:hAnsi="Times New Roman" w:cs="Times New Roman"/>
        </w:rPr>
        <w:t>Tabel 3.3. Jadwal Pelaksanaan Kegiatan Penelitian (Tahun 2026)</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none"/>
          <w:insideV w:val="none"/>
        </w:tblBorders>
      </w:tblPr>
      <w:tblGrid>
        <w:gridCol w:w="992"/>
        <w:gridCol w:w="992"/>
        <w:gridCol w:w="992"/>
        <w:gridCol w:w="992"/>
        <w:gridCol w:w="992"/>
        <w:gridCol w:w="992"/>
        <w:gridCol w:w="992"/>
        <w:gridCol w:w="992"/>
      </w:tblGrid>
      <w:tr>
        <w:trPr>
          <w:cantSplit/>
          <w:tblHeader/>
        </w:trPr>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No</w:t>
            </w:r>
          </w:p>
        </w:tc>
        <w:tc>
          <w:tcPr>
            <w:tcW w:type="dxa" w:w="3969"/>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Tahapan Kegiatan Penelitian</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B1</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B2</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B3</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B4</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B5</w:t>
            </w:r>
          </w:p>
        </w:tc>
        <w:tc>
          <w:tcPr>
            <w:tcW w:type="dxa" w:w="567"/>
            <w:tcMar>
              <w:top w:w="80" w:type="dxa"/>
              <w:bottom w:w="80" w:type="dxa"/>
              <w:left w:w="60" w:type="dxa"/>
              <w:right w:w="60" w:type="dxa"/>
            </w:tcMar>
            <w:shd w:fill="F2F2F2"/>
            <w:tcBorders>
              <w:bottom w:val="single" w:sz="6" w:space="0" w:color="000000"/>
            </w:tcBorders>
          </w:tcPr>
          <w:p>
            <w:pPr>
              <w:spacing w:before="0" w:after="0" w:line="276" w:lineRule="auto"/>
              <w:jc w:val="center"/>
            </w:pPr>
            <w:r>
              <w:rPr>
                <w:rFonts w:ascii="Times New Roman" w:hAnsi="Times New Roman"/>
                <w:b/>
                <w:sz w:val="20"/>
                <w:color w:val="000000"/>
              </w:rPr>
              <w:t>B6</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Identifikasi fenomena pasar dan perumusan topik</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2</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Studi kepustakaan dan telaah literatur jurnal</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3</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naskah proposal penelitian (Bab 1–3)</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4</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Bimbingan intensif dan revisi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5</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Pelaksanaan Seminar Proposal Skripsi</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6</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 coba instrumen kuesioner (pilot test n=30)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7</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Pengumpulan data lapangan survei utama (n=120–150)</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8</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Tabulasi data dan pengolahan statistik via SPSS</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9</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Penyusunan laporan Bab 4 (Analisis) dan Bab 5 (Penutup)</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r>
        <w:trPr>
          <w:cantSplit/>
        </w:trPr>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t>10</w:t>
            </w:r>
          </w:p>
        </w:tc>
        <w:tc>
          <w:tcPr>
            <w:tcW w:type="dxa" w:w="3969"/>
            <w:tcMar>
              <w:top w:w="60" w:type="dxa"/>
              <w:bottom w:w="60" w:type="dxa"/>
              <w:left w:w="60" w:type="dxa"/>
              <w:right w:w="60" w:type="dxa"/>
            </w:tcMar>
          </w:tcPr>
          <w:p>
            <w:pPr>
              <w:spacing w:before="0" w:after="0" w:line="276" w:lineRule="auto"/>
              <w:jc w:val="left"/>
            </w:pPr>
            <w:r>
              <w:rPr>
                <w:rFonts w:ascii="Times New Roman" w:hAnsi="Times New Roman"/>
                <w:sz w:val="19"/>
                <w:color w:val="000000"/>
              </w:rPr>
              <w:t>Ujian Sidang Skripsi dan Komprehensif</w:t>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sz w:val="19"/>
                <w:color w:val="000000"/>
              </w:rPr>
            </w:r>
          </w:p>
        </w:tc>
        <w:tc>
          <w:tcPr>
            <w:tcW w:type="dxa" w:w="567"/>
            <w:tcMar>
              <w:top w:w="60" w:type="dxa"/>
              <w:bottom w:w="60" w:type="dxa"/>
              <w:left w:w="60" w:type="dxa"/>
              <w:right w:w="60" w:type="dxa"/>
            </w:tcMar>
          </w:tcPr>
          <w:p>
            <w:pPr>
              <w:spacing w:before="0" w:after="0" w:line="276" w:lineRule="auto"/>
              <w:jc w:val="center"/>
            </w:pPr>
            <w:r>
              <w:rPr>
                <w:rFonts w:ascii="Times New Roman" w:hAnsi="Times New Roman"/>
                <w:b/>
                <w:sz w:val="19"/>
                <w:color w:val="000000"/>
              </w:rPr>
              <w:t>•</w:t>
            </w:r>
          </w:p>
        </w:tc>
      </w:tr>
    </w:tbl>
    <w:p>
      <w:pPr>
        <w:spacing w:before="40" w:after="240"/>
        <w:ind w:firstLine="0"/>
        <w:jc w:val="left"/>
      </w:pPr>
      <w:r>
        <w:rPr>
          <w:i/>
          <w:sz w:val="19"/>
          <w:color w:val="000000"/>
          <w:rFonts w:ascii="Times New Roman" w:hAnsi="Times New Roman" w:cs="Times New Roman"/>
        </w:rPr>
        <w:t>Keterangan: B1 = Bulan ke-1; B2 = Bulan ke-2; B3 = Bulan ke-3; B4 = Bulan ke-4; B5 = Bulan ke-5; B6 = Bulan ke-6 tahun akademik 2026.</w:t>
      </w:r>
    </w:p>
    <w:p>
      <w:r>
        <w:br w:type="page"/>
      </w:r>
    </w:p>
    <w:p>
      <w:pPr>
        <w:pStyle w:val="Heading1"/>
        <w:keepNext/>
        <w:spacing w:before="0" w:after="240" w:line="360" w:lineRule="auto"/>
        <w:ind w:firstLine="0"/>
        <w:jc w:val="center"/>
        <w:outlineLvl w:val="0"/>
      </w:pPr>
      <w:r>
        <w:rPr>
          <w:b/>
          <w:i w:val="0"/>
          <w:sz w:val="24"/>
          <w:color w:val="000000"/>
          <w:rFonts w:ascii="Times New Roman" w:hAnsi="Times New Roman" w:cs="Times New Roman"/>
        </w:rPr>
        <w:t>DAFTAR PUSTAKA</w:t>
      </w:r>
    </w:p>
    <w:p>
      <w:pPr>
        <w:spacing w:line="276" w:lineRule="auto" w:before="0" w:after="120"/>
        <w:ind w:left="709" w:hanging="709"/>
        <w:jc w:val="both"/>
      </w:pPr>
      <w:r>
        <w:rPr>
          <w:b w:val="0"/>
          <w:i w:val="0"/>
          <w:sz w:val="24"/>
          <w:color w:val="000000"/>
          <w:rFonts w:ascii="Times New Roman" w:hAnsi="Times New Roman" w:cs="Times New Roman"/>
        </w:rPr>
        <w:t xml:space="preserve">1. Aiken, L. S. and West, S. G. (1991). </w:t>
      </w:r>
      <w:r>
        <w:rPr>
          <w:b w:val="0"/>
          <w:i/>
          <w:sz w:val="24"/>
          <w:color w:val="000000"/>
          <w:rFonts w:ascii="Times New Roman" w:hAnsi="Times New Roman" w:cs="Times New Roman"/>
        </w:rPr>
        <w:t>Multiple Regression: Testing and Interpreting Interactions</w:t>
      </w:r>
      <w:r>
        <w:rPr>
          <w:b w:val="0"/>
          <w:i w:val="0"/>
          <w:sz w:val="24"/>
          <w:color w:val="000000"/>
          <w:rFonts w:ascii="Times New Roman" w:hAnsi="Times New Roman" w:cs="Times New Roman"/>
        </w:rPr>
        <w:t>. Sage Publications, Newbury Park, CA.</w:t>
      </w:r>
    </w:p>
    <w:p>
      <w:pPr>
        <w:spacing w:line="276" w:lineRule="auto" w:before="0" w:after="120"/>
        <w:ind w:left="709" w:hanging="709"/>
        <w:jc w:val="both"/>
      </w:pPr>
      <w:r>
        <w:rPr>
          <w:b w:val="0"/>
          <w:i w:val="0"/>
          <w:sz w:val="24"/>
          <w:color w:val="000000"/>
          <w:rFonts w:ascii="Times New Roman" w:hAnsi="Times New Roman" w:cs="Times New Roman"/>
        </w:rPr>
        <w:t xml:space="preserve">2. Amos, C., Holmes, G. R., and Keneson, W. C. (2014). A meta-analysis of consumer impulse buying. </w:t>
      </w:r>
      <w:r>
        <w:rPr>
          <w:b w:val="0"/>
          <w:i/>
          <w:sz w:val="24"/>
          <w:color w:val="000000"/>
          <w:rFonts w:ascii="Times New Roman" w:hAnsi="Times New Roman" w:cs="Times New Roman"/>
        </w:rPr>
        <w:t>Journal of Retailing and Consumer Services</w:t>
      </w:r>
      <w:r>
        <w:rPr>
          <w:b w:val="0"/>
          <w:i w:val="0"/>
          <w:sz w:val="24"/>
          <w:color w:val="000000"/>
          <w:rFonts w:ascii="Times New Roman" w:hAnsi="Times New Roman" w:cs="Times New Roman"/>
        </w:rPr>
        <w:t>, 21(2):86–97.</w:t>
      </w:r>
    </w:p>
    <w:p>
      <w:pPr>
        <w:spacing w:line="276" w:lineRule="auto" w:before="0" w:after="120"/>
        <w:ind w:left="709" w:hanging="709"/>
        <w:jc w:val="both"/>
      </w:pPr>
      <w:r>
        <w:rPr>
          <w:b w:val="0"/>
          <w:i w:val="0"/>
          <w:sz w:val="24"/>
          <w:color w:val="000000"/>
          <w:rFonts w:ascii="Times New Roman" w:hAnsi="Times New Roman" w:cs="Times New Roman"/>
        </w:rPr>
        <w:t xml:space="preserve">3. Apidana, Y. H. and Kholifah (2022). Peran self control dalam memoderasi pengaruh hedonic motives dan shopping lifestyle terhadap impulse buying. </w:t>
      </w:r>
      <w:r>
        <w:rPr>
          <w:b w:val="0"/>
          <w:i/>
          <w:sz w:val="24"/>
          <w:color w:val="000000"/>
          <w:rFonts w:ascii="Times New Roman" w:hAnsi="Times New Roman" w:cs="Times New Roman"/>
        </w:rPr>
        <w:t>Journal of Digital Business and Management</w:t>
      </w:r>
      <w:r>
        <w:rPr>
          <w:b w:val="0"/>
          <w:i w:val="0"/>
          <w:sz w:val="24"/>
          <w:color w:val="000000"/>
          <w:rFonts w:ascii="Times New Roman" w:hAnsi="Times New Roman" w:cs="Times New Roman"/>
        </w:rPr>
        <w:t>, 1(1):26–40.</w:t>
      </w:r>
    </w:p>
    <w:p>
      <w:pPr>
        <w:spacing w:line="276" w:lineRule="auto" w:before="0" w:after="120"/>
        <w:ind w:left="709" w:hanging="709"/>
        <w:jc w:val="both"/>
      </w:pPr>
      <w:r>
        <w:rPr>
          <w:b w:val="0"/>
          <w:i w:val="0"/>
          <w:sz w:val="24"/>
          <w:color w:val="000000"/>
          <w:rFonts w:ascii="Times New Roman" w:hAnsi="Times New Roman" w:cs="Times New Roman"/>
        </w:rPr>
        <w:t xml:space="preserve">4. Arnold, M. J. and Reynolds, K. E. (2003). Hedonic shopping motivations.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79(2):77–95.</w:t>
      </w:r>
    </w:p>
    <w:p>
      <w:pPr>
        <w:spacing w:line="276" w:lineRule="auto" w:before="0" w:after="120"/>
        <w:ind w:left="709" w:hanging="709"/>
        <w:jc w:val="both"/>
      </w:pPr>
      <w:r>
        <w:rPr>
          <w:b w:val="0"/>
          <w:i w:val="0"/>
          <w:sz w:val="24"/>
          <w:color w:val="000000"/>
          <w:rFonts w:ascii="Times New Roman" w:hAnsi="Times New Roman" w:cs="Times New Roman"/>
        </w:rPr>
        <w:t xml:space="preserve">5. Artadita, S. and Firmialy, S. D. (2024). How does self-control moderate shopping enjoyment and impulse buying among generation z online gamers? </w:t>
      </w:r>
      <w:r>
        <w:rPr>
          <w:b w:val="0"/>
          <w:i/>
          <w:sz w:val="24"/>
          <w:color w:val="000000"/>
          <w:rFonts w:ascii="Times New Roman" w:hAnsi="Times New Roman" w:cs="Times New Roman"/>
        </w:rPr>
        <w:t>Binus Business Review</w:t>
      </w:r>
      <w:r>
        <w:rPr>
          <w:b w:val="0"/>
          <w:i w:val="0"/>
          <w:sz w:val="24"/>
          <w:color w:val="000000"/>
          <w:rFonts w:ascii="Times New Roman" w:hAnsi="Times New Roman" w:cs="Times New Roman"/>
        </w:rPr>
        <w:t>, 15(2):179–189.</w:t>
      </w:r>
    </w:p>
    <w:p>
      <w:pPr>
        <w:spacing w:line="276" w:lineRule="auto" w:before="0" w:after="120"/>
        <w:ind w:left="709" w:hanging="709"/>
        <w:jc w:val="both"/>
      </w:pPr>
      <w:r>
        <w:rPr>
          <w:b w:val="0"/>
          <w:i w:val="0"/>
          <w:sz w:val="24"/>
          <w:color w:val="000000"/>
          <w:rFonts w:ascii="Times New Roman" w:hAnsi="Times New Roman" w:cs="Times New Roman"/>
        </w:rPr>
        <w:t xml:space="preserve">6. Aryadi, A. and Lingga, M. (2024). Personal traits and motivation impact on collectibles as an alternative investment: A case study of trading card game community in greater jakarta. In </w:t>
      </w:r>
      <w:r>
        <w:rPr>
          <w:b w:val="0"/>
          <w:i/>
          <w:sz w:val="24"/>
          <w:color w:val="000000"/>
          <w:rFonts w:ascii="Times New Roman" w:hAnsi="Times New Roman" w:cs="Times New Roman"/>
        </w:rPr>
        <w:t>Proceedings of the 5th International Conference on Global Innovation and Trends in Economy (INCOGITE 2024)</w:t>
      </w:r>
      <w:r>
        <w:rPr>
          <w:b w:val="0"/>
          <w:i w:val="0"/>
          <w:sz w:val="24"/>
          <w:color w:val="000000"/>
          <w:rFonts w:ascii="Times New Roman" w:hAnsi="Times New Roman" w:cs="Times New Roman"/>
        </w:rPr>
        <w:t xml:space="preserve">, volume 302 of </w:t>
      </w:r>
      <w:r>
        <w:rPr>
          <w:b w:val="0"/>
          <w:i/>
          <w:sz w:val="24"/>
          <w:color w:val="000000"/>
          <w:rFonts w:ascii="Times New Roman" w:hAnsi="Times New Roman" w:cs="Times New Roman"/>
        </w:rPr>
        <w:t>Advances in Economics, Business and Management Research</w:t>
      </w:r>
      <w:r>
        <w:rPr>
          <w:b w:val="0"/>
          <w:i w:val="0"/>
          <w:sz w:val="24"/>
          <w:color w:val="000000"/>
          <w:rFonts w:ascii="Times New Roman" w:hAnsi="Times New Roman" w:cs="Times New Roman"/>
        </w:rPr>
        <w:t>, pages 1–12. Atlantis Press.</w:t>
      </w:r>
    </w:p>
    <w:p>
      <w:pPr>
        <w:spacing w:line="276" w:lineRule="auto" w:before="0" w:after="120"/>
        <w:ind w:left="709" w:hanging="709"/>
        <w:jc w:val="both"/>
      </w:pPr>
      <w:r>
        <w:rPr>
          <w:b w:val="0"/>
          <w:i w:val="0"/>
          <w:sz w:val="24"/>
          <w:color w:val="000000"/>
          <w:rFonts w:ascii="Times New Roman" w:hAnsi="Times New Roman" w:cs="Times New Roman"/>
        </w:rPr>
        <w:t xml:space="preserve">7. Babin, B. J., Darden, W. R., and Griffin, M. (1994). Work and/or fun: Measuring hedonic and utilitarian shopping value.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20(4):644–656.</w:t>
      </w:r>
    </w:p>
    <w:p>
      <w:pPr>
        <w:spacing w:line="276" w:lineRule="auto" w:before="0" w:after="120"/>
        <w:ind w:left="709" w:hanging="709"/>
        <w:jc w:val="both"/>
      </w:pPr>
      <w:r>
        <w:rPr>
          <w:b w:val="0"/>
          <w:i w:val="0"/>
          <w:sz w:val="24"/>
          <w:color w:val="000000"/>
          <w:rFonts w:ascii="Times New Roman" w:hAnsi="Times New Roman" w:cs="Times New Roman"/>
        </w:rPr>
        <w:t xml:space="preserve">8. Barasz, K., John, L. K., Keenan, E. A., and Norton, M. I. (2017). Pseudo-set framing: How framing directs consumer behavior toward completeness.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44(4):737–759.</w:t>
      </w:r>
    </w:p>
    <w:p>
      <w:pPr>
        <w:spacing w:line="276" w:lineRule="auto" w:before="0" w:after="120"/>
        <w:ind w:left="709" w:hanging="709"/>
        <w:jc w:val="both"/>
      </w:pPr>
      <w:r>
        <w:rPr>
          <w:b w:val="0"/>
          <w:i w:val="0"/>
          <w:sz w:val="24"/>
          <w:color w:val="000000"/>
          <w:rFonts w:ascii="Times New Roman" w:hAnsi="Times New Roman" w:cs="Times New Roman"/>
        </w:rPr>
        <w:t xml:space="preserve">9. Barber, B. M. and Odean, T. (2008). All that glitters: The effect of attention and news on the buying behavior of individual and institutional investors. </w:t>
      </w:r>
      <w:r>
        <w:rPr>
          <w:b w:val="0"/>
          <w:i/>
          <w:sz w:val="24"/>
          <w:color w:val="000000"/>
          <w:rFonts w:ascii="Times New Roman" w:hAnsi="Times New Roman" w:cs="Times New Roman"/>
        </w:rPr>
        <w:t>The Review of Financial Studies</w:t>
      </w:r>
      <w:r>
        <w:rPr>
          <w:b w:val="0"/>
          <w:i w:val="0"/>
          <w:sz w:val="24"/>
          <w:color w:val="000000"/>
          <w:rFonts w:ascii="Times New Roman" w:hAnsi="Times New Roman" w:cs="Times New Roman"/>
        </w:rPr>
        <w:t>, 21(2):785–818.</w:t>
      </w:r>
    </w:p>
    <w:p>
      <w:pPr>
        <w:spacing w:line="276" w:lineRule="auto" w:before="0" w:after="120"/>
        <w:ind w:left="709" w:hanging="709"/>
        <w:jc w:val="both"/>
      </w:pPr>
      <w:r>
        <w:rPr>
          <w:b w:val="0"/>
          <w:i w:val="0"/>
          <w:sz w:val="24"/>
          <w:color w:val="000000"/>
          <w:rFonts w:ascii="Times New Roman" w:hAnsi="Times New Roman" w:cs="Times New Roman"/>
        </w:rPr>
        <w:t xml:space="preserve">10. Baumeister, R. F. (2002). Yielding to temptation: Self-control failure, impulsive purchasing, and consumer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28(4):670–676.</w:t>
      </w:r>
    </w:p>
    <w:p>
      <w:pPr>
        <w:spacing w:line="276" w:lineRule="auto" w:before="0" w:after="120"/>
        <w:ind w:left="709" w:hanging="709"/>
        <w:jc w:val="both"/>
      </w:pPr>
      <w:r>
        <w:rPr>
          <w:b w:val="0"/>
          <w:i w:val="0"/>
          <w:sz w:val="24"/>
          <w:color w:val="000000"/>
          <w:rFonts w:ascii="Times New Roman" w:hAnsi="Times New Roman" w:cs="Times New Roman"/>
        </w:rPr>
        <w:t xml:space="preserve">11. Baur, D. G., Dimpfl, T., and Kuck, K. (2018). Bitcoin, gold and the US dollar – a replication and extension. </w:t>
      </w:r>
      <w:r>
        <w:rPr>
          <w:b w:val="0"/>
          <w:i/>
          <w:sz w:val="24"/>
          <w:color w:val="000000"/>
          <w:rFonts w:ascii="Times New Roman" w:hAnsi="Times New Roman" w:cs="Times New Roman"/>
        </w:rPr>
        <w:t>Finance Research Letters</w:t>
      </w:r>
      <w:r>
        <w:rPr>
          <w:b w:val="0"/>
          <w:i w:val="0"/>
          <w:sz w:val="24"/>
          <w:color w:val="000000"/>
          <w:rFonts w:ascii="Times New Roman" w:hAnsi="Times New Roman" w:cs="Times New Roman"/>
        </w:rPr>
        <w:t>, 25:103–110.</w:t>
      </w:r>
    </w:p>
    <w:p>
      <w:pPr>
        <w:spacing w:line="276" w:lineRule="auto" w:before="0" w:after="120"/>
        <w:ind w:left="709" w:hanging="709"/>
        <w:jc w:val="both"/>
      </w:pPr>
      <w:r>
        <w:rPr>
          <w:b w:val="0"/>
          <w:i w:val="0"/>
          <w:sz w:val="24"/>
          <w:color w:val="000000"/>
          <w:rFonts w:ascii="Times New Roman" w:hAnsi="Times New Roman" w:cs="Times New Roman"/>
        </w:rPr>
        <w:t xml:space="preserve">12. Beatty, S. E. and Ferrell, M. E. (1998). Impulse buying: Modeling its precursors. </w:t>
      </w:r>
      <w:r>
        <w:rPr>
          <w:b w:val="0"/>
          <w:i/>
          <w:sz w:val="24"/>
          <w:color w:val="000000"/>
          <w:rFonts w:ascii="Times New Roman" w:hAnsi="Times New Roman" w:cs="Times New Roman"/>
        </w:rPr>
        <w:t>Journal of Retailing</w:t>
      </w:r>
      <w:r>
        <w:rPr>
          <w:b w:val="0"/>
          <w:i w:val="0"/>
          <w:sz w:val="24"/>
          <w:color w:val="000000"/>
          <w:rFonts w:ascii="Times New Roman" w:hAnsi="Times New Roman" w:cs="Times New Roman"/>
        </w:rPr>
        <w:t>, 74(2):169–191.</w:t>
      </w:r>
    </w:p>
    <w:p>
      <w:pPr>
        <w:spacing w:line="276" w:lineRule="auto" w:before="0" w:after="120"/>
        <w:ind w:left="709" w:hanging="709"/>
        <w:jc w:val="both"/>
      </w:pPr>
      <w:r>
        <w:rPr>
          <w:b w:val="0"/>
          <w:i w:val="0"/>
          <w:sz w:val="24"/>
          <w:color w:val="000000"/>
          <w:rFonts w:ascii="Times New Roman" w:hAnsi="Times New Roman" w:cs="Times New Roman"/>
        </w:rPr>
        <w:t xml:space="preserve">13. Belk, R. W. (1995). </w:t>
      </w:r>
      <w:r>
        <w:rPr>
          <w:b w:val="0"/>
          <w:i/>
          <w:sz w:val="24"/>
          <w:color w:val="000000"/>
          <w:rFonts w:ascii="Times New Roman" w:hAnsi="Times New Roman" w:cs="Times New Roman"/>
        </w:rPr>
        <w:t>Collecting in a Consumer Society</w:t>
      </w:r>
      <w:r>
        <w:rPr>
          <w:b w:val="0"/>
          <w:i w:val="0"/>
          <w:sz w:val="24"/>
          <w:color w:val="000000"/>
          <w:rFonts w:ascii="Times New Roman" w:hAnsi="Times New Roman" w:cs="Times New Roman"/>
        </w:rPr>
        <w:t>. Routledge, London.</w:t>
      </w:r>
    </w:p>
    <w:p>
      <w:pPr>
        <w:spacing w:line="276" w:lineRule="auto" w:before="0" w:after="120"/>
        <w:ind w:left="709" w:hanging="709"/>
        <w:jc w:val="both"/>
      </w:pPr>
      <w:r>
        <w:rPr>
          <w:b w:val="0"/>
          <w:i w:val="0"/>
          <w:sz w:val="24"/>
          <w:color w:val="000000"/>
          <w:rFonts w:ascii="Times New Roman" w:hAnsi="Times New Roman" w:cs="Times New Roman"/>
        </w:rPr>
        <w:t xml:space="preserve">14. Cohen, J. (1988). </w:t>
      </w:r>
      <w:r>
        <w:rPr>
          <w:b w:val="0"/>
          <w:i/>
          <w:sz w:val="24"/>
          <w:color w:val="000000"/>
          <w:rFonts w:ascii="Times New Roman" w:hAnsi="Times New Roman" w:cs="Times New Roman"/>
        </w:rPr>
        <w:t>Statistical Power Analysis for the Behavioral Sciences</w:t>
      </w:r>
      <w:r>
        <w:rPr>
          <w:b w:val="0"/>
          <w:i w:val="0"/>
          <w:sz w:val="24"/>
          <w:color w:val="000000"/>
          <w:rFonts w:ascii="Times New Roman" w:hAnsi="Times New Roman" w:cs="Times New Roman"/>
        </w:rPr>
        <w:t>. Lawrence Erlbaum Associates, Hillsdale, NJ, 2 edition.</w:t>
      </w:r>
    </w:p>
    <w:p>
      <w:pPr>
        <w:spacing w:line="276" w:lineRule="auto" w:before="0" w:after="120"/>
        <w:ind w:left="709" w:hanging="709"/>
        <w:jc w:val="both"/>
      </w:pPr>
      <w:r>
        <w:rPr>
          <w:b w:val="0"/>
          <w:i w:val="0"/>
          <w:sz w:val="24"/>
          <w:color w:val="000000"/>
          <w:rFonts w:ascii="Times New Roman" w:hAnsi="Times New Roman" w:cs="Times New Roman"/>
        </w:rPr>
        <w:t xml:space="preserve">15. Colline, F. (2024). Biases in indonesian stock investor behavior. </w:t>
      </w:r>
      <w:r>
        <w:rPr>
          <w:b w:val="0"/>
          <w:i/>
          <w:sz w:val="24"/>
          <w:color w:val="000000"/>
          <w:rFonts w:ascii="Times New Roman" w:hAnsi="Times New Roman" w:cs="Times New Roman"/>
        </w:rPr>
        <w:t>Accounting and Finance Studies</w:t>
      </w:r>
      <w:r>
        <w:rPr>
          <w:b w:val="0"/>
          <w:i w:val="0"/>
          <w:sz w:val="24"/>
          <w:color w:val="000000"/>
          <w:rFonts w:ascii="Times New Roman" w:hAnsi="Times New Roman" w:cs="Times New Roman"/>
        </w:rPr>
        <w:t>, 4(2):88–98.</w:t>
      </w:r>
    </w:p>
    <w:p>
      <w:pPr>
        <w:spacing w:line="276" w:lineRule="auto" w:before="0" w:after="120"/>
        <w:ind w:left="709" w:hanging="709"/>
        <w:jc w:val="both"/>
      </w:pPr>
      <w:r>
        <w:rPr>
          <w:b w:val="0"/>
          <w:i w:val="0"/>
          <w:sz w:val="24"/>
          <w:color w:val="000000"/>
          <w:rFonts w:ascii="Times New Roman" w:hAnsi="Times New Roman" w:cs="Times New Roman"/>
        </w:rPr>
        <w:t xml:space="preserve">16. Dewi, M. M. L. S., Budoyo, V. D., and Mustikasari, F. (2024). Understanding impulse buying behavior: The case of blind box purchases in indonesia. </w:t>
      </w:r>
      <w:r>
        <w:rPr>
          <w:b w:val="0"/>
          <w:i/>
          <w:sz w:val="24"/>
          <w:color w:val="000000"/>
          <w:rFonts w:ascii="Times New Roman" w:hAnsi="Times New Roman" w:cs="Times New Roman"/>
        </w:rPr>
        <w:t>Jurnal Locus: Penelitian dan Pengabdian</w:t>
      </w:r>
      <w:r>
        <w:rPr>
          <w:b w:val="0"/>
          <w:i w:val="0"/>
          <w:sz w:val="24"/>
          <w:color w:val="000000"/>
          <w:rFonts w:ascii="Times New Roman" w:hAnsi="Times New Roman" w:cs="Times New Roman"/>
        </w:rPr>
        <w:t>, 5(2):88–100.</w:t>
      </w:r>
    </w:p>
    <w:p>
      <w:pPr>
        <w:spacing w:line="276" w:lineRule="auto" w:before="0" w:after="120"/>
        <w:ind w:left="709" w:hanging="709"/>
        <w:jc w:val="both"/>
      </w:pPr>
      <w:r>
        <w:rPr>
          <w:b w:val="0"/>
          <w:i w:val="0"/>
          <w:sz w:val="24"/>
          <w:color w:val="000000"/>
          <w:rFonts w:ascii="Times New Roman" w:hAnsi="Times New Roman" w:cs="Times New Roman"/>
        </w:rPr>
        <w:t xml:space="preserve">17. Fama, E. F. (1970). Efficient capital markets: A review of theory and empirical work. </w:t>
      </w:r>
      <w:r>
        <w:rPr>
          <w:b w:val="0"/>
          <w:i/>
          <w:sz w:val="24"/>
          <w:color w:val="000000"/>
          <w:rFonts w:ascii="Times New Roman" w:hAnsi="Times New Roman" w:cs="Times New Roman"/>
        </w:rPr>
        <w:t>The Journal of Finance</w:t>
      </w:r>
      <w:r>
        <w:rPr>
          <w:b w:val="0"/>
          <w:i w:val="0"/>
          <w:sz w:val="24"/>
          <w:color w:val="000000"/>
          <w:rFonts w:ascii="Times New Roman" w:hAnsi="Times New Roman" w:cs="Times New Roman"/>
        </w:rPr>
        <w:t>, 25(2):383–417.</w:t>
      </w:r>
    </w:p>
    <w:p>
      <w:pPr>
        <w:spacing w:line="276" w:lineRule="auto" w:before="0" w:after="120"/>
        <w:ind w:left="709" w:hanging="709"/>
        <w:jc w:val="both"/>
      </w:pPr>
      <w:r>
        <w:rPr>
          <w:b w:val="0"/>
          <w:i w:val="0"/>
          <w:sz w:val="24"/>
          <w:color w:val="000000"/>
          <w:rFonts w:ascii="Times New Roman" w:hAnsi="Times New Roman" w:cs="Times New Roman"/>
        </w:rPr>
        <w:t xml:space="preserve">18. Gao, L., Huang, Y., and Simonson, I. (2014). The ``Completing the set'' effect. </w:t>
      </w:r>
      <w:r>
        <w:rPr>
          <w:b w:val="0"/>
          <w:i/>
          <w:sz w:val="24"/>
          <w:color w:val="000000"/>
          <w:rFonts w:ascii="Times New Roman" w:hAnsi="Times New Roman" w:cs="Times New Roman"/>
        </w:rPr>
        <w:t>Journal of Marketing Research</w:t>
      </w:r>
      <w:r>
        <w:rPr>
          <w:b w:val="0"/>
          <w:i w:val="0"/>
          <w:sz w:val="24"/>
          <w:color w:val="000000"/>
          <w:rFonts w:ascii="Times New Roman" w:hAnsi="Times New Roman" w:cs="Times New Roman"/>
        </w:rPr>
        <w:t>, 51(2):256–273.</w:t>
      </w:r>
    </w:p>
    <w:p>
      <w:pPr>
        <w:spacing w:line="276" w:lineRule="auto" w:before="0" w:after="120"/>
        <w:ind w:left="709" w:hanging="709"/>
        <w:jc w:val="both"/>
      </w:pPr>
      <w:r>
        <w:rPr>
          <w:b w:val="0"/>
          <w:i w:val="0"/>
          <w:sz w:val="24"/>
          <w:color w:val="000000"/>
          <w:rFonts w:ascii="Times New Roman" w:hAnsi="Times New Roman" w:cs="Times New Roman"/>
        </w:rPr>
        <w:t xml:space="preserve">19. Ghozali, I. (2018). </w:t>
      </w:r>
      <w:r>
        <w:rPr>
          <w:b w:val="0"/>
          <w:i/>
          <w:sz w:val="24"/>
          <w:color w:val="000000"/>
          <w:rFonts w:ascii="Times New Roman" w:hAnsi="Times New Roman" w:cs="Times New Roman"/>
        </w:rPr>
        <w:t>Aplikasi Analisis Multivariate dengan Program IBM SPSS 25</w:t>
      </w:r>
      <w:r>
        <w:rPr>
          <w:b w:val="0"/>
          <w:i w:val="0"/>
          <w:sz w:val="24"/>
          <w:color w:val="000000"/>
          <w:rFonts w:ascii="Times New Roman" w:hAnsi="Times New Roman" w:cs="Times New Roman"/>
        </w:rPr>
        <w:t>. Badan Penerbit Universitas Diponegoro, Semarang, 9 edition.</w:t>
      </w:r>
    </w:p>
    <w:p>
      <w:pPr>
        <w:spacing w:line="276" w:lineRule="auto" w:before="0" w:after="120"/>
        <w:ind w:left="709" w:hanging="709"/>
        <w:jc w:val="both"/>
      </w:pPr>
      <w:r>
        <w:rPr>
          <w:b w:val="0"/>
          <w:i w:val="0"/>
          <w:sz w:val="24"/>
          <w:color w:val="000000"/>
          <w:rFonts w:ascii="Times New Roman" w:hAnsi="Times New Roman" w:cs="Times New Roman"/>
        </w:rPr>
        <w:t xml:space="preserve">20. Gong, X., Yee, C. L., Lee, S. Y., Saif, A. N. M., Liu, M., and Anonthi, F. (2024). Unveiling the enigma of blind box impulse buying curiosity: The moderating role of price consciousness. </w:t>
      </w:r>
      <w:r>
        <w:rPr>
          <w:b w:val="0"/>
          <w:i/>
          <w:sz w:val="24"/>
          <w:color w:val="000000"/>
          <w:rFonts w:ascii="Times New Roman" w:hAnsi="Times New Roman" w:cs="Times New Roman"/>
        </w:rPr>
        <w:t>Heliyon</w:t>
      </w:r>
      <w:r>
        <w:rPr>
          <w:b w:val="0"/>
          <w:i w:val="0"/>
          <w:sz w:val="24"/>
          <w:color w:val="000000"/>
          <w:rFonts w:ascii="Times New Roman" w:hAnsi="Times New Roman" w:cs="Times New Roman"/>
        </w:rPr>
        <w:t>, 10(24):e40564.</w:t>
      </w:r>
    </w:p>
    <w:p>
      <w:pPr>
        <w:spacing w:line="276" w:lineRule="auto" w:before="0" w:after="120"/>
        <w:ind w:left="709" w:hanging="709"/>
        <w:jc w:val="both"/>
      </w:pPr>
      <w:r>
        <w:rPr>
          <w:b w:val="0"/>
          <w:i w:val="0"/>
          <w:sz w:val="24"/>
          <w:color w:val="000000"/>
          <w:rFonts w:ascii="Times New Roman" w:hAnsi="Times New Roman" w:cs="Times New Roman"/>
        </w:rPr>
        <w:t xml:space="preserve">21. Green, S. B. (1991). How many subjects does it take to do a regression analysis? </w:t>
      </w:r>
      <w:r>
        <w:rPr>
          <w:b w:val="0"/>
          <w:i/>
          <w:sz w:val="24"/>
          <w:color w:val="000000"/>
          <w:rFonts w:ascii="Times New Roman" w:hAnsi="Times New Roman" w:cs="Times New Roman"/>
        </w:rPr>
        <w:t>Multivariate Behavioral Research</w:t>
      </w:r>
      <w:r>
        <w:rPr>
          <w:b w:val="0"/>
          <w:i w:val="0"/>
          <w:sz w:val="24"/>
          <w:color w:val="000000"/>
          <w:rFonts w:ascii="Times New Roman" w:hAnsi="Times New Roman" w:cs="Times New Roman"/>
        </w:rPr>
        <w:t>, 26(3):499–510.</w:t>
      </w:r>
    </w:p>
    <w:p>
      <w:pPr>
        <w:spacing w:line="276" w:lineRule="auto" w:before="0" w:after="120"/>
        <w:ind w:left="709" w:hanging="709"/>
        <w:jc w:val="both"/>
      </w:pPr>
      <w:r>
        <w:rPr>
          <w:b w:val="0"/>
          <w:i w:val="0"/>
          <w:sz w:val="24"/>
          <w:color w:val="000000"/>
          <w:rFonts w:ascii="Times New Roman" w:hAnsi="Times New Roman" w:cs="Times New Roman"/>
        </w:rPr>
        <w:t xml:space="preserve">22. Gültekin, B. and Özer, L. (2012). The influence of hedonic motives and browsing on impulse buying. </w:t>
      </w:r>
      <w:r>
        <w:rPr>
          <w:b w:val="0"/>
          <w:i/>
          <w:sz w:val="24"/>
          <w:color w:val="000000"/>
          <w:rFonts w:ascii="Times New Roman" w:hAnsi="Times New Roman" w:cs="Times New Roman"/>
        </w:rPr>
        <w:t>Journal of Economics and Behavioral Studies</w:t>
      </w:r>
      <w:r>
        <w:rPr>
          <w:b w:val="0"/>
          <w:i w:val="0"/>
          <w:sz w:val="24"/>
          <w:color w:val="000000"/>
          <w:rFonts w:ascii="Times New Roman" w:hAnsi="Times New Roman" w:cs="Times New Roman"/>
        </w:rPr>
        <w:t>, 4(3):180–189.</w:t>
      </w:r>
    </w:p>
    <w:p>
      <w:pPr>
        <w:spacing w:line="276" w:lineRule="auto" w:before="0" w:after="120"/>
        <w:ind w:left="709" w:hanging="709"/>
        <w:jc w:val="both"/>
      </w:pPr>
      <w:r>
        <w:rPr>
          <w:b w:val="0"/>
          <w:i w:val="0"/>
          <w:sz w:val="24"/>
          <w:color w:val="000000"/>
          <w:rFonts w:ascii="Times New Roman" w:hAnsi="Times New Roman" w:cs="Times New Roman"/>
        </w:rPr>
        <w:t xml:space="preserve">23. Hair, J. F., Black, W. C., Babin, B. J., and Anderson, R. E. (2019). </w:t>
      </w:r>
      <w:r>
        <w:rPr>
          <w:b w:val="0"/>
          <w:i/>
          <w:sz w:val="24"/>
          <w:color w:val="000000"/>
          <w:rFonts w:ascii="Times New Roman" w:hAnsi="Times New Roman" w:cs="Times New Roman"/>
        </w:rPr>
        <w:t>Multivariate Data Analysis</w:t>
      </w:r>
      <w:r>
        <w:rPr>
          <w:b w:val="0"/>
          <w:i w:val="0"/>
          <w:sz w:val="24"/>
          <w:color w:val="000000"/>
          <w:rFonts w:ascii="Times New Roman" w:hAnsi="Times New Roman" w:cs="Times New Roman"/>
        </w:rPr>
        <w:t>. Cengage Learning, Boston, MA, 8th edition.</w:t>
      </w:r>
    </w:p>
    <w:p>
      <w:pPr>
        <w:spacing w:line="276" w:lineRule="auto" w:before="0" w:after="120"/>
        <w:ind w:left="709" w:hanging="709"/>
        <w:jc w:val="both"/>
      </w:pPr>
      <w:r>
        <w:rPr>
          <w:b w:val="0"/>
          <w:i w:val="0"/>
          <w:sz w:val="24"/>
          <w:color w:val="000000"/>
          <w:rFonts w:ascii="Times New Roman" w:hAnsi="Times New Roman" w:cs="Times New Roman"/>
        </w:rPr>
        <w:t xml:space="preserve">24. Hayes, A. F. (2018). </w:t>
      </w:r>
      <w:r>
        <w:rPr>
          <w:b w:val="0"/>
          <w:i/>
          <w:sz w:val="24"/>
          <w:color w:val="000000"/>
          <w:rFonts w:ascii="Times New Roman" w:hAnsi="Times New Roman" w:cs="Times New Roman"/>
        </w:rPr>
        <w:t>Introduction to Mediation, Moderation, and Conditional Process Analysis: A Regression-Based Approach</w:t>
      </w:r>
      <w:r>
        <w:rPr>
          <w:b w:val="0"/>
          <w:i w:val="0"/>
          <w:sz w:val="24"/>
          <w:color w:val="000000"/>
          <w:rFonts w:ascii="Times New Roman" w:hAnsi="Times New Roman" w:cs="Times New Roman"/>
        </w:rPr>
        <w:t>. The Guilford Press, New York, 2nd edition.</w:t>
      </w:r>
    </w:p>
    <w:p>
      <w:pPr>
        <w:spacing w:line="276" w:lineRule="auto" w:before="0" w:after="120"/>
        <w:ind w:left="709" w:hanging="709"/>
        <w:jc w:val="both"/>
      </w:pPr>
      <w:r>
        <w:rPr>
          <w:b w:val="0"/>
          <w:i w:val="0"/>
          <w:sz w:val="24"/>
          <w:color w:val="000000"/>
          <w:rFonts w:ascii="Times New Roman" w:hAnsi="Times New Roman" w:cs="Times New Roman"/>
        </w:rPr>
        <w:t xml:space="preserve">25. Hirschman, E. C. and Holbrook, M. B. (1982). Hedonic consumption: Emerging concepts, methods and propositions.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46(3):92–101.</w:t>
      </w:r>
    </w:p>
    <w:p>
      <w:pPr>
        <w:spacing w:line="276" w:lineRule="auto" w:before="0" w:after="120"/>
        <w:ind w:left="709" w:hanging="709"/>
        <w:jc w:val="both"/>
      </w:pPr>
      <w:r>
        <w:rPr>
          <w:b w:val="0"/>
          <w:i w:val="0"/>
          <w:sz w:val="24"/>
          <w:color w:val="000000"/>
          <w:rFonts w:ascii="Times New Roman" w:hAnsi="Times New Roman" w:cs="Times New Roman"/>
        </w:rPr>
        <w:t xml:space="preserve">26. Kahneman, D. and Tversky, A. (1979). Prospect theory: An analysis of decision under risk. </w:t>
      </w:r>
      <w:r>
        <w:rPr>
          <w:b w:val="0"/>
          <w:i/>
          <w:sz w:val="24"/>
          <w:color w:val="000000"/>
          <w:rFonts w:ascii="Times New Roman" w:hAnsi="Times New Roman" w:cs="Times New Roman"/>
        </w:rPr>
        <w:t>Econometrica</w:t>
      </w:r>
      <w:r>
        <w:rPr>
          <w:b w:val="0"/>
          <w:i w:val="0"/>
          <w:sz w:val="24"/>
          <w:color w:val="000000"/>
          <w:rFonts w:ascii="Times New Roman" w:hAnsi="Times New Roman" w:cs="Times New Roman"/>
        </w:rPr>
        <w:t>, 47(2):263–292.</w:t>
      </w:r>
    </w:p>
    <w:p>
      <w:pPr>
        <w:spacing w:line="276" w:lineRule="auto" w:before="0" w:after="120"/>
        <w:ind w:left="709" w:hanging="709"/>
        <w:jc w:val="both"/>
      </w:pPr>
      <w:r>
        <w:rPr>
          <w:b w:val="0"/>
          <w:i w:val="0"/>
          <w:sz w:val="24"/>
          <w:color w:val="000000"/>
          <w:rFonts w:ascii="Times New Roman" w:hAnsi="Times New Roman" w:cs="Times New Roman"/>
        </w:rPr>
        <w:t xml:space="preserve">27. Katauke, T., Fukuda, S., Khan, M. S. R., and Kadoya, Y. (2023). Financial literacy and impulsivity: Evidence from Japan. </w:t>
      </w:r>
      <w:r>
        <w:rPr>
          <w:b w:val="0"/>
          <w:i/>
          <w:sz w:val="24"/>
          <w:color w:val="000000"/>
          <w:rFonts w:ascii="Times New Roman" w:hAnsi="Times New Roman" w:cs="Times New Roman"/>
        </w:rPr>
        <w:t>Sustainability</w:t>
      </w:r>
      <w:r>
        <w:rPr>
          <w:b w:val="0"/>
          <w:i w:val="0"/>
          <w:sz w:val="24"/>
          <w:color w:val="000000"/>
          <w:rFonts w:ascii="Times New Roman" w:hAnsi="Times New Roman" w:cs="Times New Roman"/>
        </w:rPr>
        <w:t>, 15(9):7267.</w:t>
      </w:r>
    </w:p>
    <w:p>
      <w:pPr>
        <w:spacing w:line="276" w:lineRule="auto" w:before="0" w:after="120"/>
        <w:ind w:left="709" w:hanging="709"/>
        <w:jc w:val="both"/>
      </w:pPr>
      <w:r>
        <w:rPr>
          <w:b w:val="0"/>
          <w:i w:val="0"/>
          <w:sz w:val="24"/>
          <w:color w:val="000000"/>
          <w:rFonts w:ascii="Times New Roman" w:hAnsi="Times New Roman" w:cs="Times New Roman"/>
        </w:rPr>
        <w:t xml:space="preserve">28. Lienardy, G. V. and Panasea, I. G. N. O. (2024). The role of self-control in moderating the influence of shopping lifestyle and hedonistic behavior on impulsive buying. </w:t>
      </w:r>
      <w:r>
        <w:rPr>
          <w:b w:val="0"/>
          <w:i/>
          <w:sz w:val="24"/>
          <w:color w:val="000000"/>
          <w:rFonts w:ascii="Times New Roman" w:hAnsi="Times New Roman" w:cs="Times New Roman"/>
        </w:rPr>
        <w:t>Business and Investment Review</w:t>
      </w:r>
      <w:r>
        <w:rPr>
          <w:b w:val="0"/>
          <w:i w:val="0"/>
          <w:sz w:val="24"/>
          <w:color w:val="000000"/>
          <w:rFonts w:ascii="Times New Roman" w:hAnsi="Times New Roman" w:cs="Times New Roman"/>
        </w:rPr>
        <w:t>, 2(2):13–28.</w:t>
      </w:r>
    </w:p>
    <w:p>
      <w:pPr>
        <w:spacing w:line="276" w:lineRule="auto" w:before="0" w:after="120"/>
        <w:ind w:left="709" w:hanging="709"/>
        <w:jc w:val="both"/>
      </w:pPr>
      <w:r>
        <w:rPr>
          <w:b w:val="0"/>
          <w:i w:val="0"/>
          <w:sz w:val="24"/>
          <w:color w:val="000000"/>
          <w:rFonts w:ascii="Times New Roman" w:hAnsi="Times New Roman" w:cs="Times New Roman"/>
        </w:rPr>
        <w:t xml:space="preserve">29. Long, M. M. and Schiffman, L. G. (2000). Consumption values and relationships: segmenting the market for collectibles.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17(3):214–229.</w:t>
      </w:r>
    </w:p>
    <w:p>
      <w:pPr>
        <w:spacing w:line="276" w:lineRule="auto" w:before="0" w:after="120"/>
        <w:ind w:left="709" w:hanging="709"/>
        <w:jc w:val="both"/>
      </w:pPr>
      <w:r>
        <w:rPr>
          <w:b w:val="0"/>
          <w:i w:val="0"/>
          <w:sz w:val="24"/>
          <w:color w:val="000000"/>
          <w:rFonts w:ascii="Times New Roman" w:hAnsi="Times New Roman" w:cs="Times New Roman"/>
        </w:rPr>
        <w:t xml:space="preserve">30. Mehrabian, A. and Russell, J. A. (1974). </w:t>
      </w:r>
      <w:r>
        <w:rPr>
          <w:b w:val="0"/>
          <w:i/>
          <w:sz w:val="24"/>
          <w:color w:val="000000"/>
          <w:rFonts w:ascii="Times New Roman" w:hAnsi="Times New Roman" w:cs="Times New Roman"/>
        </w:rPr>
        <w:t>An Approach to Environmental Psychology</w:t>
      </w:r>
      <w:r>
        <w:rPr>
          <w:b w:val="0"/>
          <w:i w:val="0"/>
          <w:sz w:val="24"/>
          <w:color w:val="000000"/>
          <w:rFonts w:ascii="Times New Roman" w:hAnsi="Times New Roman" w:cs="Times New Roman"/>
        </w:rPr>
        <w:t>. MIT Press, Cambridge, MA.</w:t>
      </w:r>
    </w:p>
    <w:p>
      <w:pPr>
        <w:spacing w:line="276" w:lineRule="auto" w:before="0" w:after="120"/>
        <w:ind w:left="709" w:hanging="709"/>
        <w:jc w:val="both"/>
      </w:pPr>
      <w:r>
        <w:rPr>
          <w:b w:val="0"/>
          <w:i w:val="0"/>
          <w:sz w:val="24"/>
          <w:color w:val="000000"/>
          <w:rFonts w:ascii="Times New Roman" w:hAnsi="Times New Roman" w:cs="Times New Roman"/>
        </w:rPr>
        <w:t xml:space="preserve">31. Peck, J. and Childers, T. L. (2006). If i touch it i have to have it: Individual and environmental influences on impulse purchasing. </w:t>
      </w:r>
      <w:r>
        <w:rPr>
          <w:b w:val="0"/>
          <w:i/>
          <w:sz w:val="24"/>
          <w:color w:val="000000"/>
          <w:rFonts w:ascii="Times New Roman" w:hAnsi="Times New Roman" w:cs="Times New Roman"/>
        </w:rPr>
        <w:t>Journal of Business Research</w:t>
      </w:r>
      <w:r>
        <w:rPr>
          <w:b w:val="0"/>
          <w:i w:val="0"/>
          <w:sz w:val="24"/>
          <w:color w:val="000000"/>
          <w:rFonts w:ascii="Times New Roman" w:hAnsi="Times New Roman" w:cs="Times New Roman"/>
        </w:rPr>
        <w:t>, 59(6):765–769.</w:t>
      </w:r>
    </w:p>
    <w:p>
      <w:pPr>
        <w:spacing w:line="276" w:lineRule="auto" w:before="0" w:after="120"/>
        <w:ind w:left="709" w:hanging="709"/>
        <w:jc w:val="both"/>
      </w:pPr>
      <w:r>
        <w:rPr>
          <w:b w:val="0"/>
          <w:i w:val="0"/>
          <w:sz w:val="24"/>
          <w:color w:val="000000"/>
          <w:rFonts w:ascii="Times New Roman" w:hAnsi="Times New Roman" w:cs="Times New Roman"/>
        </w:rPr>
        <w:t xml:space="preserve">32. Pranggabayu, B. and Andjarwati, A. L. (2022). Pengaruh hedonic shopping motivation dan store atmosphere terhadap impulsive buying. </w:t>
      </w:r>
      <w:r>
        <w:rPr>
          <w:b w:val="0"/>
          <w:i/>
          <w:sz w:val="24"/>
          <w:color w:val="000000"/>
          <w:rFonts w:ascii="Times New Roman" w:hAnsi="Times New Roman" w:cs="Times New Roman"/>
        </w:rPr>
        <w:t>Sibatik Journal</w:t>
      </w:r>
      <w:r>
        <w:rPr>
          <w:b w:val="0"/>
          <w:i w:val="0"/>
          <w:sz w:val="24"/>
          <w:color w:val="000000"/>
          <w:rFonts w:ascii="Times New Roman" w:hAnsi="Times New Roman" w:cs="Times New Roman"/>
        </w:rPr>
        <w:t>, 1(6):951–966.</w:t>
      </w:r>
    </w:p>
    <w:p>
      <w:pPr>
        <w:spacing w:line="276" w:lineRule="auto" w:before="0" w:after="120"/>
        <w:ind w:left="709" w:hanging="709"/>
        <w:jc w:val="both"/>
      </w:pPr>
      <w:r>
        <w:rPr>
          <w:b w:val="0"/>
          <w:i w:val="0"/>
          <w:sz w:val="24"/>
          <w:color w:val="000000"/>
          <w:rFonts w:ascii="Times New Roman" w:hAnsi="Times New Roman" w:cs="Times New Roman"/>
        </w:rPr>
        <w:t xml:space="preserve">33. Prasetio, A. et al. (2021). The role of hedonic motivation in impulsive buying on e-commerce platforms. </w:t>
      </w:r>
      <w:r>
        <w:rPr>
          <w:b w:val="0"/>
          <w:i/>
          <w:sz w:val="24"/>
          <w:color w:val="000000"/>
          <w:rFonts w:ascii="Times New Roman" w:hAnsi="Times New Roman" w:cs="Times New Roman"/>
        </w:rPr>
        <w:t>International Journal of Data and Network Science</w:t>
      </w:r>
      <w:r>
        <w:rPr>
          <w:b w:val="0"/>
          <w:i w:val="0"/>
          <w:sz w:val="24"/>
          <w:color w:val="000000"/>
          <w:rFonts w:ascii="Times New Roman" w:hAnsi="Times New Roman" w:cs="Times New Roman"/>
        </w:rPr>
        <w:t>, 5(4):689–698.</w:t>
      </w:r>
    </w:p>
    <w:p>
      <w:pPr>
        <w:spacing w:line="276" w:lineRule="auto" w:before="0" w:after="120"/>
        <w:ind w:left="709" w:hanging="709"/>
        <w:jc w:val="both"/>
      </w:pPr>
      <w:r>
        <w:rPr>
          <w:b w:val="0"/>
          <w:i w:val="0"/>
          <w:sz w:val="24"/>
          <w:color w:val="000000"/>
          <w:rFonts w:ascii="Times New Roman" w:hAnsi="Times New Roman" w:cs="Times New Roman"/>
        </w:rPr>
        <w:t xml:space="preserve">34. Rook, D. W. (1987). The buying impulse.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14(2):189–199.</w:t>
      </w:r>
    </w:p>
    <w:p>
      <w:pPr>
        <w:spacing w:line="276" w:lineRule="auto" w:before="0" w:after="120"/>
        <w:ind w:left="709" w:hanging="709"/>
        <w:jc w:val="both"/>
      </w:pPr>
      <w:r>
        <w:rPr>
          <w:b w:val="0"/>
          <w:i w:val="0"/>
          <w:sz w:val="24"/>
          <w:color w:val="000000"/>
          <w:rFonts w:ascii="Times New Roman" w:hAnsi="Times New Roman" w:cs="Times New Roman"/>
        </w:rPr>
        <w:t xml:space="preserve">35. Rook, D. W. and Fisher, R. J. (1995). Normative influences on impulsive buying behavior.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22(3):305–313.</w:t>
      </w:r>
    </w:p>
    <w:p>
      <w:pPr>
        <w:spacing w:line="276" w:lineRule="auto" w:before="0" w:after="120"/>
        <w:ind w:left="709" w:hanging="709"/>
        <w:jc w:val="both"/>
      </w:pPr>
      <w:r>
        <w:rPr>
          <w:b w:val="0"/>
          <w:i w:val="0"/>
          <w:sz w:val="24"/>
          <w:color w:val="000000"/>
          <w:rFonts w:ascii="Times New Roman" w:hAnsi="Times New Roman" w:cs="Times New Roman"/>
        </w:rPr>
        <w:t xml:space="preserve">36. Sekaran, U. and Bougie, R. (2016). </w:t>
      </w:r>
      <w:r>
        <w:rPr>
          <w:b w:val="0"/>
          <w:i/>
          <w:sz w:val="24"/>
          <w:color w:val="000000"/>
          <w:rFonts w:ascii="Times New Roman" w:hAnsi="Times New Roman" w:cs="Times New Roman"/>
        </w:rPr>
        <w:t>Research Methods for Business: A Skill-Building Approach</w:t>
      </w:r>
      <w:r>
        <w:rPr>
          <w:b w:val="0"/>
          <w:i w:val="0"/>
          <w:sz w:val="24"/>
          <w:color w:val="000000"/>
          <w:rFonts w:ascii="Times New Roman" w:hAnsi="Times New Roman" w:cs="Times New Roman"/>
        </w:rPr>
        <w:t>. John Wiley &amp; Sons, Chichester, West Sussex, 7th edition.</w:t>
      </w:r>
    </w:p>
    <w:p>
      <w:pPr>
        <w:spacing w:line="276" w:lineRule="auto" w:before="0" w:after="120"/>
        <w:ind w:left="709" w:hanging="709"/>
        <w:jc w:val="both"/>
      </w:pPr>
      <w:r>
        <w:rPr>
          <w:b w:val="0"/>
          <w:i w:val="0"/>
          <w:sz w:val="24"/>
          <w:color w:val="000000"/>
          <w:rFonts w:ascii="Times New Roman" w:hAnsi="Times New Roman" w:cs="Times New Roman"/>
        </w:rPr>
        <w:t xml:space="preserve">37. Shiller, R. J. (2000). </w:t>
      </w:r>
      <w:r>
        <w:rPr>
          <w:b w:val="0"/>
          <w:i/>
          <w:sz w:val="24"/>
          <w:color w:val="000000"/>
          <w:rFonts w:ascii="Times New Roman" w:hAnsi="Times New Roman" w:cs="Times New Roman"/>
        </w:rPr>
        <w:t>Irrational Exuberance</w:t>
      </w:r>
      <w:r>
        <w:rPr>
          <w:b w:val="0"/>
          <w:i w:val="0"/>
          <w:sz w:val="24"/>
          <w:color w:val="000000"/>
          <w:rFonts w:ascii="Times New Roman" w:hAnsi="Times New Roman" w:cs="Times New Roman"/>
        </w:rPr>
        <w:t>. Princeton University Press, Princeton, NJ.</w:t>
      </w:r>
    </w:p>
    <w:p>
      <w:pPr>
        <w:spacing w:line="276" w:lineRule="auto" w:before="0" w:after="120"/>
        <w:ind w:left="709" w:hanging="709"/>
        <w:jc w:val="both"/>
      </w:pPr>
      <w:r>
        <w:rPr>
          <w:b w:val="0"/>
          <w:i w:val="0"/>
          <w:sz w:val="24"/>
          <w:color w:val="000000"/>
          <w:rFonts w:ascii="Times New Roman" w:hAnsi="Times New Roman" w:cs="Times New Roman"/>
        </w:rPr>
        <w:t xml:space="preserve">38. Simon, H. A. (1955). A behavioral model of rational choice. </w:t>
      </w:r>
      <w:r>
        <w:rPr>
          <w:b w:val="0"/>
          <w:i/>
          <w:sz w:val="24"/>
          <w:color w:val="000000"/>
          <w:rFonts w:ascii="Times New Roman" w:hAnsi="Times New Roman" w:cs="Times New Roman"/>
        </w:rPr>
        <w:t>The Quarterly Journal of Economics</w:t>
      </w:r>
      <w:r>
        <w:rPr>
          <w:b w:val="0"/>
          <w:i w:val="0"/>
          <w:sz w:val="24"/>
          <w:color w:val="000000"/>
          <w:rFonts w:ascii="Times New Roman" w:hAnsi="Times New Roman" w:cs="Times New Roman"/>
        </w:rPr>
        <w:t>, 69(1):99–118.</w:t>
      </w:r>
    </w:p>
    <w:p>
      <w:pPr>
        <w:spacing w:line="276" w:lineRule="auto" w:before="0" w:after="120"/>
        <w:ind w:left="709" w:hanging="709"/>
        <w:jc w:val="both"/>
      </w:pPr>
      <w:r>
        <w:rPr>
          <w:b w:val="0"/>
          <w:i w:val="0"/>
          <w:sz w:val="24"/>
          <w:color w:val="000000"/>
          <w:rFonts w:ascii="Times New Roman" w:hAnsi="Times New Roman" w:cs="Times New Roman"/>
        </w:rPr>
        <w:t xml:space="preserve">39. Spero, I. and Stone, M. (2004). Agents of change: how young consumers are changing the world of marketing. </w:t>
      </w:r>
      <w:r>
        <w:rPr>
          <w:b w:val="0"/>
          <w:i/>
          <w:sz w:val="24"/>
          <w:color w:val="000000"/>
          <w:rFonts w:ascii="Times New Roman" w:hAnsi="Times New Roman" w:cs="Times New Roman"/>
        </w:rPr>
        <w:t>Qualitative Market Research: An International Journal</w:t>
      </w:r>
      <w:r>
        <w:rPr>
          <w:b w:val="0"/>
          <w:i w:val="0"/>
          <w:sz w:val="24"/>
          <w:color w:val="000000"/>
          <w:rFonts w:ascii="Times New Roman" w:hAnsi="Times New Roman" w:cs="Times New Roman"/>
        </w:rPr>
        <w:t>, 7(2):153–159.</w:t>
      </w:r>
    </w:p>
    <w:p>
      <w:pPr>
        <w:spacing w:line="276" w:lineRule="auto" w:before="0" w:after="120"/>
        <w:ind w:left="709" w:hanging="709"/>
        <w:jc w:val="both"/>
      </w:pPr>
      <w:r>
        <w:rPr>
          <w:b w:val="0"/>
          <w:i w:val="0"/>
          <w:sz w:val="24"/>
          <w:color w:val="000000"/>
          <w:rFonts w:ascii="Times New Roman" w:hAnsi="Times New Roman" w:cs="Times New Roman"/>
        </w:rPr>
        <w:t xml:space="preserve">40. Stern, H. (1962). The significance of impulse buying today. </w:t>
      </w:r>
      <w:r>
        <w:rPr>
          <w:b w:val="0"/>
          <w:i/>
          <w:sz w:val="24"/>
          <w:color w:val="000000"/>
          <w:rFonts w:ascii="Times New Roman" w:hAnsi="Times New Roman" w:cs="Times New Roman"/>
        </w:rPr>
        <w:t>Journal of Marketing</w:t>
      </w:r>
      <w:r>
        <w:rPr>
          <w:b w:val="0"/>
          <w:i w:val="0"/>
          <w:sz w:val="24"/>
          <w:color w:val="000000"/>
          <w:rFonts w:ascii="Times New Roman" w:hAnsi="Times New Roman" w:cs="Times New Roman"/>
        </w:rPr>
        <w:t>, 26(2):59–62.</w:t>
      </w:r>
    </w:p>
    <w:p>
      <w:pPr>
        <w:spacing w:line="276" w:lineRule="auto" w:before="0" w:after="120"/>
        <w:ind w:left="709" w:hanging="709"/>
        <w:jc w:val="both"/>
      </w:pPr>
      <w:r>
        <w:rPr>
          <w:b w:val="0"/>
          <w:i w:val="0"/>
          <w:sz w:val="24"/>
          <w:color w:val="000000"/>
          <w:rFonts w:ascii="Times New Roman" w:hAnsi="Times New Roman" w:cs="Times New Roman"/>
        </w:rPr>
        <w:t xml:space="preserve">41. Sugiyono (2019). </w:t>
      </w:r>
      <w:r>
        <w:rPr>
          <w:b w:val="0"/>
          <w:i/>
          <w:sz w:val="24"/>
          <w:color w:val="000000"/>
          <w:rFonts w:ascii="Times New Roman" w:hAnsi="Times New Roman" w:cs="Times New Roman"/>
        </w:rPr>
        <w:t>Metode Penelitian Kuantitatif, Kualitatif, dan R&amp;D</w:t>
      </w:r>
      <w:r>
        <w:rPr>
          <w:b w:val="0"/>
          <w:i w:val="0"/>
          <w:sz w:val="24"/>
          <w:color w:val="000000"/>
          <w:rFonts w:ascii="Times New Roman" w:hAnsi="Times New Roman" w:cs="Times New Roman"/>
        </w:rPr>
        <w:t>. Alfabeta, Bandung.</w:t>
      </w:r>
    </w:p>
    <w:p>
      <w:pPr>
        <w:spacing w:line="276" w:lineRule="auto" w:before="0" w:after="120"/>
        <w:ind w:left="709" w:hanging="709"/>
        <w:jc w:val="both"/>
      </w:pPr>
      <w:r>
        <w:rPr>
          <w:b w:val="0"/>
          <w:i w:val="0"/>
          <w:sz w:val="24"/>
          <w:color w:val="000000"/>
          <w:rFonts w:ascii="Times New Roman" w:hAnsi="Times New Roman" w:cs="Times New Roman"/>
        </w:rPr>
        <w:t xml:space="preserve">42. Sultan, A. J., Joireman, J., and Sprott, D. E. (2012). Building consumers' impulsive buying model: The moderating role of self-control. </w:t>
      </w:r>
      <w:r>
        <w:rPr>
          <w:b w:val="0"/>
          <w:i/>
          <w:sz w:val="24"/>
          <w:color w:val="000000"/>
          <w:rFonts w:ascii="Times New Roman" w:hAnsi="Times New Roman" w:cs="Times New Roman"/>
        </w:rPr>
        <w:t>Journal of Consumer Marketing</w:t>
      </w:r>
      <w:r>
        <w:rPr>
          <w:b w:val="0"/>
          <w:i w:val="0"/>
          <w:sz w:val="24"/>
          <w:color w:val="000000"/>
          <w:rFonts w:ascii="Times New Roman" w:hAnsi="Times New Roman" w:cs="Times New Roman"/>
        </w:rPr>
        <w:t>, 29(1):61–73.</w:t>
      </w:r>
    </w:p>
    <w:p>
      <w:pPr>
        <w:spacing w:line="276" w:lineRule="auto" w:before="0" w:after="120"/>
        <w:ind w:left="709" w:hanging="709"/>
        <w:jc w:val="both"/>
      </w:pPr>
      <w:r>
        <w:rPr>
          <w:b w:val="0"/>
          <w:i w:val="0"/>
          <w:sz w:val="24"/>
          <w:color w:val="000000"/>
          <w:rFonts w:ascii="Times New Roman" w:hAnsi="Times New Roman" w:cs="Times New Roman"/>
        </w:rPr>
        <w:t xml:space="preserve">43. Tan, D. A. and Adyantari, A. (2024). Ketidakpastian blind box dan perilaku pembelian impulsif: Peran nilai fungsional, emosional, dan sosial. </w:t>
      </w:r>
      <w:r>
        <w:rPr>
          <w:b w:val="0"/>
          <w:i/>
          <w:sz w:val="24"/>
          <w:color w:val="000000"/>
          <w:rFonts w:ascii="Times New Roman" w:hAnsi="Times New Roman" w:cs="Times New Roman"/>
        </w:rPr>
        <w:t>Bisma: Jurnal Bisnis dan Manajemen</w:t>
      </w:r>
      <w:r>
        <w:rPr>
          <w:b w:val="0"/>
          <w:i w:val="0"/>
          <w:sz w:val="24"/>
          <w:color w:val="000000"/>
          <w:rFonts w:ascii="Times New Roman" w:hAnsi="Times New Roman" w:cs="Times New Roman"/>
        </w:rPr>
        <w:t>, 18(2):145–158.</w:t>
      </w:r>
    </w:p>
    <w:p>
      <w:pPr>
        <w:spacing w:line="276" w:lineRule="auto" w:before="0" w:after="120"/>
        <w:ind w:left="709" w:hanging="709"/>
        <w:jc w:val="both"/>
      </w:pPr>
      <w:r>
        <w:rPr>
          <w:b w:val="0"/>
          <w:i w:val="0"/>
          <w:sz w:val="24"/>
          <w:color w:val="000000"/>
          <w:rFonts w:ascii="Times New Roman" w:hAnsi="Times New Roman" w:cs="Times New Roman"/>
        </w:rPr>
        <w:t xml:space="preserve">44. Tangney, J. P., Baumeister, R. F., and Boone, A. L. (2004). High self-control predicts good adjustment, less pathology, better grades, and interpersonal success. </w:t>
      </w:r>
      <w:r>
        <w:rPr>
          <w:b w:val="0"/>
          <w:i/>
          <w:sz w:val="24"/>
          <w:color w:val="000000"/>
          <w:rFonts w:ascii="Times New Roman" w:hAnsi="Times New Roman" w:cs="Times New Roman"/>
        </w:rPr>
        <w:t>Journal of Personality</w:t>
      </w:r>
      <w:r>
        <w:rPr>
          <w:b w:val="0"/>
          <w:i w:val="0"/>
          <w:sz w:val="24"/>
          <w:color w:val="000000"/>
          <w:rFonts w:ascii="Times New Roman" w:hAnsi="Times New Roman" w:cs="Times New Roman"/>
        </w:rPr>
        <w:t>, 72(2):271–324.</w:t>
      </w:r>
    </w:p>
    <w:p>
      <w:pPr>
        <w:spacing w:line="276" w:lineRule="auto" w:before="0" w:after="120"/>
        <w:ind w:left="709" w:hanging="709"/>
        <w:jc w:val="both"/>
      </w:pPr>
      <w:r>
        <w:rPr>
          <w:b w:val="0"/>
          <w:i w:val="0"/>
          <w:sz w:val="24"/>
          <w:color w:val="000000"/>
          <w:rFonts w:ascii="Times New Roman" w:hAnsi="Times New Roman" w:cs="Times New Roman"/>
        </w:rPr>
        <w:t xml:space="preserve">45. Thaler, R. (1985). Mental accounting and consumer choice. </w:t>
      </w:r>
      <w:r>
        <w:rPr>
          <w:b w:val="0"/>
          <w:i/>
          <w:sz w:val="24"/>
          <w:color w:val="000000"/>
          <w:rFonts w:ascii="Times New Roman" w:hAnsi="Times New Roman" w:cs="Times New Roman"/>
        </w:rPr>
        <w:t>Marketing Science</w:t>
      </w:r>
      <w:r>
        <w:rPr>
          <w:b w:val="0"/>
          <w:i w:val="0"/>
          <w:sz w:val="24"/>
          <w:color w:val="000000"/>
          <w:rFonts w:ascii="Times New Roman" w:hAnsi="Times New Roman" w:cs="Times New Roman"/>
        </w:rPr>
        <w:t>, 4(3):199–214.</w:t>
      </w:r>
    </w:p>
    <w:p>
      <w:pPr>
        <w:spacing w:line="276" w:lineRule="auto" w:before="0" w:after="120"/>
        <w:ind w:left="709" w:hanging="709"/>
        <w:jc w:val="both"/>
      </w:pPr>
      <w:r>
        <w:rPr>
          <w:b w:val="0"/>
          <w:i w:val="0"/>
          <w:sz w:val="24"/>
          <w:color w:val="000000"/>
          <w:rFonts w:ascii="Times New Roman" w:hAnsi="Times New Roman" w:cs="Times New Roman"/>
        </w:rPr>
        <w:t xml:space="preserve">46. Thaler, R. H. and Shefrin, H. M. (1981). An economic theory of self-control. </w:t>
      </w:r>
      <w:r>
        <w:rPr>
          <w:b w:val="0"/>
          <w:i/>
          <w:sz w:val="24"/>
          <w:color w:val="000000"/>
          <w:rFonts w:ascii="Times New Roman" w:hAnsi="Times New Roman" w:cs="Times New Roman"/>
        </w:rPr>
        <w:t>Journal of Political Economy</w:t>
      </w:r>
      <w:r>
        <w:rPr>
          <w:b w:val="0"/>
          <w:i w:val="0"/>
          <w:sz w:val="24"/>
          <w:color w:val="000000"/>
          <w:rFonts w:ascii="Times New Roman" w:hAnsi="Times New Roman" w:cs="Times New Roman"/>
        </w:rPr>
        <w:t>, 89(2):392–406.</w:t>
      </w:r>
    </w:p>
    <w:p>
      <w:pPr>
        <w:spacing w:line="276" w:lineRule="auto" w:before="0" w:after="120"/>
        <w:ind w:left="709" w:hanging="709"/>
        <w:jc w:val="both"/>
      </w:pPr>
      <w:r>
        <w:rPr>
          <w:b w:val="0"/>
          <w:i w:val="0"/>
          <w:sz w:val="24"/>
          <w:color w:val="000000"/>
          <w:rFonts w:ascii="Times New Roman" w:hAnsi="Times New Roman" w:cs="Times New Roman"/>
        </w:rPr>
        <w:t xml:space="preserve">47. Verplanken, B. and Herabadi, A. (2001). Individual differences in impulse buying tendency: Feeling and no thinking. </w:t>
      </w:r>
      <w:r>
        <w:rPr>
          <w:b w:val="0"/>
          <w:i/>
          <w:sz w:val="24"/>
          <w:color w:val="000000"/>
          <w:rFonts w:ascii="Times New Roman" w:hAnsi="Times New Roman" w:cs="Times New Roman"/>
        </w:rPr>
        <w:t>European Journal of Personality</w:t>
      </w:r>
      <w:r>
        <w:rPr>
          <w:b w:val="0"/>
          <w:i w:val="0"/>
          <w:sz w:val="24"/>
          <w:color w:val="000000"/>
          <w:rFonts w:ascii="Times New Roman" w:hAnsi="Times New Roman" w:cs="Times New Roman"/>
        </w:rPr>
        <w:t>, 15(S1):S71–S83.</w:t>
      </w:r>
    </w:p>
    <w:p>
      <w:pPr>
        <w:spacing w:line="276" w:lineRule="auto" w:before="0" w:after="120"/>
        <w:ind w:left="709" w:hanging="709"/>
        <w:jc w:val="both"/>
      </w:pPr>
      <w:r>
        <w:rPr>
          <w:b w:val="0"/>
          <w:i w:val="0"/>
          <w:sz w:val="24"/>
          <w:color w:val="000000"/>
          <w:rFonts w:ascii="Times New Roman" w:hAnsi="Times New Roman" w:cs="Times New Roman"/>
        </w:rPr>
        <w:t xml:space="preserve">48. Vohs, K. D. and Faber, R. J. (2007). Spent resources: Self-regulatory resource depletion and impulsive buying. </w:t>
      </w:r>
      <w:r>
        <w:rPr>
          <w:b w:val="0"/>
          <w:i/>
          <w:sz w:val="24"/>
          <w:color w:val="000000"/>
          <w:rFonts w:ascii="Times New Roman" w:hAnsi="Times New Roman" w:cs="Times New Roman"/>
        </w:rPr>
        <w:t>Journal of Consumer Research</w:t>
      </w:r>
      <w:r>
        <w:rPr>
          <w:b w:val="0"/>
          <w:i w:val="0"/>
          <w:sz w:val="24"/>
          <w:color w:val="000000"/>
          <w:rFonts w:ascii="Times New Roman" w:hAnsi="Times New Roman" w:cs="Times New Roman"/>
        </w:rPr>
        <w:t>, 33(4):537–547.</w:t>
      </w:r>
    </w:p>
    <w:p>
      <w:pPr>
        <w:spacing w:line="276" w:lineRule="auto" w:before="0" w:after="120"/>
        <w:ind w:left="709" w:hanging="709"/>
        <w:jc w:val="both"/>
      </w:pPr>
      <w:r>
        <w:rPr>
          <w:b w:val="0"/>
          <w:i w:val="0"/>
          <w:sz w:val="24"/>
          <w:color w:val="000000"/>
          <w:rFonts w:ascii="Times New Roman" w:hAnsi="Times New Roman" w:cs="Times New Roman"/>
        </w:rPr>
        <w:t xml:space="preserve">49. Zeigarnik, B. (1927). Ueber das Behalten von erledigten und unerledigten Handlungen. </w:t>
      </w:r>
      <w:r>
        <w:rPr>
          <w:b w:val="0"/>
          <w:i/>
          <w:sz w:val="24"/>
          <w:color w:val="000000"/>
          <w:rFonts w:ascii="Times New Roman" w:hAnsi="Times New Roman" w:cs="Times New Roman"/>
        </w:rPr>
        <w:t>Psychologische Forschung</w:t>
      </w:r>
      <w:r>
        <w:rPr>
          <w:b w:val="0"/>
          <w:i w:val="0"/>
          <w:sz w:val="24"/>
          <w:color w:val="000000"/>
          <w:rFonts w:ascii="Times New Roman" w:hAnsi="Times New Roman" w:cs="Times New Roman"/>
        </w:rPr>
        <w:t>, 9:1–85.</w:t>
      </w:r>
    </w:p>
    <w:p>
      <w:pPr>
        <w:spacing w:line="276" w:lineRule="auto" w:before="0" w:after="120"/>
        <w:ind w:left="709" w:hanging="709"/>
        <w:jc w:val="both"/>
      </w:pPr>
      <w:r>
        <w:rPr>
          <w:b w:val="0"/>
          <w:i w:val="0"/>
          <w:sz w:val="24"/>
          <w:color w:val="000000"/>
          <w:rFonts w:ascii="Times New Roman" w:hAnsi="Times New Roman" w:cs="Times New Roman"/>
        </w:rPr>
        <w:t xml:space="preserve">50. Zheng, X., Men, J., Yang, F., and Gong, X. (2019). Understanding impulse buying in mobile commerce: An investigation in baidu. </w:t>
      </w:r>
      <w:r>
        <w:rPr>
          <w:b w:val="0"/>
          <w:i/>
          <w:sz w:val="24"/>
          <w:color w:val="000000"/>
          <w:rFonts w:ascii="Times New Roman" w:hAnsi="Times New Roman" w:cs="Times New Roman"/>
        </w:rPr>
        <w:t>Information &amp; Management</w:t>
      </w:r>
      <w:r>
        <w:rPr>
          <w:b w:val="0"/>
          <w:i w:val="0"/>
          <w:sz w:val="24"/>
          <w:color w:val="000000"/>
          <w:rFonts w:ascii="Times New Roman" w:hAnsi="Times New Roman" w:cs="Times New Roman"/>
        </w:rPr>
        <w:t>, 56(8):103148.</w:t>
      </w:r>
    </w:p>
    <w:sectPr w:rsidR="00FC693F" w:rsidRPr="0006063C" w:rsidSect="00034616">
      <w:headerReference w:type="default" r:id="rId13"/>
      <w:footerReference w:type="default" r:id="rId14"/>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ii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Times New Roman" w:hAnsi="Times New Roman"/>
        <w:b/>
        <w:color w:val="000000"/>
        <w:sz w:val="20"/>
      </w:rPr>
      <w:t xml:space="preserve">Universitas Kristen Krida Wacana | </w:t>
    </w:r>
    <w:fldSimple w:instr="PAGE">
      <w:r>
        <w:rPr>
          <w:rFonts w:ascii="Times New Roman" w:hAnsi="Times New Roman" w:cs="Times New Roman"/>
          <w:b/>
          <w:bCs/>
          <w:sz w:val="20"/>
          <w:szCs w:val="20"/>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line="276" w:lineRule="auto" w:before="0" w:after="40"/>
      <w:ind w:left="0" w:firstLine="0" w:right="0"/>
      <w:tabs>
        <w:tab w:val="right" w:leader="dot" w:pos="7938"/>
      </w:tabs>
    </w:pPr>
    <w:rPr>
      <w:rFonts w:ascii="Times New Roman" w:hAnsi="Times New Roman"/>
      <w:b/>
      <w:sz w:val="22"/>
      <w:color w:val="000000"/>
    </w:rPr>
  </w:style>
  <w:style w:type="paragraph" w:customStyle="1" w:styleId="TOC2">
    <w:name w:val="TOC 2"/>
    <w:pPr>
      <w:spacing w:line="276" w:lineRule="auto" w:before="0" w:after="40"/>
      <w:ind w:left="340" w:firstLine="0" w:right="0"/>
      <w:tabs>
        <w:tab w:val="right" w:leader="dot" w:pos="7938"/>
      </w:tabs>
    </w:pPr>
    <w:rPr>
      <w:rFonts w:ascii="Times New Roman" w:hAnsi="Times New Roman"/>
      <w:b w:val="0"/>
      <w:sz w:val="22"/>
      <w:color w:val="000000"/>
    </w:rPr>
  </w:style>
  <w:style w:type="paragraph" w:customStyle="1" w:styleId="TOC3">
    <w:name w:val="TOC 3"/>
    <w:pPr>
      <w:spacing w:line="276" w:lineRule="auto" w:before="0" w:after="40"/>
      <w:ind w:left="680" w:firstLine="0" w:right="0"/>
      <w:tabs>
        <w:tab w:val="right" w:leader="dot" w:pos="7938"/>
      </w:tabs>
    </w:pPr>
    <w:rPr>
      <w:rFonts w:ascii="Times New Roman" w:hAnsi="Times New Roman"/>
      <w:b w:val="0"/>
      <w:sz w:val="21"/>
      <w:color w:val="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