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ind w:firstLine="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krida_pentagram.png"/>
                    <pic:cNvPicPr/>
                  </pic:nvPicPr>
                  <pic:blipFill>
                    <a:blip r:embed="rId10"/>
                    <a:stretch>
                      <a:fillRect/>
                    </a:stretch>
                  </pic:blipFill>
                  <pic:spPr>
                    <a:xfrm>
                      <a:off x="0" y="0"/>
                      <a:ext cx="1152000" cy="1152000"/>
                    </a:xfrm>
                    <a:prstGeom prst="rect"/>
                  </pic:spPr>
                </pic:pic>
              </a:graphicData>
            </a:graphic>
          </wp:inline>
        </w:drawing>
      </w:r>
    </w:p>
    <w:p>
      <w:pPr>
        <w:spacing w:before="120" w:after="360"/>
        <w:jc w:val="center"/>
      </w:pPr>
      <w:r>
        <w:rPr>
          <w:b/>
          <w:sz w:val="28"/>
          <w:color w:val="000000"/>
          <w:rFonts w:ascii="Times New Roman" w:hAnsi="Times New Roman" w:cs="Times New Roman"/>
        </w:rPr>
        <w:t>PROPOSAL SKRIPSI</w:t>
      </w:r>
    </w:p>
    <w:p>
      <w:pPr>
        <w:spacing w:before="240" w:after="480" w:line="276" w:lineRule="auto"/>
        <w:jc w:val="center"/>
      </w:pPr>
      <w:r>
        <w:rPr>
          <w:b/>
          <w:i w:val="0"/>
          <w:sz w:val="28"/>
          <w:color w:val="000000"/>
          <w:rFonts w:ascii="Times New Roman" w:hAnsi="Times New Roman" w:cs="Times New Roman"/>
        </w:rPr>
        <w:t xml:space="preserve">PENGARUH </w:t>
      </w:r>
      <w:r>
        <w:rPr>
          <w:b/>
          <w:i/>
          <w:sz w:val="28"/>
          <w:color w:val="000000"/>
          <w:rFonts w:ascii="Times New Roman" w:hAnsi="Times New Roman" w:cs="Times New Roman"/>
        </w:rPr>
        <w:t>HEDONIC MOTIVATION</w:t>
      </w:r>
      <w:r>
        <w:rPr>
          <w:b/>
          <w:i w:val="0"/>
          <w:sz w:val="28"/>
          <w:color w:val="000000"/>
          <w:rFonts w:ascii="Times New Roman" w:hAnsi="Times New Roman" w:cs="Times New Roman"/>
        </w:rPr>
        <w:t xml:space="preserve">, </w:t>
      </w:r>
      <w:r>
        <w:rPr>
          <w:b/>
          <w:i/>
          <w:sz w:val="28"/>
          <w:color w:val="000000"/>
          <w:rFonts w:ascii="Times New Roman" w:hAnsi="Times New Roman" w:cs="Times New Roman"/>
        </w:rPr>
        <w:t>DESIRE FOR COMPLETENESS</w:t>
      </w:r>
      <w:r>
        <w:rPr>
          <w:b/>
          <w:i w:val="0"/>
          <w:sz w:val="28"/>
          <w:color w:val="000000"/>
          <w:rFonts w:ascii="Times New Roman" w:hAnsi="Times New Roman" w:cs="Times New Roman"/>
        </w:rPr>
        <w:t xml:space="preserve">, DAN </w:t>
      </w:r>
      <w:r>
        <w:rPr>
          <w:b/>
          <w:i/>
          <w:sz w:val="28"/>
          <w:color w:val="000000"/>
          <w:rFonts w:ascii="Times New Roman" w:hAnsi="Times New Roman" w:cs="Times New Roman"/>
        </w:rPr>
        <w:t>SPECULATIVE MOTIVE</w:t>
      </w:r>
      <w:r>
        <w:rPr>
          <w:b/>
          <w:i w:val="0"/>
          <w:sz w:val="28"/>
          <w:color w:val="000000"/>
          <w:rFonts w:ascii="Times New Roman" w:hAnsi="Times New Roman" w:cs="Times New Roman"/>
        </w:rPr>
        <w:t xml:space="preserve"> TERHADAP </w:t>
      </w:r>
      <w:r>
        <w:rPr>
          <w:b/>
          <w:i/>
          <w:sz w:val="28"/>
          <w:color w:val="000000"/>
          <w:rFonts w:ascii="Times New Roman" w:hAnsi="Times New Roman" w:cs="Times New Roman"/>
        </w:rPr>
        <w:t>IMPULSIVE BUYING</w:t>
      </w:r>
      <w:r>
        <w:rPr>
          <w:b/>
          <w:i w:val="0"/>
          <w:sz w:val="28"/>
          <w:color w:val="000000"/>
          <w:rFonts w:ascii="Times New Roman" w:hAnsi="Times New Roman" w:cs="Times New Roman"/>
        </w:rPr>
        <w:t xml:space="preserve"> BOOSTER PACK KARTU POKÉMON TCG DENGAN </w:t>
      </w:r>
      <w:r>
        <w:rPr>
          <w:b/>
          <w:i/>
          <w:sz w:val="28"/>
          <w:color w:val="000000"/>
          <w:rFonts w:ascii="Times New Roman" w:hAnsi="Times New Roman" w:cs="Times New Roman"/>
        </w:rPr>
        <w:t>SELF-CONTROL</w:t>
      </w:r>
      <w:r>
        <w:rPr>
          <w:b/>
          <w:i w:val="0"/>
          <w:sz w:val="28"/>
          <w:color w:val="000000"/>
          <w:rFonts w:ascii="Times New Roman" w:hAnsi="Times New Roman" w:cs="Times New Roman"/>
        </w:rPr>
        <w:t xml:space="preserve"> SEBAGAI VARIABEL MODERASI</w:t>
      </w:r>
    </w:p>
    <w:p>
      <w:pPr>
        <w:spacing w:before="360" w:after="480" w:line="276" w:lineRule="auto"/>
        <w:jc w:val="center"/>
      </w:pPr>
      <w:r>
        <w:rPr>
          <w:sz w:val="24"/>
          <w:color w:val="000000"/>
          <w:rFonts w:ascii="Times New Roman" w:hAnsi="Times New Roman" w:cs="Times New Roman"/>
        </w:rPr>
        <w:t>Diajukan Kepada Program Studi S1 Manajemen</w:t>
        <w:br/>
        <w:t>Untuk Menyusun Skripsi Sarjana Manajemen (S.M.)</w:t>
      </w:r>
    </w:p>
    <w:p>
      <w:pPr>
        <w:spacing w:before="480" w:after="720" w:line="276" w:lineRule="auto"/>
        <w:jc w:val="center"/>
      </w:pPr>
      <w:r>
        <w:rPr>
          <w:sz w:val="24"/>
          <w:color w:val="000000"/>
          <w:rFonts w:ascii="Times New Roman" w:hAnsi="Times New Roman" w:cs="Times New Roman"/>
        </w:rPr>
        <w:t>Diajukan Oleh:</w:t>
        <w:br/>
        <w:br/>
      </w:r>
      <w:r>
        <w:rPr>
          <w:b/>
          <w:sz w:val="24"/>
          <w:color w:val="000000"/>
          <w:rFonts w:ascii="Times New Roman" w:hAnsi="Times New Roman" w:cs="Times New Roman"/>
        </w:rPr>
        <w:t>Arthur Reezan</w:t>
        <w:br/>
        <w:t>(312023002)</w:t>
      </w:r>
    </w:p>
    <w:p>
      <w:pPr>
        <w:spacing w:before="960" w:after="0" w:line="276" w:lineRule="auto"/>
        <w:jc w:val="center"/>
      </w:pPr>
      <w:r>
        <w:rPr>
          <w:b/>
          <w:sz w:val="24"/>
          <w:color w:val="000000"/>
          <w:rFonts w:ascii="Times New Roman" w:hAnsi="Times New Roman" w:cs="Times New Roman"/>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b/>
          <w:i w:val="0"/>
          <w:color w:val="000000"/>
          <w:sz w:val="24"/>
          <w:rFonts w:ascii="Times New Roman" w:hAnsi="Times New Roman" w:cs="Times New Roman"/>
        </w:rPr>
        <w:t>PERNYATAAN KEASLIAN KARYA TUGAS AKHIR</w:t>
      </w:r>
    </w:p>
    <w:p>
      <w:pPr>
        <w:spacing w:line="360" w:lineRule="auto" w:before="0" w:after="0"/>
        <w:ind w:firstLine="0"/>
        <w:jc w:val="both"/>
      </w:pPr>
      <w:r>
        <w:rPr>
          <w:b w:val="0"/>
          <w:i w:val="0"/>
          <w:sz w:val="24"/>
          <w:color w:val="000000"/>
          <w:rFonts w:ascii="Times New Roman" w:hAnsi="Times New Roman" w:cs="Times New Roman"/>
        </w:rPr>
        <w:t>Saya mahasiswa Universitas Kristen Krida Wacana:</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Manajemen Keuangan</w:t>
            </w:r>
          </w:p>
        </w:tc>
      </w:tr>
    </w:tbl>
    <w:p>
      <w:pPr>
        <w:spacing w:line="360" w:lineRule="auto" w:before="0" w:after="0"/>
        <w:ind w:firstLine="0"/>
        <w:jc w:val="both"/>
      </w:pPr>
      <w:r>
        <w:rPr>
          <w:b w:val="0"/>
          <w:i w:val="0"/>
          <w:sz w:val="24"/>
          <w:color w:val="000000"/>
          <w:rFonts w:ascii="Times New Roman" w:hAnsi="Times New Roman" w:cs="Times New Roman"/>
        </w:rPr>
        <w:t>Dengan ini menyatakan dengan sesungguhnya bahwa Proposal Skripsi yang berjudul:</w:t>
      </w:r>
    </w:p>
    <w:p>
      <w:pPr>
        <w:spacing w:before="120" w:after="12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adalah:</w:t>
      </w:r>
    </w:p>
    <w:p>
      <w:pPr>
        <w:spacing w:before="0" w:after="8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Benar-benar hasil karya saya sendiri, bukan merupakan jiplakan, plagiarisme, fabrikasi, atau tiruan dari karya tulis ilmiah orang lain yang pernah diajukan untuk memperoleh gelar akademik di perguruan tinggi manapun.</w:t>
      </w:r>
    </w:p>
    <w:p>
      <w:pPr>
        <w:spacing w:before="0" w:after="8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Seluruh kutipan, data, dan rujukan ilmiah yang digunakan dalam naskah ini telah dicantumkan sumbernya secara jelas dan lengkap sesuai dengan kaidah penulisan ilmiah yang berlaku di Universitas Kristen Krida Wacana.</w:t>
      </w:r>
    </w:p>
    <w:p>
      <w:pPr>
        <w:spacing w:before="0" w:after="8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before="480"/>
              <w:jc w:val="center"/>
            </w:pPr>
            <w:r>
              <w:rPr>
                <w:i/>
                <w:sz w:val="20"/>
                <w:color w:val="000000"/>
              </w:rPr>
              <w:br/>
              <w:br/>
              <w:t>[ Materai Rp10.000 ]</w:t>
              <w:br/>
              <w:br/>
            </w:r>
          </w:p>
        </w:tc>
        <w:tc>
          <w:tcPr>
            <w:tcW w:type="dxa" w:w="3968"/>
          </w:tcPr>
          <w:p>
            <w:pPr>
              <w:spacing w:before="240" w:line="276" w:lineRule="auto"/>
              <w:jc w:val="center"/>
            </w:pPr>
            <w:r>
              <w:rPr>
                <w:color w:val="000000"/>
              </w:rPr>
              <w:t>Jakarta, 12 September 2026</w:t>
              <w:br/>
              <w:t>Yang membuat pernyataan,</w:t>
              <w:br/>
              <w:br/>
              <w:br/>
              <w:br/>
              <w:br/>
            </w:r>
            <w:r>
              <w:rPr>
                <w:b/>
                <w:color w:val="000000"/>
              </w:rPr>
              <w:t>Arthur Reezan</w:t>
              <w:br/>
            </w:r>
            <w:r>
              <w:rPr>
                <w:color w:val="000000"/>
              </w:rPr>
              <w:t>NIM: 312023002</w:t>
            </w:r>
          </w:p>
        </w:tc>
      </w:tr>
    </w:tbl>
    <w:p>
      <w:r>
        <w:br w:type="page"/>
      </w:r>
    </w:p>
    <w:p>
      <w:pPr>
        <w:pStyle w:val="Heading1"/>
        <w:keepNext/>
        <w:pageBreakBefore/>
        <w:spacing w:before="0" w:after="360" w:line="360" w:lineRule="auto"/>
        <w:ind w:firstLine="0"/>
        <w:jc w:val="center"/>
        <w:outlineLvl w:val="0"/>
      </w:pPr>
      <w:r>
        <w:rPr>
          <w:b/>
          <w:i w:val="0"/>
          <w:color w:val="000000"/>
          <w:sz w:val="24"/>
          <w:rFonts w:ascii="Times New Roman" w:hAnsi="Times New Roman" w:cs="Times New Roman"/>
        </w:rPr>
        <w:t>HALAMAN PERSETUJUAN PROPOSAL SKRIPSI</w:t>
      </w:r>
    </w:p>
    <w:p>
      <w:pPr>
        <w:spacing w:line="360" w:lineRule="auto" w:before="0" w:after="0"/>
        <w:ind w:firstLine="0"/>
        <w:jc w:val="both"/>
      </w:pPr>
      <w:r>
        <w:rPr>
          <w:b w:val="0"/>
          <w:i w:val="0"/>
          <w:sz w:val="24"/>
          <w:color w:val="000000"/>
          <w:rFonts w:ascii="Times New Roman" w:hAnsi="Times New Roman" w:cs="Times New Roman"/>
        </w:rPr>
        <w:t>Proposal Skripsi ini diajukan oleh:</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Manajemen Keuangan</w:t>
            </w:r>
          </w:p>
        </w:tc>
      </w:tr>
    </w:tbl>
    <w:p>
      <w:pPr>
        <w:spacing w:before="240" w:after="24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disetujui untuk diajukan dalam Seminar Proposal Skripsi Program Studi S1 Manajemen Fakultas Ekonomi dan Bisnis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rPr>
                <w:color w:val="000000"/>
              </w:rPr>
              <w:t>Menyetujui,</w:t>
              <w:br/>
              <w:t>Dosen Pembimbing</w:t>
              <w:br/>
              <w:br/>
              <w:br/>
              <w:br/>
              <w:br/>
            </w:r>
            <w:r>
              <w:rPr>
                <w:b/>
                <w:color w:val="000000"/>
              </w:rPr>
              <w:t>Dr. Fredella Colline, S.E., M.M., CFP®, PFM, CHCP-A</w:t>
              <w:br/>
            </w:r>
            <w:r>
              <w:rPr>
                <w:color w:val="000000"/>
              </w:rPr>
              <w:t>NIDN: [NIDN_DOSEN]</w:t>
            </w:r>
          </w:p>
        </w:tc>
        <w:tc>
          <w:tcPr>
            <w:tcW w:type="dxa" w:w="3968"/>
          </w:tcPr>
          <w:p>
            <w:pPr>
              <w:spacing w:line="276" w:lineRule="auto"/>
              <w:jc w:val="center"/>
            </w:pPr>
            <w:r>
              <w:rPr>
                <w:color w:val="000000"/>
              </w:rPr>
              <w:t>Mengetahui,</w:t>
              <w:br/>
              <w:t>Ketua Program Studi S1 Manajemen</w:t>
              <w:br/>
              <w:br/>
              <w:br/>
              <w:br/>
            </w:r>
            <w:r>
              <w:rPr>
                <w:b/>
                <w:color w:val="000000"/>
              </w:rPr>
              <w:t>Rita Amelinda, S.E., M.M.</w:t>
              <w:br/>
            </w:r>
            <w:r>
              <w:rPr>
                <w:color w:val="000000"/>
              </w:rPr>
              <w:t>NIDN: [NIDN_KAPRODI]</w:t>
            </w:r>
          </w:p>
        </w:tc>
      </w:tr>
    </w:tbl>
    <w:p>
      <w:r>
        <w:br w:type="page"/>
      </w:r>
    </w:p>
    <w:p>
      <w:pPr>
        <w:pStyle w:val="Heading1"/>
        <w:keepNext/>
        <w:pageBreakBefore/>
        <w:spacing w:before="0" w:after="360" w:line="360" w:lineRule="auto"/>
        <w:ind w:firstLine="0"/>
        <w:jc w:val="center"/>
        <w:outlineLvl w:val="0"/>
      </w:pPr>
      <w:r>
        <w:rPr>
          <w:b/>
          <w:i w:val="0"/>
          <w:color w:val="000000"/>
          <w:sz w:val="24"/>
          <w:rFonts w:ascii="Times New Roman" w:hAnsi="Times New Roman" w:cs="Times New Roman"/>
        </w:rPr>
        <w:t>HALAMAN PENGESAHAN TIM PENGUJI SEMINAR PROPOSAL</w:t>
      </w:r>
    </w:p>
    <w:p>
      <w:pPr>
        <w:spacing w:line="360" w:lineRule="auto" w:before="0" w:after="0"/>
        <w:ind w:firstLine="0"/>
        <w:jc w:val="both"/>
      </w:pPr>
      <w:r>
        <w:rPr>
          <w:b w:val="0"/>
          <w:i w:val="0"/>
          <w:sz w:val="24"/>
          <w:color w:val="000000"/>
          <w:rFonts w:ascii="Times New Roman" w:hAnsi="Times New Roman" w:cs="Times New Roman"/>
        </w:rPr>
        <w:t>Proposal Skripsi yang berjudul:</w:t>
      </w:r>
    </w:p>
    <w:p>
      <w:pPr>
        <w:spacing w:before="120" w:after="12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rPr>
                <w:color w:val="000000"/>
              </w:rPr>
              <w:t>Ketua Tim Penguji</w:t>
              <w:br/>
              <w:br/>
              <w:br/>
              <w:br/>
              <w:br/>
            </w:r>
            <w:r>
              <w:rPr>
                <w:b/>
                <w:color w:val="000000"/>
              </w:rPr>
              <w:t>_________________________</w:t>
              <w:br/>
            </w:r>
            <w:r>
              <w:rPr>
                <w:color w:val="000000"/>
              </w:rPr>
              <w:t>NIDN: _________________</w:t>
            </w:r>
          </w:p>
        </w:tc>
        <w:tc>
          <w:tcPr>
            <w:tcW w:type="dxa" w:w="3968"/>
          </w:tcPr>
          <w:p>
            <w:pPr>
              <w:spacing w:line="276" w:lineRule="auto"/>
              <w:jc w:val="center"/>
            </w:pPr>
            <w:r>
              <w:rPr>
                <w:color w:val="000000"/>
              </w:rPr>
              <w:t>Anggota Penguji 1</w:t>
              <w:br/>
              <w:br/>
              <w:br/>
              <w:br/>
              <w:br/>
            </w:r>
            <w:r>
              <w:rPr>
                <w:b/>
                <w:color w:val="000000"/>
              </w:rPr>
              <w:t>_________________________</w:t>
              <w:br/>
            </w:r>
            <w:r>
              <w:rPr>
                <w:color w:val="000000"/>
              </w:rPr>
              <w:t>NIDN: _________________</w:t>
            </w:r>
          </w:p>
        </w:tc>
      </w:tr>
      <w:tr>
        <w:tc>
          <w:tcPr>
            <w:tcW w:type="dxa" w:w="3968"/>
          </w:tcPr>
          <w:p>
            <w:pPr>
              <w:spacing w:line="276" w:lineRule="auto"/>
              <w:jc w:val="center"/>
            </w:pPr>
            <w:r>
              <w:rPr>
                <w:color w:val="000000"/>
              </w:rPr>
              <w:br/>
              <w:br/>
              <w:t>Anggota Penguji 2 / Pembimbing</w:t>
              <w:br/>
              <w:br/>
              <w:br/>
              <w:br/>
            </w:r>
            <w:r>
              <w:rPr>
                <w:b/>
                <w:color w:val="000000"/>
              </w:rPr>
              <w:t>Dr. Fredella Colline, S.E., M.M.</w:t>
              <w:br/>
            </w:r>
            <w:r>
              <w:rPr>
                <w:color w:val="000000"/>
              </w:rPr>
              <w:t>NIDN: [NIDN_DOSEN]</w:t>
            </w:r>
          </w:p>
        </w:tc>
        <w:tc>
          <w:tcPr>
            <w:tcW w:type="dxa" w:w="3968"/>
          </w:tcPr>
          <w:p>
            <w:pPr>
              <w:spacing w:line="276" w:lineRule="auto"/>
              <w:jc w:val="center"/>
            </w:pPr>
            <w:r>
              <w:rPr>
                <w:color w:val="000000"/>
              </w:rPr>
              <w:br/>
              <w:br/>
              <w:t>Mengetahui,</w:t>
              <w:br/>
              <w:t>Ketua Program Studi S1 Manajemen</w:t>
              <w:br/>
              <w:br/>
              <w:br/>
              <w:br/>
            </w:r>
            <w:r>
              <w:rPr>
                <w:b/>
                <w:color w:val="000000"/>
              </w:rPr>
              <w:t>Rita Amelinda, S.E., M.M.</w:t>
              <w:br/>
            </w:r>
            <w:r>
              <w:rPr>
                <w:color w:val="000000"/>
              </w:rPr>
              <w:t>NIDN: [NIDN_KAPRODI]</w:t>
            </w:r>
          </w:p>
        </w:tc>
      </w:tr>
    </w:tbl>
    <w:p>
      <w:r>
        <w:br w:type="page"/>
      </w:r>
    </w:p>
    <w:p>
      <w:pPr>
        <w:pStyle w:val="Heading1"/>
        <w:keepNext/>
        <w:pageBreakBefore/>
        <w:spacing w:before="0" w:after="360" w:line="360" w:lineRule="auto"/>
        <w:ind w:firstLine="0"/>
        <w:jc w:val="center"/>
        <w:outlineLvl w:val="0"/>
      </w:pPr>
      <w:r>
        <w:rPr>
          <w:b/>
          <w:i w:val="0"/>
          <w:color w:val="000000"/>
          <w:sz w:val="24"/>
          <w:rFonts w:ascii="Times New Roman" w:hAnsi="Times New Roman" w:cs="Times New Roman"/>
        </w:rPr>
        <w:t>KATA PENGANTAR</w:t>
      </w:r>
    </w:p>
    <w:p>
      <w:pPr>
        <w:spacing w:line="360" w:lineRule="auto" w:before="0" w:after="0"/>
        <w:ind w:firstLine="709"/>
        <w:jc w:val="both"/>
      </w:pPr>
      <w:r>
        <w:rPr>
          <w:b w:val="0"/>
          <w:i w:val="0"/>
          <w:sz w:val="24"/>
          <w:color w:val="000000"/>
          <w:rFonts w:ascii="Times New Roman" w:hAnsi="Times New Roman" w:cs="Times New Roman"/>
        </w:rPr>
        <w:t xml:space="preserve">Puji dan syukur penulis panjatkan ke hadirat Tuhan Yang Maha Esa atas kasih, anugerah, dan penyertaan-Nya yang senantiasa melimpah, sehingga penulis dapat menyelesaikan penyusunan proposal skripsi yang berjudul </w:t>
      </w:r>
      <w:r>
        <w:rPr>
          <w:b/>
          <w:i w:val="0"/>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r>
        <w:rPr>
          <w:b w:val="0"/>
          <w:i w:val="0"/>
          <w:sz w:val="24"/>
          <w:color w:val="000000"/>
          <w:rFonts w:ascii="Times New Roman" w:hAnsi="Times New Roman" w:cs="Times New Roman"/>
        </w:rPr>
        <w:t xml:space="preserve"> dengan baik, lancar, dan tepat waktu.</w:t>
      </w:r>
    </w:p>
    <w:p>
      <w:pPr>
        <w:spacing w:line="360" w:lineRule="auto" w:before="0" w:after="0"/>
        <w:ind w:firstLine="709"/>
        <w:jc w:val="both"/>
      </w:pPr>
      <w:r>
        <w:rPr>
          <w:b w:val="0"/>
          <w:i w:val="0"/>
          <w:sz w:val="24"/>
          <w:color w:val="000000"/>
          <w:rFonts w:ascii="Times New Roman" w:hAnsi="Times New Roman"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pPr>
        <w:spacing w:line="360" w:lineRule="auto" w:before="0" w:after="0"/>
        <w:ind w:firstLine="709"/>
        <w:jc w:val="both"/>
      </w:pPr>
      <w:r>
        <w:rPr>
          <w:b w:val="0"/>
          <w:i w:val="0"/>
          <w:sz w:val="24"/>
          <w:color w:val="000000"/>
          <w:rFonts w:ascii="Times New Roman" w:hAnsi="Times New Roman"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pPr>
        <w:spacing w:before="0" w:after="6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pPr>
        <w:spacing w:before="0" w:after="6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Rita Amelinda, S.E., M.M., selaku Ketua Program Studi S1 Manajemen FEB UKRIDA, atas segala arahan, kemudahan proses administratif, dan bimbingan akademik yang diberikan.</w:t>
      </w:r>
    </w:p>
    <w:p>
      <w:pPr>
        <w:spacing w:before="0" w:after="6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Bapak dan Ibu Dosen Penguji Seminar Proposal, yang telah bersedia meluangkan waktu untuk menguji, memberikan koreksi kritis, serta masukan yang konstruktif guna menyempurnakan naskah penelitian ini.</w:t>
      </w:r>
    </w:p>
    <w:p>
      <w:pPr>
        <w:spacing w:before="0" w:after="60" w:line="276" w:lineRule="auto"/>
        <w:ind w:left="709" w:hanging="357"/>
        <w:jc w:val="both"/>
      </w:pPr>
      <w:r>
        <w:rPr>
          <w:b/>
          <w:color w:val="000000"/>
          <w:rFonts w:ascii="Times New Roman" w:hAnsi="Times New Roman" w:cs="Times New Roman"/>
        </w:rPr>
        <w:t xml:space="preserve">4.  </w:t>
      </w:r>
      <w:r>
        <w:rPr>
          <w:color w:val="000000"/>
          <w:rFonts w:ascii="Times New Roman" w:hAnsi="Times New Roman" w:cs="Times New Roman"/>
        </w:rPr>
        <w:t>Seluruh Dosen dan Staf Pengajar FEB UKRIDA, yang telah membagikan ilmu pengetahuan, wawasan analisis keuangan, serta etika profesional selama masa perkuliahan penulis.</w:t>
      </w:r>
    </w:p>
    <w:p>
      <w:pPr>
        <w:spacing w:before="0" w:after="60" w:line="276" w:lineRule="auto"/>
        <w:ind w:left="709" w:hanging="357"/>
        <w:jc w:val="both"/>
      </w:pPr>
      <w:r>
        <w:rPr>
          <w:b/>
          <w:color w:val="000000"/>
          <w:rFonts w:ascii="Times New Roman" w:hAnsi="Times New Roman" w:cs="Times New Roman"/>
        </w:rPr>
        <w:t xml:space="preserve">5.  </w:t>
      </w:r>
      <w:r>
        <w:rPr>
          <w:color w:val="000000"/>
          <w:rFonts w:ascii="Times New Roman" w:hAnsi="Times New Roman" w:cs="Times New Roman"/>
        </w:rPr>
        <w:t>Kedua Orang Tua dan Keluarga Tercinta, atas doa yang tiada putus, limpahan kasih sayang, ketulusan pengorbanan, serta dorongan moral dan material yang menjadi sumber kekuatan utama bagi penulis.</w:t>
      </w:r>
    </w:p>
    <w:p>
      <w:pPr>
        <w:spacing w:before="0" w:after="60" w:line="276" w:lineRule="auto"/>
        <w:ind w:left="709" w:hanging="357"/>
        <w:jc w:val="both"/>
      </w:pPr>
      <w:r>
        <w:rPr>
          <w:b/>
          <w:color w:val="000000"/>
          <w:rFonts w:ascii="Times New Roman" w:hAnsi="Times New Roman" w:cs="Times New Roman"/>
        </w:rPr>
        <w:t xml:space="preserve">6.  </w:t>
      </w:r>
      <w:r>
        <w:rPr>
          <w:color w:val="000000"/>
          <w:rFonts w:ascii="Times New Roman" w:hAnsi="Times New Roman" w:cs="Times New Roman"/>
        </w:rPr>
        <w:t>Rekan-rekan Mahasiswa Manajemen FEB UKRIDA Angkatan 2023 dan sahabat seperjuangan, atas diskusi yang membangun, motivasi, dan kerja sama selama proses perkuliahan.</w:t>
      </w:r>
    </w:p>
    <w:p>
      <w:pPr>
        <w:spacing w:before="0" w:after="60" w:line="276" w:lineRule="auto"/>
        <w:ind w:left="709" w:hanging="357"/>
        <w:jc w:val="both"/>
      </w:pPr>
      <w:r>
        <w:rPr>
          <w:b/>
          <w:color w:val="000000"/>
          <w:rFonts w:ascii="Times New Roman" w:hAnsi="Times New Roman" w:cs="Times New Roman"/>
        </w:rPr>
        <w:t xml:space="preserve">7.  </w:t>
      </w:r>
      <w:r>
        <w:rPr>
          <w:color w:val="000000"/>
          <w:rFonts w:ascii="Times New Roman" w:hAnsi="Times New Roman" w:cs="Times New Roman"/>
        </w:rPr>
        <w:t>Komunitas Kolektor dan Pemain Pokémon TCG di Indonesia, yang telah memberikan gambaran nyata mengenai fenomena pasar kartu koleksi di lapangan.</w:t>
      </w:r>
    </w:p>
    <w:p>
      <w:pPr>
        <w:spacing w:line="360" w:lineRule="auto" w:before="0" w:after="0"/>
        <w:ind w:firstLine="709"/>
        <w:jc w:val="both"/>
      </w:pPr>
      <w:r>
        <w:rPr>
          <w:b w:val="0"/>
          <w:i w:val="0"/>
          <w:sz w:val="24"/>
          <w:color w:val="000000"/>
          <w:rFonts w:ascii="Times New Roman" w:hAnsi="Times New Roman"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pPr>
        <w:spacing w:before="360" w:line="276" w:lineRule="auto"/>
        <w:jc w:val="right"/>
      </w:pPr>
      <w:r>
        <w:rPr>
          <w:color w:val="000000"/>
          <w:rFonts w:ascii="Times New Roman" w:hAnsi="Times New Roman" w:cs="Times New Roman"/>
        </w:rPr>
        <w:t>Jakarta,                  2026</w:t>
        <w:br/>
        <w:t>Penulis,</w:t>
        <w:br/>
        <w:br/>
        <w:br/>
        <w:br/>
      </w:r>
      <w:r>
        <w:rPr>
          <w:b/>
          <w:color w:val="000000"/>
          <w:rFonts w:ascii="Times New Roman" w:hAnsi="Times New Roman" w:cs="Times New Roman"/>
        </w:rPr>
        <w:t>Arthur Reezan</w:t>
        <w:br/>
      </w:r>
      <w:r>
        <w:rPr>
          <w:color w:val="000000"/>
          <w:rFonts w:ascii="Times New Roman" w:hAnsi="Times New Roman" w:cs="Times New Roman"/>
        </w:rPr>
        <w:t>NIM: 312023002</w:t>
      </w:r>
    </w:p>
    <w:p>
      <w:r>
        <w:br w:type="page"/>
      </w:r>
    </w:p>
    <w:p>
      <w:pPr>
        <w:pStyle w:val="Heading1"/>
        <w:keepNext/>
        <w:pageBreakBefore/>
        <w:spacing w:before="0" w:after="360" w:line="360" w:lineRule="auto"/>
        <w:ind w:firstLine="0"/>
        <w:jc w:val="center"/>
        <w:outlineLvl w:val="0"/>
      </w:pPr>
      <w:r>
        <w:rPr>
          <w:b/>
          <w:i w:val="0"/>
          <w:color w:val="000000"/>
          <w:sz w:val="24"/>
          <w:rFonts w:ascii="Times New Roman" w:hAnsi="Times New Roman" w:cs="Times New Roman"/>
        </w:rPr>
        <w:t>ABSTRAK</w:t>
      </w:r>
    </w:p>
    <w:p>
      <w:pPr>
        <w:spacing w:before="0" w:after="240" w:line="276" w:lineRule="auto"/>
        <w:jc w:val="center"/>
      </w:pPr>
      <w:r>
        <w:rPr>
          <w:b/>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sz w:val="24"/>
          <w:color w:val="000000"/>
          <w:rFonts w:ascii="Times New Roman" w:hAnsi="Times New Roman" w:cs="Times New Roman"/>
        </w:rPr>
        <w:t xml:space="preserve">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w:t>
      </w:r>
      <w:hyperlink w:anchor="Ref_green1991subjects" w:history="1">
        <w:r>
          <w:t xml:space="preserve">Green (1991)</w:t>
        </w:r>
      </w:hyperlink>
      <w:r>
        <w:rPr>
          <w:color w:val="000000"/>
          <w:rFonts w:ascii="Times New Roman" w:hAnsi="Times New Roman" w:cs="Times New Roman"/>
        </w:rPr>
        <w:t xml:space="preserve"> dan </w:t>
      </w:r>
      <w:hyperlink w:anchor="Ref_cohen1988statistical" w:history="1">
        <w:r>
          <w:t xml:space="preserve">Cohen (1988)</w:t>
        </w:r>
      </w:hyperlink>
      <w:r>
        <w:rPr>
          <w:color w:val="000000"/>
          <w:rFonts w:ascii="Times New Roman" w:hAnsi="Times New Roman"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Ref_aiken1991multiple" w:history="1">
        <w:r>
          <w:t xml:space="preserve">Aiken dan West, 1991</w:t>
        </w:r>
      </w:hyperlink>
      <w:r>
        <w:rPr>
          <w:color w:val="000000"/>
          <w:rFonts w:ascii="Times New Roman" w:hAnsi="Times New Roman" w:cs="Times New Roman"/>
        </w:rPr>
        <w:t xml:space="preserve">; </w:t>
      </w:r>
      <w:hyperlink w:anchor="Ref_ghozali2018aplikasi" w:history="1">
        <w:r>
          <w:t xml:space="preserve">Ghozali, 2018</w:t>
        </w:r>
      </w:hyperlink>
      <w:r>
        <w:rPr>
          <w:color w:val="000000"/>
          <w:rFonts w:ascii="Times New Roman" w:hAnsi="Times New Roman" w:cs="Times New Roman"/>
        </w:rPr>
        <w:t xml:space="preserve">),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sz w:val="24"/>
          <w:color w:val="000000"/>
          <w:rFonts w:ascii="Times New Roman" w:hAnsi="Times New Roman" w:cs="Times New Roman"/>
        </w:rPr>
        <w:t xml:space="preserve">Kata Kunci: </w:t>
      </w:r>
      <w:r>
        <w:rPr>
          <w:i/>
          <w:sz w:val="24"/>
          <w:color w:val="000000"/>
          <w:rFonts w:ascii="Times New Roman" w:hAnsi="Times New Roman" w:cs="Times New Roman"/>
        </w:rPr>
        <w:t>Impulsive Buying, Hedonic Motivation, Desire for Completeness, Speculative Motive, Self-Control, Moderated Regression Analysis, Pokémon TCG, Keuangan Perilaku (Behavioral Finance).</w:t>
      </w:r>
    </w:p>
    <w:p>
      <w:r>
        <w:br w:type="page"/>
      </w:r>
    </w:p>
    <w:p>
      <w:pPr>
        <w:pStyle w:val="Heading1"/>
        <w:keepNext/>
        <w:pageBreakBefore/>
        <w:spacing w:before="0" w:after="360" w:line="360" w:lineRule="auto"/>
        <w:ind w:firstLine="0"/>
        <w:jc w:val="center"/>
        <w:outlineLvl w:val="0"/>
      </w:pPr>
      <w:r>
        <w:rPr>
          <w:b/>
          <w:i w:val="0"/>
          <w:color w:val="000000"/>
          <w:sz w:val="24"/>
          <w:rFonts w:ascii="Times New Roman" w:hAnsi="Times New Roman" w:cs="Times New Roman"/>
        </w:rPr>
        <w:t>ABSTRACT</w:t>
      </w:r>
    </w:p>
    <w:p>
      <w:pPr>
        <w:spacing w:before="0" w:after="240" w:line="276" w:lineRule="auto"/>
        <w:jc w:val="center"/>
      </w:pPr>
      <w:r>
        <w:rPr>
          <w:b/>
          <w:sz w:val="24"/>
          <w:color w:val="000000"/>
          <w:rFonts w:ascii="Times New Roman" w:hAnsi="Times New Roman" w:cs="Times New Roman"/>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i/>
          <w:sz w:val="24"/>
          <w:color w:val="000000"/>
          <w:rFonts w:ascii="Times New Roman" w:hAnsi="Times New Roman" w:cs="Times New Roman"/>
        </w:rPr>
        <w:t xml:space="preserve">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Ref_green1991subjects" w:history="1">
        <w:r>
          <w:t xml:space="preserve">Green (1991)</w:t>
        </w:r>
      </w:hyperlink>
      <w:r>
        <w:rPr>
          <w:color w:val="000000"/>
          <w:rFonts w:ascii="Times New Roman" w:hAnsi="Times New Roman" w:cs="Times New Roman"/>
        </w:rPr>
        <w:t xml:space="preserve"> and </w:t>
      </w:r>
      <w:hyperlink w:anchor="Ref_cohen1988statistical" w:history="1">
        <w:r>
          <w:t xml:space="preserve">Cohen (1988)</w:t>
        </w:r>
      </w:hyperlink>
      <w:r>
        <w:rPr>
          <w:color w:val="000000"/>
          <w:rFonts w:ascii="Times New Roman" w:hAnsi="Times New Roman"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 xml:space="preserve">Aiken dan West, 1991</w:t>
        </w:r>
      </w:hyperlink>
      <w:r>
        <w:rPr>
          <w:color w:val="000000"/>
          <w:rFonts w:ascii="Times New Roman" w:hAnsi="Times New Roman" w:cs="Times New Roman"/>
        </w:rPr>
        <w:t xml:space="preserve">; </w:t>
      </w:r>
      <w:hyperlink w:anchor="Ref_ghozali2018aplikasi" w:history="1">
        <w:r>
          <w:t xml:space="preserve">Ghozali, 2018</w:t>
        </w:r>
      </w:hyperlink>
      <w:r>
        <w:rPr>
          <w:color w:val="000000"/>
          <w:rFonts w:ascii="Times New Roman" w:hAnsi="Times New Roman" w:cs="Times New Roman"/>
        </w:rPr>
        <w:t xml:space="preserve">),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b/>
          <w:sz w:val="24"/>
          <w:color w:val="000000"/>
          <w:rFonts w:ascii="Times New Roman" w:hAnsi="Times New Roman" w:cs="Times New Roman"/>
        </w:rPr>
        <w:t xml:space="preserve">Keywords: </w:t>
      </w:r>
      <w:r>
        <w:rPr>
          <w:i/>
          <w:sz w:val="24"/>
          <w:color w:val="000000"/>
          <w:rFonts w:ascii="Times New Roman" w:hAnsi="Times New Roman" w:cs="Times New Roman"/>
        </w:rPr>
        <w:t>Impulsive Buying, Hedonic Motivation, Desire for Completeness, Speculative Motive, Self-Control, Moderated Regression Analysis, Pokémon TCG, Behavioral Finance.</w:t>
      </w:r>
    </w:p>
    <w:p>
      <w:r>
        <w:br w:type="page"/>
      </w:r>
    </w:p>
    <w:p>
      <w:pPr>
        <w:keepNext/>
        <w:pageBreakBefore/>
        <w:spacing w:before="0" w:after="360" w:line="360" w:lineRule="auto"/>
        <w:ind w:firstLine="0"/>
        <w:jc w:val="center"/>
      </w:pPr>
      <w:r>
        <w:rPr>
          <w:b/>
          <w:sz w:val="24"/>
          <w:color w:val="000000"/>
          <w:rFonts w:ascii="Times New Roman" w:hAnsi="Times New Roman" w:cs="Times New Roman"/>
        </w:rPr>
        <w:t>DAFTAR ISI</w:t>
      </w:r>
    </w:p>
    <w:p>
      <w:pPr>
        <w:pStyle w:val="TOC1"/>
        <w:spacing w:line="276" w:lineRule="auto" w:before="0" w:after="40"/>
        <w:ind w:left="0" w:firstLine="0" w:right="0"/>
        <w:tabs>
          <w:tab w:val="right" w:leader="dot" w:pos="7938"/>
        </w:tabs>
      </w:pPr>
      <w:r>
        <w:rPr>
          <w:b/>
          <w:sz w:val="22"/>
          <w:color w:val="000000"/>
          <w:rFonts w:ascii="Times New Roman" w:hAnsi="Times New Roman" w:cs="Times New Roman"/>
        </w:rPr>
        <w:t>DAFTAR TABEL</w:t>
      </w:r>
      <w:r>
        <w:rPr>
          <w:b/>
          <w:sz w:val="22"/>
          <w:color w:val="000000"/>
          <w:rFonts w:ascii="Times New Roman" w:hAnsi="Times New Roman" w:cs="Times New Roman"/>
        </w:rPr>
        <w:tab/>
        <w:t>xii</w:t>
      </w:r>
    </w:p>
    <w:p>
      <w:pPr>
        <w:pStyle w:val="TOC1"/>
        <w:spacing w:line="276" w:lineRule="auto" w:before="0" w:after="40"/>
        <w:ind w:left="0" w:firstLine="0" w:right="0"/>
        <w:tabs>
          <w:tab w:val="right" w:leader="dot" w:pos="7938"/>
        </w:tabs>
      </w:pPr>
      <w:r>
        <w:rPr>
          <w:b/>
          <w:sz w:val="22"/>
          <w:color w:val="000000"/>
          <w:rFonts w:ascii="Times New Roman" w:hAnsi="Times New Roman" w:cs="Times New Roman"/>
        </w:rPr>
        <w:t>DAFTAR GAMBAR</w:t>
      </w:r>
      <w:r>
        <w:rPr>
          <w:b/>
          <w:sz w:val="22"/>
          <w:color w:val="000000"/>
          <w:rFonts w:ascii="Times New Roman" w:hAnsi="Times New Roman" w:cs="Times New Roman"/>
        </w:rPr>
        <w:tab/>
        <w:t>xiii</w:t>
      </w:r>
    </w:p>
    <w:p>
      <w:pPr>
        <w:pStyle w:val="TOC1"/>
        <w:spacing w:line="276" w:lineRule="auto" w:before="0" w:after="40"/>
        <w:ind w:left="0" w:firstLine="0" w:right="0"/>
        <w:tabs>
          <w:tab w:val="right" w:leader="dot" w:pos="7938"/>
        </w:tabs>
      </w:pPr>
      <w:r>
        <w:rPr>
          <w:b/>
          <w:sz w:val="22"/>
          <w:color w:val="000000"/>
          <w:rFonts w:ascii="Times New Roman" w:hAnsi="Times New Roman" w:cs="Times New Roman"/>
        </w:rPr>
        <w:t>BAB 1 PENDAHULUAN</w:t>
      </w:r>
      <w:r>
        <w:rPr>
          <w:b/>
          <w:sz w:val="22"/>
          <w:color w:val="000000"/>
          <w:rFonts w:ascii="Times New Roman" w:hAnsi="Times New Roman" w:cs="Times New Roman"/>
        </w:rPr>
        <w:tab/>
        <w:t>1</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1.1 Latar Belakang Penelitian</w:t>
      </w:r>
      <w:r>
        <w:rPr>
          <w:b w:val="0"/>
          <w:sz w:val="22"/>
          <w:color w:val="000000"/>
          <w:rFonts w:ascii="Times New Roman" w:hAnsi="Times New Roman" w:cs="Times New Roman"/>
        </w:rPr>
        <w:tab/>
        <w:t>1</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1.2 Perumusan Masalah</w:t>
      </w:r>
      <w:r>
        <w:rPr>
          <w:b w:val="0"/>
          <w:sz w:val="22"/>
          <w:color w:val="000000"/>
          <w:rFonts w:ascii="Times New Roman" w:hAnsi="Times New Roman" w:cs="Times New Roman"/>
        </w:rPr>
        <w:tab/>
        <w:t>16</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1.3 Tujuan Penelitian</w:t>
      </w:r>
      <w:r>
        <w:rPr>
          <w:b w:val="0"/>
          <w:sz w:val="22"/>
          <w:color w:val="000000"/>
          <w:rFonts w:ascii="Times New Roman" w:hAnsi="Times New Roman" w:cs="Times New Roman"/>
        </w:rPr>
        <w:tab/>
        <w:t>17</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1.4 Manfaat Penelitian</w:t>
      </w:r>
      <w:r>
        <w:rPr>
          <w:b w:val="0"/>
          <w:sz w:val="22"/>
          <w:color w:val="000000"/>
          <w:rFonts w:ascii="Times New Roman" w:hAnsi="Times New Roman" w:cs="Times New Roman"/>
        </w:rPr>
        <w:tab/>
        <w:t>17</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1.4.1 Manfaat Teoritis</w:t>
      </w:r>
      <w:r>
        <w:rPr>
          <w:b w:val="0"/>
          <w:sz w:val="21"/>
          <w:color w:val="000000"/>
          <w:rFonts w:ascii="Times New Roman" w:hAnsi="Times New Roman" w:cs="Times New Roman"/>
        </w:rPr>
        <w:tab/>
        <w:t>17</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1.4.2 Manfaat Praktis</w:t>
      </w:r>
      <w:r>
        <w:rPr>
          <w:b w:val="0"/>
          <w:sz w:val="21"/>
          <w:color w:val="000000"/>
          <w:rFonts w:ascii="Times New Roman" w:hAnsi="Times New Roman" w:cs="Times New Roman"/>
        </w:rPr>
        <w:tab/>
        <w:t>18</w:t>
      </w:r>
    </w:p>
    <w:p>
      <w:pPr>
        <w:pStyle w:val="TOC1"/>
        <w:spacing w:line="276" w:lineRule="auto" w:before="0" w:after="40"/>
        <w:ind w:left="0" w:firstLine="0" w:right="0"/>
        <w:tabs>
          <w:tab w:val="right" w:leader="dot" w:pos="7938"/>
        </w:tabs>
      </w:pPr>
      <w:r>
        <w:rPr>
          <w:b/>
          <w:sz w:val="22"/>
          <w:color w:val="000000"/>
          <w:rFonts w:ascii="Times New Roman" w:hAnsi="Times New Roman" w:cs="Times New Roman"/>
        </w:rPr>
        <w:t>BAB 2 KAJIAN PUSTAKA DAN PENGEMBANGAN HIPOTESIS</w:t>
      </w:r>
      <w:r>
        <w:rPr>
          <w:b/>
          <w:sz w:val="22"/>
          <w:color w:val="000000"/>
          <w:rFonts w:ascii="Times New Roman" w:hAnsi="Times New Roman" w:cs="Times New Roman"/>
        </w:rPr>
        <w:tab/>
        <w:t>19</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2.1 Landasan Teori</w:t>
      </w:r>
      <w:r>
        <w:rPr>
          <w:b w:val="0"/>
          <w:sz w:val="22"/>
          <w:color w:val="000000"/>
          <w:rFonts w:ascii="Times New Roman" w:hAnsi="Times New Roman" w:cs="Times New Roman"/>
        </w:rPr>
        <w:tab/>
        <w:t>19</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2.1.1 Grand Theory: Keuangan Perilaku (Behavioral Finance)</w:t>
      </w:r>
      <w:r>
        <w:rPr>
          <w:b w:val="0"/>
          <w:sz w:val="21"/>
          <w:color w:val="000000"/>
          <w:rFonts w:ascii="Times New Roman" w:hAnsi="Times New Roman" w:cs="Times New Roman"/>
        </w:rPr>
        <w:tab/>
        <w:t>19</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2.1.2 Supporting Theory: Teori Stimulus-Organism-Response (S-O-R)</w:t>
      </w:r>
      <w:r>
        <w:rPr>
          <w:b w:val="0"/>
          <w:sz w:val="21"/>
          <w:color w:val="000000"/>
          <w:rFonts w:ascii="Times New Roman" w:hAnsi="Times New Roman" w:cs="Times New Roman"/>
        </w:rPr>
        <w:tab/>
        <w:t>19</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2.1.3 Supporting Theory: Psikologi Kolektor dan Collection-Goal Tipping Point Effect</w:t>
      </w:r>
      <w:r>
        <w:rPr>
          <w:b w:val="0"/>
          <w:sz w:val="21"/>
          <w:color w:val="000000"/>
          <w:rFonts w:ascii="Times New Roman" w:hAnsi="Times New Roman" w:cs="Times New Roman"/>
        </w:rPr>
        <w:tab/>
        <w:t>20</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2.1.4 Supporting Theory: Teori Regulasi Diri (Self-Regulation Theory)</w:t>
      </w:r>
      <w:r>
        <w:rPr>
          <w:b w:val="0"/>
          <w:sz w:val="21"/>
          <w:color w:val="000000"/>
          <w:rFonts w:ascii="Times New Roman" w:hAnsi="Times New Roman" w:cs="Times New Roman"/>
        </w:rPr>
        <w:tab/>
        <w:t>20</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2.2 Kajian Variabel Penelitian</w:t>
      </w:r>
      <w:r>
        <w:rPr>
          <w:b w:val="0"/>
          <w:sz w:val="22"/>
          <w:color w:val="000000"/>
          <w:rFonts w:ascii="Times New Roman" w:hAnsi="Times New Roman" w:cs="Times New Roman"/>
        </w:rPr>
        <w:tab/>
        <w:t>20</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2.2.1 Variabel Dependen (Y): Impulsive Buying (Pembelian Impulsif)</w:t>
      </w:r>
      <w:r>
        <w:rPr>
          <w:b w:val="0"/>
          <w:sz w:val="21"/>
          <w:color w:val="000000"/>
          <w:rFonts w:ascii="Times New Roman" w:hAnsi="Times New Roman" w:cs="Times New Roman"/>
        </w:rPr>
        <w:tab/>
        <w:t>20</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2.2.2 Variabel Independen (X1): Hedonic Motivation (Motivasi Hedonis)</w:t>
      </w:r>
      <w:r>
        <w:rPr>
          <w:b w:val="0"/>
          <w:sz w:val="21"/>
          <w:color w:val="000000"/>
          <w:rFonts w:ascii="Times New Roman" w:hAnsi="Times New Roman" w:cs="Times New Roman"/>
        </w:rPr>
        <w:tab/>
        <w:t>21</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2.2.3 Variabel Independen (X2): Desire for Completeness (Hasrat Kelengkapan Koleksi)</w:t>
      </w:r>
      <w:r>
        <w:rPr>
          <w:b w:val="0"/>
          <w:sz w:val="21"/>
          <w:color w:val="000000"/>
          <w:rFonts w:ascii="Times New Roman" w:hAnsi="Times New Roman" w:cs="Times New Roman"/>
        </w:rPr>
        <w:tab/>
        <w:t>21</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2.2.4 Variabel Independen (X3): Speculative Motive (Motif Spekulasi Finansial)</w:t>
      </w:r>
      <w:r>
        <w:rPr>
          <w:b w:val="0"/>
          <w:sz w:val="21"/>
          <w:color w:val="000000"/>
          <w:rFonts w:ascii="Times New Roman" w:hAnsi="Times New Roman" w:cs="Times New Roman"/>
        </w:rPr>
        <w:tab/>
        <w:t>21</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2.2.5 Variabel Moderasi (M): Self-Control (Kontrol Diri)</w:t>
      </w:r>
      <w:r>
        <w:rPr>
          <w:b w:val="0"/>
          <w:sz w:val="21"/>
          <w:color w:val="000000"/>
          <w:rFonts w:ascii="Times New Roman" w:hAnsi="Times New Roman" w:cs="Times New Roman"/>
        </w:rPr>
        <w:tab/>
        <w:t>22</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2.3 Penelitian Sebelumnya</w:t>
      </w:r>
      <w:r>
        <w:rPr>
          <w:b w:val="0"/>
          <w:sz w:val="22"/>
          <w:color w:val="000000"/>
          <w:rFonts w:ascii="Times New Roman" w:hAnsi="Times New Roman" w:cs="Times New Roman"/>
        </w:rPr>
        <w:tab/>
        <w:t>22</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2.4 Pengembangan Hipotesis</w:t>
      </w:r>
      <w:r>
        <w:rPr>
          <w:b w:val="0"/>
          <w:sz w:val="22"/>
          <w:color w:val="000000"/>
          <w:rFonts w:ascii="Times New Roman" w:hAnsi="Times New Roman" w:cs="Times New Roman"/>
        </w:rPr>
        <w:tab/>
        <w:t>25</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2.4.1 Pengaruh Hedonic Motivation terhadap Impulsive Buying</w:t>
      </w:r>
      <w:r>
        <w:rPr>
          <w:b w:val="0"/>
          <w:sz w:val="21"/>
          <w:color w:val="000000"/>
          <w:rFonts w:ascii="Times New Roman" w:hAnsi="Times New Roman" w:cs="Times New Roman"/>
        </w:rPr>
        <w:tab/>
        <w:t>25</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2.4.2 Pengaruh Desire for Completeness terhadap Impulsive Buying</w:t>
      </w:r>
      <w:r>
        <w:rPr>
          <w:b w:val="0"/>
          <w:sz w:val="21"/>
          <w:color w:val="000000"/>
          <w:rFonts w:ascii="Times New Roman" w:hAnsi="Times New Roman" w:cs="Times New Roman"/>
        </w:rPr>
        <w:tab/>
        <w:t>25</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2.4.3 Pengaruh Speculative Motive terhadap Impulsive Buying</w:t>
      </w:r>
      <w:r>
        <w:rPr>
          <w:b w:val="0"/>
          <w:sz w:val="21"/>
          <w:color w:val="000000"/>
          <w:rFonts w:ascii="Times New Roman" w:hAnsi="Times New Roman" w:cs="Times New Roman"/>
        </w:rPr>
        <w:tab/>
        <w:t>26</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2.4.4 Pengaruh Moderasi Self-Control terhadap Hubungan Hedonic Motivation dan Impulsive Buying</w:t>
      </w:r>
      <w:r>
        <w:rPr>
          <w:b w:val="0"/>
          <w:sz w:val="21"/>
          <w:color w:val="000000"/>
          <w:rFonts w:ascii="Times New Roman" w:hAnsi="Times New Roman" w:cs="Times New Roman"/>
        </w:rPr>
        <w:tab/>
        <w:t>26</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2.4.5 Pengaruh Moderasi Self-Control terhadap Hubungan Desire for Completeness dan Impulsive Buying</w:t>
      </w:r>
      <w:r>
        <w:rPr>
          <w:b w:val="0"/>
          <w:sz w:val="21"/>
          <w:color w:val="000000"/>
          <w:rFonts w:ascii="Times New Roman" w:hAnsi="Times New Roman" w:cs="Times New Roman"/>
        </w:rPr>
        <w:tab/>
        <w:t>27</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2.4.6 Pengaruh Moderasi Self-Control terhadap Hubungan Speculative Motive dan Impulsive Buying</w:t>
      </w:r>
      <w:r>
        <w:rPr>
          <w:b w:val="0"/>
          <w:sz w:val="21"/>
          <w:color w:val="000000"/>
          <w:rFonts w:ascii="Times New Roman" w:hAnsi="Times New Roman" w:cs="Times New Roman"/>
        </w:rPr>
        <w:tab/>
        <w:t>28</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2.5 Rerangka Penelitian</w:t>
      </w:r>
      <w:r>
        <w:rPr>
          <w:b w:val="0"/>
          <w:sz w:val="22"/>
          <w:color w:val="000000"/>
          <w:rFonts w:ascii="Times New Roman" w:hAnsi="Times New Roman" w:cs="Times New Roman"/>
        </w:rPr>
        <w:tab/>
        <w:t>28</w:t>
      </w:r>
    </w:p>
    <w:p>
      <w:pPr>
        <w:pStyle w:val="TOC1"/>
        <w:spacing w:line="276" w:lineRule="auto" w:before="0" w:after="40"/>
        <w:ind w:left="0" w:firstLine="0" w:right="0"/>
        <w:tabs>
          <w:tab w:val="right" w:leader="dot" w:pos="7938"/>
        </w:tabs>
      </w:pPr>
      <w:r>
        <w:rPr>
          <w:b/>
          <w:sz w:val="22"/>
          <w:color w:val="000000"/>
          <w:rFonts w:ascii="Times New Roman" w:hAnsi="Times New Roman" w:cs="Times New Roman"/>
        </w:rPr>
        <w:t>BAB 3 METODE PENELITIAN</w:t>
      </w:r>
      <w:r>
        <w:rPr>
          <w:b/>
          <w:sz w:val="22"/>
          <w:color w:val="000000"/>
          <w:rFonts w:ascii="Times New Roman" w:hAnsi="Times New Roman" w:cs="Times New Roman"/>
        </w:rPr>
        <w:tab/>
        <w:t>30</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3.1 Jenis dan Sumber Data</w:t>
      </w:r>
      <w:r>
        <w:rPr>
          <w:b w:val="0"/>
          <w:sz w:val="22"/>
          <w:color w:val="000000"/>
          <w:rFonts w:ascii="Times New Roman" w:hAnsi="Times New Roman" w:cs="Times New Roman"/>
        </w:rPr>
        <w:tab/>
        <w:t>30</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3.1.1 Batasan Penelitian dan Ruang Lingkup Operasional</w:t>
      </w:r>
      <w:r>
        <w:rPr>
          <w:b w:val="0"/>
          <w:sz w:val="21"/>
          <w:color w:val="000000"/>
          <w:rFonts w:ascii="Times New Roman" w:hAnsi="Times New Roman" w:cs="Times New Roman"/>
        </w:rPr>
        <w:tab/>
        <w:t>30</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3.2 Populasi dan Sampel</w:t>
      </w:r>
      <w:r>
        <w:rPr>
          <w:b w:val="0"/>
          <w:sz w:val="22"/>
          <w:color w:val="000000"/>
          <w:rFonts w:ascii="Times New Roman" w:hAnsi="Times New Roman" w:cs="Times New Roman"/>
        </w:rPr>
        <w:tab/>
        <w:t>31</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3.2.1 Populasi dan Identifikasi Sumber Komunitas</w:t>
      </w:r>
      <w:r>
        <w:rPr>
          <w:b w:val="0"/>
          <w:sz w:val="21"/>
          <w:color w:val="000000"/>
          <w:rFonts w:ascii="Times New Roman" w:hAnsi="Times New Roman" w:cs="Times New Roman"/>
        </w:rPr>
        <w:tab/>
        <w:t>31</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3.2.2 Sampel dan Justifikasi Kriteria Inklusi</w:t>
      </w:r>
      <w:r>
        <w:rPr>
          <w:b w:val="0"/>
          <w:sz w:val="21"/>
          <w:color w:val="000000"/>
          <w:rFonts w:ascii="Times New Roman" w:hAnsi="Times New Roman" w:cs="Times New Roman"/>
        </w:rPr>
        <w:tab/>
        <w:t>32</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3.2.3 Penentuan Ukuran Sampel</w:t>
      </w:r>
      <w:r>
        <w:rPr>
          <w:b w:val="0"/>
          <w:sz w:val="21"/>
          <w:color w:val="000000"/>
          <w:rFonts w:ascii="Times New Roman" w:hAnsi="Times New Roman" w:cs="Times New Roman"/>
        </w:rPr>
        <w:tab/>
        <w:t>33</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3.2.4 Justifikasi Komparatif Pemilihan Teknik Sampling</w:t>
      </w:r>
      <w:r>
        <w:rPr>
          <w:b w:val="0"/>
          <w:sz w:val="21"/>
          <w:color w:val="000000"/>
          <w:rFonts w:ascii="Times New Roman" w:hAnsi="Times New Roman" w:cs="Times New Roman"/>
        </w:rPr>
        <w:tab/>
        <w:t>33</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3.3 Model Penelitian</w:t>
      </w:r>
      <w:r>
        <w:rPr>
          <w:b w:val="0"/>
          <w:sz w:val="22"/>
          <w:color w:val="000000"/>
          <w:rFonts w:ascii="Times New Roman" w:hAnsi="Times New Roman" w:cs="Times New Roman"/>
        </w:rPr>
        <w:tab/>
        <w:t>34</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3.4 Operasionalisasi Variabel</w:t>
      </w:r>
      <w:r>
        <w:rPr>
          <w:b w:val="0"/>
          <w:sz w:val="22"/>
          <w:color w:val="000000"/>
          <w:rFonts w:ascii="Times New Roman" w:hAnsi="Times New Roman" w:cs="Times New Roman"/>
        </w:rPr>
        <w:tab/>
        <w:t>35</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3.5 Metode Analisis Data</w:t>
      </w:r>
      <w:r>
        <w:rPr>
          <w:b w:val="0"/>
          <w:sz w:val="22"/>
          <w:color w:val="000000"/>
          <w:rFonts w:ascii="Times New Roman" w:hAnsi="Times New Roman" w:cs="Times New Roman"/>
        </w:rPr>
        <w:tab/>
        <w:t>40</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3.5.1 Justifikasi Komparatif Pemilihan Metode Analisis</w:t>
      </w:r>
      <w:r>
        <w:rPr>
          <w:b w:val="0"/>
          <w:sz w:val="21"/>
          <w:color w:val="000000"/>
          <w:rFonts w:ascii="Times New Roman" w:hAnsi="Times New Roman" w:cs="Times New Roman"/>
        </w:rPr>
        <w:tab/>
        <w:t>40</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3.5.2 Penyusunan Skor Komposit dan Uji Kualitas Data</w:t>
      </w:r>
      <w:r>
        <w:rPr>
          <w:b w:val="0"/>
          <w:sz w:val="21"/>
          <w:color w:val="000000"/>
          <w:rFonts w:ascii="Times New Roman" w:hAnsi="Times New Roman" w:cs="Times New Roman"/>
        </w:rPr>
        <w:tab/>
        <w:t>41</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3.5.3 Uji Asumsi Klasik</w:t>
      </w:r>
      <w:r>
        <w:rPr>
          <w:b w:val="0"/>
          <w:sz w:val="21"/>
          <w:color w:val="000000"/>
          <w:rFonts w:ascii="Times New Roman" w:hAnsi="Times New Roman" w:cs="Times New Roman"/>
        </w:rPr>
        <w:tab/>
        <w:t>41</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3.5.4 Estimasi Regresi Hirarkis dan MRA</w:t>
      </w:r>
      <w:r>
        <w:rPr>
          <w:b w:val="0"/>
          <w:sz w:val="21"/>
          <w:color w:val="000000"/>
          <w:rFonts w:ascii="Times New Roman" w:hAnsi="Times New Roman" w:cs="Times New Roman"/>
        </w:rPr>
        <w:tab/>
        <w:t>42</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3.5.5 Uji Koefisien Determinasi (R2) dan Uji F Perubahan</w:t>
      </w:r>
      <w:r>
        <w:rPr>
          <w:b w:val="0"/>
          <w:sz w:val="21"/>
          <w:color w:val="000000"/>
          <w:rFonts w:ascii="Times New Roman" w:hAnsi="Times New Roman" w:cs="Times New Roman"/>
        </w:rPr>
        <w:tab/>
        <w:t>42</w:t>
      </w:r>
    </w:p>
    <w:p>
      <w:pPr>
        <w:pStyle w:val="TOC3"/>
        <w:spacing w:line="276" w:lineRule="auto" w:before="0" w:after="40"/>
        <w:ind w:left="680" w:firstLine="0" w:right="0"/>
        <w:tabs>
          <w:tab w:val="right" w:leader="dot" w:pos="7938"/>
        </w:tabs>
      </w:pPr>
      <w:r>
        <w:rPr>
          <w:b w:val="0"/>
          <w:sz w:val="21"/>
          <w:color w:val="000000"/>
          <w:rFonts w:ascii="Times New Roman" w:hAnsi="Times New Roman" w:cs="Times New Roman"/>
        </w:rPr>
        <w:t>3.5.6 Uji Hipotesis dan Analisis Kemiringan Bersyarat (Simple Slopes)</w:t>
      </w:r>
      <w:r>
        <w:rPr>
          <w:b w:val="0"/>
          <w:sz w:val="21"/>
          <w:color w:val="000000"/>
          <w:rFonts w:ascii="Times New Roman" w:hAnsi="Times New Roman" w:cs="Times New Roman"/>
        </w:rPr>
        <w:tab/>
        <w:t>42</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3.6 Diagram Alur Penelitian</w:t>
      </w:r>
      <w:r>
        <w:rPr>
          <w:b w:val="0"/>
          <w:sz w:val="22"/>
          <w:color w:val="000000"/>
          <w:rFonts w:ascii="Times New Roman" w:hAnsi="Times New Roman" w:cs="Times New Roman"/>
        </w:rPr>
        <w:tab/>
        <w:t>43</w:t>
      </w:r>
    </w:p>
    <w:p>
      <w:pPr>
        <w:pStyle w:val="TOC2"/>
        <w:spacing w:line="276" w:lineRule="auto" w:before="0" w:after="40"/>
        <w:ind w:left="340" w:firstLine="0" w:right="0"/>
        <w:tabs>
          <w:tab w:val="right" w:leader="dot" w:pos="7938"/>
        </w:tabs>
      </w:pPr>
      <w:r>
        <w:rPr>
          <w:b w:val="0"/>
          <w:sz w:val="22"/>
          <w:color w:val="000000"/>
          <w:rFonts w:ascii="Times New Roman" w:hAnsi="Times New Roman" w:cs="Times New Roman"/>
        </w:rPr>
        <w:t>3.7 Jadwal Pelaksanaan Penelitian</w:t>
      </w:r>
      <w:r>
        <w:rPr>
          <w:b w:val="0"/>
          <w:sz w:val="22"/>
          <w:color w:val="000000"/>
          <w:rFonts w:ascii="Times New Roman" w:hAnsi="Times New Roman" w:cs="Times New Roman"/>
        </w:rPr>
        <w:tab/>
        <w:t>44</w:t>
      </w:r>
    </w:p>
    <w:p>
      <w:pPr>
        <w:pStyle w:val="TOC1"/>
        <w:spacing w:line="276" w:lineRule="auto" w:before="0" w:after="40"/>
        <w:ind w:left="0" w:firstLine="0" w:right="0"/>
        <w:tabs>
          <w:tab w:val="right" w:leader="dot" w:pos="7938"/>
        </w:tabs>
      </w:pPr>
      <w:r>
        <w:rPr>
          <w:b/>
          <w:sz w:val="22"/>
          <w:color w:val="000000"/>
          <w:rFonts w:ascii="Times New Roman" w:hAnsi="Times New Roman" w:cs="Times New Roman"/>
        </w:rPr>
        <w:t>DAFTAR PUSTAKA</w:t>
      </w:r>
      <w:r>
        <w:rPr>
          <w:b/>
          <w:sz w:val="22"/>
          <w:color w:val="000000"/>
          <w:rFonts w:ascii="Times New Roman" w:hAnsi="Times New Roman" w:cs="Times New Roman"/>
        </w:rPr>
        <w:tab/>
        <w:t>45</w:t>
      </w:r>
    </w:p>
    <w:p>
      <w:r>
        <w:br w:type="page"/>
      </w:r>
    </w:p>
    <w:p>
      <w:pPr>
        <w:pStyle w:val="Heading1"/>
        <w:keepNext/>
        <w:pageBreakBefore/>
        <w:spacing w:before="0" w:after="360" w:line="360" w:lineRule="auto"/>
        <w:ind w:firstLine="0"/>
        <w:jc w:val="center"/>
        <w:outlineLvl w:val="0"/>
      </w:pPr>
      <w:r>
        <w:rPr>
          <w:b/>
          <w:i w:val="0"/>
          <w:color w:val="000000"/>
          <w:sz w:val="24"/>
          <w:rFonts w:ascii="Times New Roman" w:hAnsi="Times New Roman" w:cs="Times New Roman"/>
        </w:rPr>
        <w:t>DAFTAR TABEL</w:t>
      </w:r>
    </w:p>
    <w:p>
      <w:pPr>
        <w:pStyle w:val="TOC1"/>
        <w:spacing w:line="276" w:lineRule="auto" w:before="0" w:after="80"/>
        <w:ind w:left="0" w:firstLine="0" w:right="0"/>
        <w:tabs>
          <w:tab w:val="right" w:leader="dot" w:pos="7938"/>
        </w:tabs>
      </w:pPr>
      <w:hyperlink w:anchor="Cap_Tabel_1_1" w:history="1">
        <w:r>
          <w:rPr>
            <w:b/>
            <w:sz w:val="22"/>
            <w:color w:val="000000"/>
            <w:rFonts w:ascii="Times New Roman" w:hAnsi="Times New Roman" w:cs="Times New Roman"/>
          </w:rPr>
          <w:t xml:space="preserve">Tabel 1.1.  </w:t>
        </w:r>
        <w:r>
          <w:rPr>
            <w:b w:val="0"/>
            <w:sz w:val="22"/>
            <w:color w:val="000000"/>
            <w:rFonts w:ascii="Times New Roman" w:hAnsi="Times New Roman" w:cs="Times New Roman"/>
          </w:rPr>
          <w:t>Matriks Kesenjangan Penelitian Empiris (Research Gap) pada 7 Subjek Hubungan Model Penelitian</w:t>
        </w:r>
        <w:r>
          <w:rPr>
            <w:b w:val="0"/>
            <w:sz w:val="22"/>
            <w:color w:val="000000"/>
            <w:rFonts w:ascii="Times New Roman" w:hAnsi="Times New Roman" w:cs="Times New Roman"/>
          </w:rPr>
          <w:tab/>
          <w:t>13</w:t>
        </w:r>
      </w:hyperlink>
    </w:p>
    <w:p>
      <w:pPr>
        <w:pStyle w:val="TOC1"/>
        <w:spacing w:line="276" w:lineRule="auto" w:before="0" w:after="80"/>
        <w:ind w:left="0" w:firstLine="0" w:right="0"/>
        <w:tabs>
          <w:tab w:val="right" w:leader="dot" w:pos="7938"/>
        </w:tabs>
      </w:pPr>
      <w:hyperlink w:anchor="Cap_Tabel_1_1" w:history="1">
        <w:r>
          <w:rPr>
            <w:b/>
            <w:sz w:val="22"/>
            <w:color w:val="000000"/>
            <w:rFonts w:ascii="Times New Roman" w:hAnsi="Times New Roman" w:cs="Times New Roman"/>
          </w:rPr>
          <w:t xml:space="preserve">Tabel 1.1.  </w:t>
        </w:r>
        <w:r>
          <w:rPr>
            <w:b w:val="0"/>
            <w:sz w:val="22"/>
            <w:color w:val="000000"/>
            <w:rFonts w:ascii="Times New Roman" w:hAnsi="Times New Roman" w:cs="Times New Roman"/>
          </w:rPr>
          <w:t>Matriks Kesenjangan Penelitian Empiris (Research Gap) pada 7 Subjek Hubungan Model Penelitian (lanjutan)</w:t>
        </w:r>
        <w:r>
          <w:rPr>
            <w:b w:val="0"/>
            <w:sz w:val="22"/>
            <w:color w:val="000000"/>
            <w:rFonts w:ascii="Times New Roman" w:hAnsi="Times New Roman" w:cs="Times New Roman"/>
          </w:rPr>
          <w:tab/>
          <w:t>14</w:t>
        </w:r>
      </w:hyperlink>
    </w:p>
    <w:p>
      <w:pPr>
        <w:pStyle w:val="TOC1"/>
        <w:spacing w:line="276" w:lineRule="auto" w:before="0" w:after="80"/>
        <w:ind w:left="0" w:firstLine="0" w:right="0"/>
        <w:tabs>
          <w:tab w:val="right" w:leader="dot" w:pos="7938"/>
        </w:tabs>
      </w:pPr>
      <w:hyperlink w:anchor="Cap_Tabel_1_1" w:history="1">
        <w:r>
          <w:rPr>
            <w:b/>
            <w:sz w:val="22"/>
            <w:color w:val="000000"/>
            <w:rFonts w:ascii="Times New Roman" w:hAnsi="Times New Roman" w:cs="Times New Roman"/>
          </w:rPr>
          <w:t xml:space="preserve">Tabel 1.1.  </w:t>
        </w:r>
        <w:r>
          <w:rPr>
            <w:b w:val="0"/>
            <w:sz w:val="22"/>
            <w:color w:val="000000"/>
            <w:rFonts w:ascii="Times New Roman" w:hAnsi="Times New Roman" w:cs="Times New Roman"/>
          </w:rPr>
          <w:t>Matriks Kesenjangan Penelitian Empiris (Research Gap) pada 7 Subjek Hubungan Model Penelitian (lanjutan)</w:t>
        </w:r>
        <w:r>
          <w:rPr>
            <w:b w:val="0"/>
            <w:sz w:val="22"/>
            <w:color w:val="000000"/>
            <w:rFonts w:ascii="Times New Roman" w:hAnsi="Times New Roman" w:cs="Times New Roman"/>
          </w:rPr>
          <w:tab/>
          <w:t>15</w:t>
        </w:r>
      </w:hyperlink>
    </w:p>
    <w:p>
      <w:pPr>
        <w:pStyle w:val="TOC1"/>
        <w:spacing w:line="276" w:lineRule="auto" w:before="0" w:after="80"/>
        <w:ind w:left="0" w:firstLine="0" w:right="0"/>
        <w:tabs>
          <w:tab w:val="right" w:leader="dot" w:pos="7938"/>
        </w:tabs>
      </w:pPr>
      <w:hyperlink w:anchor="Cap_Tabel_2_1" w:history="1">
        <w:r>
          <w:rPr>
            <w:b/>
            <w:sz w:val="22"/>
            <w:color w:val="000000"/>
            <w:rFonts w:ascii="Times New Roman" w:hAnsi="Times New Roman" w:cs="Times New Roman"/>
          </w:rPr>
          <w:t xml:space="preserve">Tabel 2.1.  </w:t>
        </w:r>
        <w:r>
          <w:rPr>
            <w:b w:val="0"/>
            <w:sz w:val="22"/>
            <w:color w:val="000000"/>
            <w:rFonts w:ascii="Times New Roman" w:hAnsi="Times New Roman" w:cs="Times New Roman"/>
          </w:rPr>
          <w:t>Ringkasan Penelitian Sebelumnya</w:t>
        </w:r>
        <w:r>
          <w:rPr>
            <w:b w:val="0"/>
            <w:sz w:val="22"/>
            <w:color w:val="000000"/>
            <w:rFonts w:ascii="Times New Roman" w:hAnsi="Times New Roman" w:cs="Times New Roman"/>
          </w:rPr>
          <w:tab/>
          <w:t>22</w:t>
        </w:r>
      </w:hyperlink>
    </w:p>
    <w:p>
      <w:pPr>
        <w:pStyle w:val="TOC1"/>
        <w:spacing w:line="276" w:lineRule="auto" w:before="0" w:after="80"/>
        <w:ind w:left="0" w:firstLine="0" w:right="0"/>
        <w:tabs>
          <w:tab w:val="right" w:leader="dot" w:pos="7938"/>
        </w:tabs>
      </w:pPr>
      <w:hyperlink w:anchor="Cap_Tabel_3_1" w:history="1">
        <w:r>
          <w:rPr>
            <w:b/>
            <w:sz w:val="22"/>
            <w:color w:val="000000"/>
            <w:rFonts w:ascii="Times New Roman" w:hAnsi="Times New Roman" w:cs="Times New Roman"/>
          </w:rPr>
          <w:t xml:space="preserve">Tabel 3.1.  </w:t>
        </w:r>
        <w:r>
          <w:rPr>
            <w:b w:val="0"/>
            <w:sz w:val="22"/>
            <w:color w:val="000000"/>
            <w:rFonts w:ascii="Times New Roman" w:hAnsi="Times New Roman" w:cs="Times New Roman"/>
          </w:rPr>
          <w:t>Skala Pengukuran Likert 5 Poin</w:t>
        </w:r>
        <w:r>
          <w:rPr>
            <w:b w:val="0"/>
            <w:sz w:val="22"/>
            <w:color w:val="000000"/>
            <w:rFonts w:ascii="Times New Roman" w:hAnsi="Times New Roman" w:cs="Times New Roman"/>
          </w:rPr>
          <w:tab/>
          <w:t>30</w:t>
        </w:r>
      </w:hyperlink>
    </w:p>
    <w:p>
      <w:pPr>
        <w:pStyle w:val="TOC1"/>
        <w:spacing w:line="276" w:lineRule="auto" w:before="0" w:after="80"/>
        <w:ind w:left="0" w:firstLine="0" w:right="0"/>
        <w:tabs>
          <w:tab w:val="right" w:leader="dot" w:pos="7938"/>
        </w:tabs>
      </w:pPr>
      <w:hyperlink w:anchor="Cap_Tabel_3_2" w:history="1">
        <w:r>
          <w:rPr>
            <w:b/>
            <w:sz w:val="22"/>
            <w:color w:val="000000"/>
            <w:rFonts w:ascii="Times New Roman" w:hAnsi="Times New Roman" w:cs="Times New Roman"/>
          </w:rPr>
          <w:t xml:space="preserve">Tabel 3.2.  </w:t>
        </w:r>
        <w:r>
          <w:rPr>
            <w:b w:val="0"/>
            <w:sz w:val="22"/>
            <w:color w:val="000000"/>
            <w:rFonts w:ascii="Times New Roman" w:hAnsi="Times New Roman" w:cs="Times New Roman"/>
          </w:rPr>
          <w:t>Operasionalisasi Variabel Penelitian</w:t>
        </w:r>
        <w:r>
          <w:rPr>
            <w:b w:val="0"/>
            <w:sz w:val="22"/>
            <w:color w:val="000000"/>
            <w:rFonts w:ascii="Times New Roman" w:hAnsi="Times New Roman" w:cs="Times New Roman"/>
          </w:rPr>
          <w:tab/>
          <w:t>36</w:t>
        </w:r>
      </w:hyperlink>
    </w:p>
    <w:p>
      <w:pPr>
        <w:pStyle w:val="TOC1"/>
        <w:spacing w:line="276" w:lineRule="auto" w:before="0" w:after="80"/>
        <w:ind w:left="0" w:firstLine="0" w:right="0"/>
        <w:tabs>
          <w:tab w:val="right" w:leader="dot" w:pos="7938"/>
        </w:tabs>
      </w:pPr>
      <w:hyperlink w:anchor="Cap_Tabel_3_3" w:history="1">
        <w:r>
          <w:rPr>
            <w:b/>
            <w:sz w:val="22"/>
            <w:color w:val="000000"/>
            <w:rFonts w:ascii="Times New Roman" w:hAnsi="Times New Roman" w:cs="Times New Roman"/>
          </w:rPr>
          <w:t xml:space="preserve">Tabel 3.3.  </w:t>
        </w:r>
        <w:r>
          <w:rPr>
            <w:b w:val="0"/>
            <w:sz w:val="22"/>
            <w:color w:val="000000"/>
            <w:rFonts w:ascii="Times New Roman" w:hAnsi="Times New Roman" w:cs="Times New Roman"/>
          </w:rPr>
          <w:t>Jadwal Pelaksanaan Kegiatan Penelitian (Tahun 2026)</w:t>
        </w:r>
        <w:r>
          <w:rPr>
            <w:b w:val="0"/>
            <w:sz w:val="22"/>
            <w:color w:val="000000"/>
            <w:rFonts w:ascii="Times New Roman" w:hAnsi="Times New Roman" w:cs="Times New Roman"/>
          </w:rPr>
          <w:tab/>
          <w:t>44</w:t>
        </w:r>
      </w:hyperlink>
    </w:p>
    <w:p>
      <w:r>
        <w:br w:type="page"/>
      </w:r>
    </w:p>
    <w:p>
      <w:pPr>
        <w:pStyle w:val="Heading1"/>
        <w:keepNext/>
        <w:pageBreakBefore/>
        <w:spacing w:before="0" w:after="360" w:line="360" w:lineRule="auto"/>
        <w:ind w:firstLine="0"/>
        <w:jc w:val="center"/>
        <w:outlineLvl w:val="0"/>
      </w:pPr>
      <w:r>
        <w:rPr>
          <w:b/>
          <w:i w:val="0"/>
          <w:color w:val="000000"/>
          <w:sz w:val="24"/>
          <w:rFonts w:ascii="Times New Roman" w:hAnsi="Times New Roman" w:cs="Times New Roman"/>
        </w:rPr>
        <w:t>DAFTAR GAMBAR</w:t>
      </w:r>
    </w:p>
    <w:p>
      <w:pPr>
        <w:pStyle w:val="TOC1"/>
        <w:spacing w:line="276" w:lineRule="auto" w:before="0" w:after="80"/>
        <w:ind w:left="0" w:firstLine="0" w:right="0"/>
        <w:tabs>
          <w:tab w:val="right" w:leader="dot" w:pos="7938"/>
        </w:tabs>
      </w:pPr>
      <w:hyperlink w:anchor="Cap_Gambar_1_1" w:history="1">
        <w:r>
          <w:rPr>
            <w:b/>
            <w:sz w:val="22"/>
            <w:color w:val="000000"/>
            <w:rFonts w:ascii="Times New Roman" w:hAnsi="Times New Roman" w:cs="Times New Roman"/>
          </w:rPr>
          <w:t xml:space="preserve">Gambar 1.1.  </w:t>
        </w:r>
        <w:r>
          <w:rPr>
            <w:b w:val="0"/>
            <w:sz w:val="22"/>
            <w:color w:val="000000"/>
            <w:rFonts w:ascii="Times New Roman" w:hAnsi="Times New Roman" w:cs="Times New Roman"/>
          </w:rPr>
          <w:t>Peringkat 10 Waralaba Media Berpendapatan Tertinggi di Dunia Sepanjang Masa</w:t>
        </w:r>
        <w:r>
          <w:rPr>
            <w:b w:val="0"/>
            <w:sz w:val="22"/>
            <w:color w:val="000000"/>
            <w:rFonts w:ascii="Times New Roman" w:hAnsi="Times New Roman" w:cs="Times New Roman"/>
          </w:rPr>
          <w:tab/>
          <w:t>2</w:t>
        </w:r>
      </w:hyperlink>
    </w:p>
    <w:p>
      <w:pPr>
        <w:pStyle w:val="TOC1"/>
        <w:spacing w:line="276" w:lineRule="auto" w:before="0" w:after="80"/>
        <w:ind w:left="0" w:firstLine="0" w:right="0"/>
        <w:tabs>
          <w:tab w:val="right" w:leader="dot" w:pos="7938"/>
        </w:tabs>
      </w:pPr>
      <w:hyperlink w:anchor="Cap_Gambar_1_2" w:history="1">
        <w:r>
          <w:rPr>
            <w:b/>
            <w:sz w:val="22"/>
            <w:color w:val="000000"/>
            <w:rFonts w:ascii="Times New Roman" w:hAnsi="Times New Roman" w:cs="Times New Roman"/>
          </w:rPr>
          <w:t xml:space="preserve">Gambar 1.2.  </w:t>
        </w:r>
        <w:r>
          <w:rPr>
            <w:b w:val="0"/>
            <w:sz w:val="22"/>
            <w:color w:val="000000"/>
            <w:rFonts w:ascii="Times New Roman" w:hAnsi="Times New Roman" w:cs="Times New Roman"/>
          </w:rPr>
          <w:t>Pertumbuhan Kumulatif Produksi Kartu Pokémon TCG Global Tahun 2019–2024</w:t>
        </w:r>
        <w:r>
          <w:rPr>
            <w:b w:val="0"/>
            <w:sz w:val="22"/>
            <w:color w:val="000000"/>
            <w:rFonts w:ascii="Times New Roman" w:hAnsi="Times New Roman" w:cs="Times New Roman"/>
          </w:rPr>
          <w:tab/>
          <w:t>3</w:t>
        </w:r>
      </w:hyperlink>
    </w:p>
    <w:p>
      <w:pPr>
        <w:pStyle w:val="TOC1"/>
        <w:spacing w:line="276" w:lineRule="auto" w:before="0" w:after="80"/>
        <w:ind w:left="0" w:firstLine="0" w:right="0"/>
        <w:tabs>
          <w:tab w:val="right" w:leader="dot" w:pos="7938"/>
        </w:tabs>
      </w:pPr>
      <w:hyperlink w:anchor="Cap_Gambar_1_3" w:history="1">
        <w:r>
          <w:rPr>
            <w:b/>
            <w:sz w:val="22"/>
            <w:color w:val="000000"/>
            <w:rFonts w:ascii="Times New Roman" w:hAnsi="Times New Roman" w:cs="Times New Roman"/>
          </w:rPr>
          <w:t xml:space="preserve">Gambar 1.3.  </w:t>
        </w:r>
        <w:r>
          <w:rPr>
            <w:b w:val="0"/>
            <w:sz w:val="22"/>
            <w:color w:val="000000"/>
            <w:rFonts w:ascii="Times New Roman" w:hAnsi="Times New Roman" w:cs="Times New Roman"/>
          </w:rPr>
          <w:t>Disparitas Harga Pasar Sekunder Kartu Pokémon Mentah (Ungraded) vs. Bersertifikasi PSA 10 Gem Mint Seri Shining Fates</w:t>
        </w:r>
        <w:r>
          <w:rPr>
            <w:b w:val="0"/>
            <w:sz w:val="22"/>
            <w:color w:val="000000"/>
            <w:rFonts w:ascii="Times New Roman" w:hAnsi="Times New Roman" w:cs="Times New Roman"/>
          </w:rPr>
          <w:tab/>
          <w:t>5</w:t>
        </w:r>
      </w:hyperlink>
    </w:p>
    <w:p>
      <w:pPr>
        <w:pStyle w:val="TOC1"/>
        <w:spacing w:line="276" w:lineRule="auto" w:before="0" w:after="80"/>
        <w:ind w:left="0" w:firstLine="0" w:right="0"/>
        <w:tabs>
          <w:tab w:val="right" w:leader="dot" w:pos="7938"/>
        </w:tabs>
      </w:pPr>
      <w:hyperlink w:anchor="Cap_Gambar_2_1" w:history="1">
        <w:r>
          <w:rPr>
            <w:b/>
            <w:sz w:val="22"/>
            <w:color w:val="000000"/>
            <w:rFonts w:ascii="Times New Roman" w:hAnsi="Times New Roman" w:cs="Times New Roman"/>
          </w:rPr>
          <w:t xml:space="preserve">Gambar 2.1.  </w:t>
        </w:r>
        <w:r>
          <w:rPr>
            <w:b w:val="0"/>
            <w:sz w:val="22"/>
            <w:color w:val="000000"/>
            <w:rFonts w:ascii="Times New Roman" w:hAnsi="Times New Roman" w:cs="Times New Roman"/>
          </w:rPr>
          <w:t>Model Rerangka Konseptual Penelitian</w:t>
        </w:r>
        <w:r>
          <w:rPr>
            <w:b w:val="0"/>
            <w:sz w:val="22"/>
            <w:color w:val="000000"/>
            <w:rFonts w:ascii="Times New Roman" w:hAnsi="Times New Roman" w:cs="Times New Roman"/>
          </w:rPr>
          <w:tab/>
          <w:t>29</w:t>
        </w:r>
      </w:hyperlink>
    </w:p>
    <w:p>
      <w:pPr>
        <w:pStyle w:val="TOC1"/>
        <w:spacing w:line="276" w:lineRule="auto" w:before="0" w:after="80"/>
        <w:ind w:left="0" w:firstLine="0" w:right="0"/>
        <w:tabs>
          <w:tab w:val="right" w:leader="dot" w:pos="7938"/>
        </w:tabs>
      </w:pPr>
      <w:hyperlink w:anchor="Cap_Gambar_3_1" w:history="1">
        <w:r>
          <w:rPr>
            <w:b/>
            <w:sz w:val="22"/>
            <w:color w:val="000000"/>
            <w:rFonts w:ascii="Times New Roman" w:hAnsi="Times New Roman" w:cs="Times New Roman"/>
          </w:rPr>
          <w:t xml:space="preserve">Gambar 3.1.  </w:t>
        </w:r>
        <w:r>
          <w:rPr>
            <w:b w:val="0"/>
            <w:sz w:val="22"/>
            <w:color w:val="000000"/>
            <w:rFonts w:ascii="Times New Roman" w:hAnsi="Times New Roman" w:cs="Times New Roman"/>
          </w:rPr>
          <w:t>Diagram Alur Pelaksanaan Penelitian</w:t>
        </w:r>
        <w:r>
          <w:rPr>
            <w:b w:val="0"/>
            <w:sz w:val="22"/>
            <w:color w:val="000000"/>
            <w:rFonts w:ascii="Times New Roman" w:hAnsi="Times New Roman" w:cs="Times New Roman"/>
          </w:rPr>
          <w:tab/>
          <w:t>43</w:t>
        </w:r>
      </w:hyperlink>
    </w:p>
    <w:p>
      <w:pPr>
        <w:sectPr>
          <w:headerReference w:type="default" r:id="rId11"/>
          <w:footerReference w:type="default" r:id="rId12"/>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b/>
          <w:i w:val="0"/>
          <w:color w:val="000000"/>
          <w:sz w:val="24"/>
          <w:rFonts w:ascii="Times New Roman" w:hAnsi="Times New Roman" w:cs="Times New Roman"/>
        </w:rPr>
        <w:t>BAB 1 PENDAHULUAN</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1.1 Latar Belakang Penelitian</w:t>
      </w:r>
    </w:p>
    <w:p>
      <w:pPr>
        <w:spacing w:line="360" w:lineRule="auto" w:before="0" w:after="0"/>
        <w:ind w:firstLine="709"/>
        <w:jc w:val="both"/>
      </w:pPr>
      <w:r>
        <w:rPr>
          <w:b w:val="0"/>
          <w:i w:val="0"/>
          <w:sz w:val="24"/>
          <w:color w:val="000000"/>
          <w:rFonts w:ascii="Times New Roman" w:hAnsi="Times New Roman" w:cs="Times New Roman"/>
        </w:rPr>
        <w:t>Waralaba media (</w:t>
      </w:r>
      <w:r>
        <w:rPr>
          <w:b w:val="0"/>
          <w:i/>
          <w:sz w:val="24"/>
          <w:color w:val="000000"/>
          <w:rFonts w:ascii="Times New Roman" w:hAnsi="Times New Roman" w:cs="Times New Roman"/>
        </w:rPr>
        <w:t>media franchise</w:t>
      </w:r>
      <w:r>
        <w:rPr>
          <w:b w:val="0"/>
          <w:i w:val="0"/>
          <w:sz w:val="24"/>
          <w:color w:val="000000"/>
          <w:rFonts w:ascii="Times New Roman" w:hAnsi="Times New Roman"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b w:val="0"/>
          <w:i/>
          <w:sz w:val="24"/>
          <w:color w:val="000000"/>
          <w:rFonts w:ascii="Times New Roman" w:hAnsi="Times New Roman" w:cs="Times New Roman"/>
        </w:rPr>
        <w:t>the highest-grossing media franchise in history</w:t>
      </w:r>
      <w:r>
        <w:rPr>
          <w:b w:val="0"/>
          <w:i w:val="0"/>
          <w:sz w:val="24"/>
          <w:color w:val="000000"/>
          <w:rFonts w:ascii="Times New Roman" w:hAnsi="Times New Roman" w:cs="Times New Roman"/>
        </w:rPr>
        <w:t xml:space="preserve">), dengan estimasi pendapatan kotor kumulatif melampaui US$ 100,0 miliar </w:t>
      </w:r>
      <w:hyperlink w:anchor="Ref_statista2024pokemon" w:history="1">
        <w:r>
          <w:t xml:space="preserve">(Statista, 2021)</w:t>
        </w:r>
      </w:hyperlink>
      <w:r>
        <w:rPr>
          <w:color w:val="000000"/>
          <w:rFonts w:ascii="Times New Roman" w:hAnsi="Times New Roman" w:cs="Times New Roman"/>
        </w:rPr>
        <w:t xml:space="preserve">. Angka ini melampaui waralaba legendaris dunia lainnya seperti </w:t>
      </w:r>
      <w:r>
        <w:rPr>
          <w:b w:val="0"/>
          <w:i/>
          <w:sz w:val="24"/>
          <w:color w:val="000000"/>
          <w:rFonts w:ascii="Times New Roman" w:hAnsi="Times New Roman" w:cs="Times New Roman"/>
        </w:rPr>
        <w:t>Hello Kitty</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Winnie the Pooh</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maupun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Keberhasilan masif ini dibangun di atas fondasi ekosistem multimedia yang saling memperkuat: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Permainan Video (</w:t>
      </w:r>
      <w:r>
        <w:rPr>
          <w:b/>
          <w:i/>
          <w:sz w:val="24"/>
          <w:color w:val="000000"/>
          <w:rFonts w:ascii="Times New Roman" w:hAnsi="Times New Roman" w:cs="Times New Roman"/>
        </w:rPr>
        <w:t>Video Games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Dimulai dari RPG Generasi I (</w:t>
      </w:r>
      <w:r>
        <w:rPr>
          <w:b w:val="0"/>
          <w:i/>
          <w:sz w:val="24"/>
          <w:color w:val="000000"/>
          <w:rFonts w:ascii="Times New Roman" w:hAnsi="Times New Roman" w:cs="Times New Roman"/>
        </w:rPr>
        <w:t>Pokémon Red/Green/Blue</w:t>
      </w:r>
      <w:r>
        <w:rPr>
          <w:b w:val="0"/>
          <w:i w:val="0"/>
          <w:sz w:val="24"/>
          <w:color w:val="000000"/>
          <w:rFonts w:ascii="Times New Roman" w:hAnsi="Times New Roman" w:cs="Times New Roman"/>
        </w:rPr>
        <w:t>) di konsol Nintendo Game Boy hingga Generasi IX (</w:t>
      </w:r>
      <w:r>
        <w:rPr>
          <w:b w:val="0"/>
          <w:i/>
          <w:sz w:val="24"/>
          <w:color w:val="000000"/>
          <w:rFonts w:ascii="Times New Roman" w:hAnsi="Times New Roman" w:cs="Times New Roman"/>
        </w:rPr>
        <w:t>Pokémon Scarlet/Violet</w:t>
      </w:r>
      <w:r>
        <w:rPr>
          <w:b w:val="0"/>
          <w:i w:val="0"/>
          <w:sz w:val="24"/>
          <w:color w:val="000000"/>
          <w:rFonts w:ascii="Times New Roman" w:hAnsi="Times New Roman" w:cs="Times New Roman"/>
        </w:rPr>
        <w:t xml:space="preserve">) di Nintendo Switch, serta revolusi permainan seluler berbasis </w:t>
      </w:r>
      <w:r>
        <w:rPr>
          <w:b w:val="0"/>
          <w:i/>
          <w:sz w:val="24"/>
          <w:color w:val="000000"/>
          <w:rFonts w:ascii="Times New Roman" w:hAnsi="Times New Roman" w:cs="Times New Roman"/>
        </w:rPr>
        <w:t>Augmented Reality</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GO</w:t>
      </w:r>
      <w:r>
        <w:rPr>
          <w:b w:val="0"/>
          <w:i w:val="0"/>
          <w:sz w:val="24"/>
          <w:color w:val="000000"/>
          <w:rFonts w:ascii="Times New Roman" w:hAnsi="Times New Roman" w:cs="Times New Roman"/>
        </w:rPr>
        <w:t xml:space="preserve"> yang memecahkan rekor interaksi ratusan juta pemain global secara simultan, disusul inovasi digital mutakhir seperti </w:t>
      </w:r>
      <w:r>
        <w:rPr>
          <w:b w:val="0"/>
          <w:i/>
          <w:sz w:val="24"/>
          <w:color w:val="000000"/>
          <w:rFonts w:ascii="Times New Roman" w:hAnsi="Times New Roman" w:cs="Times New Roman"/>
        </w:rPr>
        <w:t>Pokémon Sleep</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UNITE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Pokémon Trading Card Game Pocket</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Animasi dan Film Bioskop:</w:t>
      </w:r>
      <w:r>
        <w:rPr>
          <w:b w:val="0"/>
          <w:i w:val="0"/>
          <w:sz w:val="24"/>
          <w:color w:val="000000"/>
          <w:rFonts w:ascii="Times New Roman" w:hAnsi="Times New Roman" w:cs="Times New Roman"/>
        </w:rPr>
        <w:t xml:space="preserve"> Serial televisi anime yang mengisahkan 25 tahun perjalanan Satoshi (Ash Ketchum) dan Pikachu yang telah ditayangkan di lebih dari 190 negara, deretan film layar lebar seperti </w:t>
      </w:r>
      <w:r>
        <w:rPr>
          <w:b w:val="0"/>
          <w:i/>
          <w:sz w:val="24"/>
          <w:color w:val="000000"/>
          <w:rFonts w:ascii="Times New Roman" w:hAnsi="Times New Roman" w:cs="Times New Roman"/>
        </w:rPr>
        <w:t>Pokémon: The First Movie – Mewtwo Strikes Back</w:t>
      </w:r>
      <w:r>
        <w:rPr>
          <w:b w:val="0"/>
          <w:i w:val="0"/>
          <w:sz w:val="24"/>
          <w:color w:val="000000"/>
          <w:rFonts w:ascii="Times New Roman" w:hAnsi="Times New Roman" w:cs="Times New Roman"/>
        </w:rPr>
        <w:t xml:space="preserve"> (1998) yang sukses di </w:t>
      </w:r>
      <w:r>
        <w:rPr>
          <w:b w:val="0"/>
          <w:i/>
          <w:sz w:val="24"/>
          <w:color w:val="000000"/>
          <w:rFonts w:ascii="Times New Roman" w:hAnsi="Times New Roman" w:cs="Times New Roman"/>
        </w:rPr>
        <w:t>box office</w:t>
      </w:r>
      <w:r>
        <w:rPr>
          <w:b w:val="0"/>
          <w:i w:val="0"/>
          <w:sz w:val="24"/>
          <w:color w:val="000000"/>
          <w:rFonts w:ascii="Times New Roman" w:hAnsi="Times New Roman" w:cs="Times New Roman"/>
        </w:rPr>
        <w:t xml:space="preserve"> global, film aksi langsung (</w:t>
      </w:r>
      <w:r>
        <w:rPr>
          <w:b w:val="0"/>
          <w:i/>
          <w:sz w:val="24"/>
          <w:color w:val="000000"/>
          <w:rFonts w:ascii="Times New Roman" w:hAnsi="Times New Roman" w:cs="Times New Roman"/>
        </w:rPr>
        <w:t>live-action</w:t>
      </w:r>
      <w:r>
        <w:rPr>
          <w:b w:val="0"/>
          <w:i w:val="0"/>
          <w:sz w:val="24"/>
          <w:color w:val="000000"/>
          <w:rFonts w:ascii="Times New Roman" w:hAnsi="Times New Roman" w:cs="Times New Roman"/>
        </w:rPr>
        <w:t xml:space="preserve">) Hollywood berpendapatan tinggi </w:t>
      </w:r>
      <w:r>
        <w:rPr>
          <w:b w:val="0"/>
          <w:i/>
          <w:sz w:val="24"/>
          <w:color w:val="000000"/>
          <w:rFonts w:ascii="Times New Roman" w:hAnsi="Times New Roman" w:cs="Times New Roman"/>
        </w:rPr>
        <w:t>Pokémon Detective Pikachu</w:t>
      </w:r>
      <w:r>
        <w:rPr>
          <w:b w:val="0"/>
          <w:i w:val="0"/>
          <w:sz w:val="24"/>
          <w:color w:val="000000"/>
          <w:rFonts w:ascii="Times New Roman" w:hAnsi="Times New Roman" w:cs="Times New Roman"/>
        </w:rPr>
        <w:t xml:space="preserve"> (2019), hingga serial anime generasi terbaru </w:t>
      </w:r>
      <w:r>
        <w:rPr>
          <w:b w:val="0"/>
          <w:i/>
          <w:sz w:val="24"/>
          <w:color w:val="000000"/>
          <w:rFonts w:ascii="Times New Roman" w:hAnsi="Times New Roman" w:cs="Times New Roman"/>
        </w:rPr>
        <w:t>Pokémon Horizons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Lisensi, Merchandise, dan Gerai Ritel:</w:t>
      </w:r>
      <w:r>
        <w:rPr>
          <w:b w:val="0"/>
          <w:i w:val="0"/>
          <w:sz w:val="24"/>
          <w:color w:val="000000"/>
          <w:rFonts w:ascii="Times New Roman" w:hAnsi="Times New Roman" w:cs="Times New Roman"/>
        </w:rPr>
        <w:t xml:space="preserve"> Jaringan gerai resmi </w:t>
      </w:r>
      <w:r>
        <w:rPr>
          <w:b w:val="0"/>
          <w:i/>
          <w:sz w:val="24"/>
          <w:color w:val="000000"/>
          <w:rFonts w:ascii="Times New Roman" w:hAnsi="Times New Roman" w:cs="Times New Roman"/>
        </w:rPr>
        <w:t>Pokémon Center</w:t>
      </w:r>
      <w:r>
        <w:rPr>
          <w:b w:val="0"/>
          <w:i w:val="0"/>
          <w:sz w:val="24"/>
          <w:color w:val="000000"/>
          <w:rFonts w:ascii="Times New Roman" w:hAnsi="Times New Roman" w:cs="Times New Roman"/>
        </w:rPr>
        <w:t xml:space="preserve"> di berbagai kota metropolitan dunia serta penyelenggaraan turnamen tahunan bergengsi berskala internasional yakni </w:t>
      </w:r>
      <w:r>
        <w:rPr>
          <w:b w:val="0"/>
          <w:i/>
          <w:sz w:val="24"/>
          <w:color w:val="000000"/>
          <w:rFonts w:ascii="Times New Roman" w:hAnsi="Times New Roman" w:cs="Times New Roman"/>
        </w:rPr>
        <w:t>Pokémon World Championships</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Berdasarkan data komparasi industri media global, dominasi ekonomi waralaba Pokémon disajikan pada Gambar.</w:t>
      </w:r>
    </w:p>
    <w:p>
      <w:pPr>
        <w:spacing w:before="240" w:after="80"/>
        <w:ind w:firstLine="0"/>
        <w:jc w:val="center"/>
      </w:pPr>
      <w:r>
        <w:drawing>
          <wp:inline xmlns:a="http://schemas.openxmlformats.org/drawingml/2006/main" xmlns:pic="http://schemas.openxmlformats.org/drawingml/2006/picture">
            <wp:extent cx="4860000" cy="2980356"/>
            <wp:docPr id="2" name="Picture 2"/>
            <wp:cNvGraphicFramePr>
              <a:graphicFrameLocks noChangeAspect="1"/>
            </wp:cNvGraphicFramePr>
            <a:graphic>
              <a:graphicData uri="http://schemas.openxmlformats.org/drawingml/2006/picture">
                <pic:pic>
                  <pic:nvPicPr>
                    <pic:cNvPr id="0" name="gambar1_1_media_franchise_ranking.png"/>
                    <pic:cNvPicPr/>
                  </pic:nvPicPr>
                  <pic:blipFill>
                    <a:blip r:embed="rId15"/>
                    <a:stretch>
                      <a:fillRect/>
                    </a:stretch>
                  </pic:blipFill>
                  <pic:spPr>
                    <a:xfrm>
                      <a:off x="0" y="0"/>
                      <a:ext cx="4860000" cy="2980356"/>
                    </a:xfrm>
                    <a:prstGeom prst="rect"/>
                  </pic:spPr>
                </pic:pic>
              </a:graphicData>
            </a:graphic>
          </wp:inline>
        </w:drawing>
      </w:r>
    </w:p>
    <w:p>
      <w:bookmarkStart w:id="1001" w:name="Cap_Gambar_1_1"/>
      <w:pPr>
        <w:spacing w:before="40" w:after="40"/>
        <w:ind w:firstLine="0"/>
        <w:jc w:val="center"/>
      </w:pPr>
      <w:r>
        <w:rPr>
          <w:b/>
          <w:color w:val="000000"/>
          <w:rFonts w:ascii="Times New Roman" w:hAnsi="Times New Roman" w:cs="Times New Roman"/>
        </w:rPr>
        <w:t>Gambar 1.1. Peringkat 10 Waralaba Media Berpendapatan Tertinggi di Dunia Sepanjang Masa</w:t>
      </w:r>
      <w:bookmarkEnd w:id="1001"/>
    </w:p>
    <w:p>
      <w:pPr>
        <w:spacing w:before="0" w:after="240"/>
        <w:ind w:firstLine="0"/>
        <w:jc w:val="center"/>
      </w:pPr>
      <w:r>
        <w:rPr>
          <w:i/>
          <w:sz w:val="20"/>
          <w:color w:val="000000"/>
          <w:rFonts w:ascii="Times New Roman" w:hAnsi="Times New Roman" w:cs="Times New Roman"/>
        </w:rPr>
        <w:t>Sumber: Statista Research dan Laporan Keuangan Tahunan Korporat (2024).</w:t>
      </w:r>
    </w:p>
    <w:p>
      <w:pPr>
        <w:spacing w:line="360" w:lineRule="auto" w:before="0" w:after="0"/>
        <w:ind w:firstLine="709"/>
        <w:jc w:val="both"/>
      </w:pPr>
      <w:r>
        <w:rPr>
          <w:b w:val="0"/>
          <w:i w:val="0"/>
          <w:sz w:val="24"/>
          <w:color w:val="000000"/>
          <w:rFonts w:ascii="Times New Roman" w:hAnsi="Times New Roman" w:cs="Times New Roman"/>
        </w:rPr>
        <w:t xml:space="preserve">Sebagaimana ditunjukkan pada Gambar, Pokémon menempati posisi puncak sebagai waralaba media nomor satu di dunia dengan total pendapatan melampaui US$ 100,0 miliar </w:t>
      </w:r>
      <w:hyperlink w:anchor="Ref_statista2024pokemon" w:history="1">
        <w:r>
          <w:t xml:space="preserve">(Statista, 2021)</w:t>
        </w:r>
      </w:hyperlink>
      <w:r>
        <w:rPr>
          <w:color w:val="000000"/>
          <w:rFonts w:ascii="Times New Roman" w:hAnsi="Times New Roman" w:cs="Times New Roman"/>
        </w:rPr>
        <w:t xml:space="preserve">. Bukti empiris ini mengonfirmasi bahwa Pokémon bukan sekadar hiburan musiman anak-anak, melainkan entitas komersial raksasa dengan basis perputaran kapital lintas generasi yang sangat kokoh.</w:t>
      </w:r>
    </w:p>
    <w:p>
      <w:pPr>
        <w:spacing w:line="360" w:lineRule="auto" w:before="0" w:after="0"/>
        <w:ind w:firstLine="709"/>
        <w:jc w:val="both"/>
      </w:pPr>
      <w:r>
        <w:rPr>
          <w:b w:val="0"/>
          <w:i w:val="0"/>
          <w:sz w:val="24"/>
          <w:color w:val="000000"/>
          <w:rFonts w:ascii="Times New Roman" w:hAnsi="Times New Roman" w:cs="Times New Roman"/>
        </w:rPr>
        <w:t xml:space="preserve">Di antara seluruh pilar ekosistem multimedia tersebut, </w:t>
      </w:r>
      <w:r>
        <w:rPr>
          <w:b/>
          <w:i w:val="0"/>
          <w:sz w:val="24"/>
          <w:color w:val="000000"/>
          <w:rFonts w:ascii="Times New Roman" w:hAnsi="Times New Roman" w:cs="Times New Roman"/>
        </w:rPr>
        <w:t xml:space="preserve">permainan kartu fisik atau </w:t>
      </w:r>
      <w:r>
        <w:rPr>
          <w:b/>
          <w:i/>
          <w:sz w:val="24"/>
          <w:color w:val="000000"/>
          <w:rFonts w:ascii="Times New Roman" w:hAnsi="Times New Roman" w:cs="Times New Roman"/>
        </w:rPr>
        <w:t>Pokémon Trading Card Game</w:t>
      </w:r>
      <w:r>
        <w:rPr>
          <w:b/>
          <w:i w:val="0"/>
          <w:sz w:val="24"/>
          <w:color w:val="000000"/>
          <w:rFonts w:ascii="Times New Roman" w:hAnsi="Times New Roman" w:cs="Times New Roman"/>
        </w:rPr>
        <w:t xml:space="preserve"> (Pokémon TCG)</w:t>
      </w:r>
      <w:r>
        <w:rPr>
          <w:b w:val="0"/>
          <w:i w:val="0"/>
          <w:sz w:val="24"/>
          <w:color w:val="000000"/>
          <w:rFonts w:ascii="Times New Roman" w:hAnsi="Times New Roman" w:cs="Times New Roman"/>
        </w:rPr>
        <w:t xml:space="preserve"> memegang peranan yang paling sentral dan memiliki salah satu perputaran ekonomi koleksi fisik (</w:t>
      </w:r>
      <w:r>
        <w:rPr>
          <w:b w:val="0"/>
          <w:i/>
          <w:sz w:val="24"/>
          <w:color w:val="000000"/>
          <w:rFonts w:ascii="Times New Roman" w:hAnsi="Times New Roman" w:cs="Times New Roman"/>
        </w:rPr>
        <w:t>physical collectibles</w:t>
      </w:r>
      <w:r>
        <w:rPr>
          <w:b w:val="0"/>
          <w:i w:val="0"/>
          <w:sz w:val="24"/>
          <w:color w:val="000000"/>
          <w:rFonts w:ascii="Times New Roman" w:hAnsi="Times New Roman"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 xml:space="preserve">(The Pokémon Company, 2024)</w:t>
        </w:r>
      </w:hyperlink>
      <w:r>
        <w:rPr>
          <w:color w:val="000000"/>
          <w:rFonts w:ascii="Times New Roman" w:hAnsi="Times New Roman" w:cs="Times New Roman"/>
        </w:rPr>
        <w:t xml:space="preserve">. Kartu Pokémon bukan lagi sekadar alat permainan meja (</w:t>
      </w:r>
      <w:r>
        <w:rPr>
          <w:b w:val="0"/>
          <w:i/>
          <w:sz w:val="24"/>
          <w:color w:val="000000"/>
          <w:rFonts w:ascii="Times New Roman" w:hAnsi="Times New Roman" w:cs="Times New Roman"/>
        </w:rPr>
        <w:t>tabletop game</w:t>
      </w:r>
      <w:r>
        <w:rPr>
          <w:b w:val="0"/>
          <w:i w:val="0"/>
          <w:sz w:val="24"/>
          <w:color w:val="000000"/>
          <w:rFonts w:ascii="Times New Roman" w:hAnsi="Times New Roman" w:cs="Times New Roman"/>
        </w:rPr>
        <w:t xml:space="preserve">) anak-anak, melainkan telah bertransformasi menjadi </w:t>
      </w:r>
      <w:r>
        <w:rPr>
          <w:b/>
          <w:i w:val="0"/>
          <w:sz w:val="24"/>
          <w:color w:val="000000"/>
          <w:rFonts w:ascii="Times New Roman" w:hAnsi="Times New Roman" w:cs="Times New Roman"/>
        </w:rPr>
        <w:t>instrumen aset alternatif koleksi (</w:t>
      </w:r>
      <w:r>
        <w:rPr>
          <w:b/>
          <w:i/>
          <w:sz w:val="24"/>
          <w:color w:val="000000"/>
          <w:rFonts w:ascii="Times New Roman" w:hAnsi="Times New Roman" w:cs="Times New Roman"/>
        </w:rPr>
        <w:t>alternative collectibles asset</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bernilai ekonomi tinggi yang diperdagangkan secara aktif oleh kalangan dewasa muda, investor hobi, dan balai lelang global. Akselerasi pertumbuhan produksi kartu Pokémon TCG secara global diilustrasikan pada Gambar.</w:t>
      </w:r>
    </w:p>
    <w:p>
      <w:pPr>
        <w:spacing w:before="240" w:after="80"/>
        <w:ind w:firstLine="0"/>
        <w:jc w:val="center"/>
      </w:pPr>
      <w:r>
        <w:drawing>
          <wp:inline xmlns:a="http://schemas.openxmlformats.org/drawingml/2006/main" xmlns:pic="http://schemas.openxmlformats.org/drawingml/2006/picture">
            <wp:extent cx="4860000" cy="2719286"/>
            <wp:docPr id="3" name="Picture 3"/>
            <wp:cNvGraphicFramePr>
              <a:graphicFrameLocks noChangeAspect="1"/>
            </wp:cNvGraphicFramePr>
            <a:graphic>
              <a:graphicData uri="http://schemas.openxmlformats.org/drawingml/2006/picture">
                <pic:pic>
                  <pic:nvPicPr>
                    <pic:cNvPr id="0" name="gambar1_2_pokemon_tcg_production_growth.png"/>
                    <pic:cNvPicPr/>
                  </pic:nvPicPr>
                  <pic:blipFill>
                    <a:blip r:embed="rId16"/>
                    <a:stretch>
                      <a:fillRect/>
                    </a:stretch>
                  </pic:blipFill>
                  <pic:spPr>
                    <a:xfrm>
                      <a:off x="0" y="0"/>
                      <a:ext cx="4860000" cy="2719286"/>
                    </a:xfrm>
                    <a:prstGeom prst="rect"/>
                  </pic:spPr>
                </pic:pic>
              </a:graphicData>
            </a:graphic>
          </wp:inline>
        </w:drawing>
      </w:r>
    </w:p>
    <w:p>
      <w:bookmarkStart w:id="1002" w:name="Cap_Gambar_1_2"/>
      <w:pPr>
        <w:spacing w:before="40" w:after="40"/>
        <w:ind w:firstLine="0"/>
        <w:jc w:val="center"/>
      </w:pPr>
      <w:r>
        <w:rPr>
          <w:b/>
          <w:color w:val="000000"/>
          <w:rFonts w:ascii="Times New Roman" w:hAnsi="Times New Roman" w:cs="Times New Roman"/>
        </w:rPr>
        <w:t>Gambar 1.2. Pertumbuhan Kumulatif Produksi Kartu Pokémon TCG Global Tahun 2019–2024</w:t>
      </w:r>
      <w:bookmarkEnd w:id="1002"/>
    </w:p>
    <w:p>
      <w:pPr>
        <w:spacing w:before="0" w:after="240"/>
        <w:ind w:firstLine="0"/>
        <w:jc w:val="center"/>
      </w:pPr>
      <w:r>
        <w:rPr>
          <w:i/>
          <w:sz w:val="20"/>
          <w:color w:val="000000"/>
          <w:rFonts w:ascii="Times New Roman" w:hAnsi="Times New Roman" w:cs="Times New Roman"/>
        </w:rPr>
        <w:t>Sumber: The Pokémon Company Corporate Business Data (2024).</w:t>
      </w:r>
    </w:p>
    <w:p>
      <w:pPr>
        <w:spacing w:line="360" w:lineRule="auto" w:before="0" w:after="0"/>
        <w:ind w:firstLine="709"/>
        <w:jc w:val="both"/>
      </w:pPr>
      <w:r>
        <w:rPr>
          <w:b w:val="0"/>
          <w:i w:val="0"/>
          <w:sz w:val="24"/>
          <w:color w:val="000000"/>
          <w:rFonts w:ascii="Times New Roman" w:hAnsi="Times New Roman"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pPr>
        <w:spacing w:line="360" w:lineRule="auto" w:before="0" w:after="0"/>
        <w:ind w:firstLine="709"/>
        <w:jc w:val="both"/>
      </w:pPr>
      <w:r>
        <w:rPr>
          <w:b w:val="0"/>
          <w:i w:val="0"/>
          <w:sz w:val="24"/>
          <w:color w:val="000000"/>
          <w:rFonts w:ascii="Times New Roman" w:hAnsi="Times New Roman"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b w:val="0"/>
          <w:i/>
          <w:sz w:val="24"/>
          <w:color w:val="000000"/>
          <w:rFonts w:ascii="Times New Roman" w:hAnsi="Times New Roman" w:cs="Times New Roman"/>
        </w:rPr>
        <w:t>Local Game Stores</w:t>
      </w:r>
      <w:r>
        <w:rPr>
          <w:b w:val="0"/>
          <w:i w:val="0"/>
          <w:sz w:val="24"/>
          <w:color w:val="000000"/>
          <w:rFonts w:ascii="Times New Roman" w:hAnsi="Times New Roman" w:cs="Times New Roman"/>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hobi kartu dari komunitas ceruk (</w:t>
      </w:r>
      <w:r>
        <w:rPr>
          <w:b w:val="0"/>
          <w:i/>
          <w:sz w:val="24"/>
          <w:color w:val="000000"/>
          <w:rFonts w:ascii="Times New Roman" w:hAnsi="Times New Roman" w:cs="Times New Roman"/>
        </w:rPr>
        <w:t>niche</w:t>
      </w:r>
      <w:r>
        <w:rPr>
          <w:b w:val="0"/>
          <w:i w:val="0"/>
          <w:sz w:val="24"/>
          <w:color w:val="000000"/>
          <w:rFonts w:ascii="Times New Roman" w:hAnsi="Times New Roman" w:cs="Times New Roman"/>
        </w:rPr>
        <w:t>)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b w:val="0"/>
          <w:i w:val="0"/>
          <w:sz w:val="24"/>
          <w:color w:val="000000"/>
          <w:rFonts w:ascii="Times New Roman" w:hAnsi="Times New Roman" w:cs="Times New Roman"/>
        </w:rPr>
        <w:t>Dinamika pasar Pokémon TCG fisik di Indonesia memunculkan fenomena perilaku konsumsi yang sangat unik sekaligus problematis. Produk kartu fisik dijual dalam format kemasan acak tertutup (</w:t>
      </w:r>
      <w:r>
        <w:rPr>
          <w:b w:val="0"/>
          <w:i/>
          <w:sz w:val="24"/>
          <w:color w:val="000000"/>
          <w:rFonts w:ascii="Times New Roman" w:hAnsi="Times New Roman" w:cs="Times New Roman"/>
        </w:rPr>
        <w:t>blind pack</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b w:val="0"/>
          <w:i/>
          <w:sz w:val="24"/>
          <w:color w:val="000000"/>
          <w:rFonts w:ascii="Times New Roman" w:hAnsi="Times New Roman" w:cs="Times New Roman"/>
        </w:rPr>
        <w:t>Special Illustration Rare / SAR</w:t>
      </w:r>
      <w:r>
        <w:rPr>
          <w:b w:val="0"/>
          <w:i w:val="0"/>
          <w:sz w:val="24"/>
          <w:color w:val="000000"/>
          <w:rFonts w:ascii="Times New Roman" w:hAnsi="Times New Roman" w:cs="Times New Roman"/>
        </w:rPr>
        <w:t xml:space="preserve">, kartu </w:t>
      </w:r>
      <w:r>
        <w:rPr>
          <w:b w:val="0"/>
          <w:i/>
          <w:sz w:val="24"/>
          <w:color w:val="000000"/>
          <w:rFonts w:ascii="Times New Roman" w:hAnsi="Times New Roman" w:cs="Times New Roman"/>
        </w:rPr>
        <w:t>Super Rare / SR</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Ultra Rare / UR</w:t>
      </w:r>
      <w:r>
        <w:rPr>
          <w:b w:val="0"/>
          <w:i w:val="0"/>
          <w:sz w:val="24"/>
          <w:color w:val="000000"/>
          <w:rFonts w:ascii="Times New Roman" w:hAnsi="Times New Roman"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 xml:space="preserve">(PriceCharting, 2024)</w:t>
        </w:r>
      </w:hyperlink>
      <w:r>
        <w:rPr>
          <w:color w:val="000000"/>
          <w:rFonts w:ascii="Times New Roman" w:hAnsi="Times New Roman" w:cs="Times New Roman"/>
        </w:rPr>
        <w:t xml:space="preserve">).</w:t>
      </w:r>
    </w:p>
    <w:p>
      <w:pPr>
        <w:spacing w:line="360" w:lineRule="auto" w:before="0" w:after="0"/>
        <w:ind w:firstLine="709"/>
        <w:jc w:val="both"/>
      </w:pPr>
      <w:r>
        <w:rPr>
          <w:b w:val="0"/>
          <w:i w:val="0"/>
          <w:sz w:val="24"/>
          <w:color w:val="000000"/>
          <w:rFonts w:ascii="Times New Roman" w:hAnsi="Times New Roman" w:cs="Times New Roman"/>
        </w:rPr>
        <w:t xml:space="preserve">Fenomena disparitas harga pasar sekunder ini diperkuat oleh keberadaan industri </w:t>
      </w:r>
      <w:r>
        <w:rPr>
          <w:b/>
          <w:i w:val="0"/>
          <w:sz w:val="24"/>
          <w:color w:val="000000"/>
          <w:rFonts w:ascii="Times New Roman" w:hAnsi="Times New Roman" w:cs="Times New Roman"/>
        </w:rPr>
        <w:t>sertifikasi penilaian kondisi fisik kartu (</w:t>
      </w:r>
      <w:r>
        <w:rPr>
          <w:b/>
          <w:i/>
          <w:sz w:val="24"/>
          <w:color w:val="000000"/>
          <w:rFonts w:ascii="Times New Roman" w:hAnsi="Times New Roman" w:cs="Times New Roman"/>
        </w:rPr>
        <w:t>card grading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Lembaga </w:t>
      </w:r>
      <w:r>
        <w:rPr>
          <w:b w:val="0"/>
          <w:i/>
          <w:sz w:val="24"/>
          <w:color w:val="000000"/>
          <w:rFonts w:ascii="Times New Roman" w:hAnsi="Times New Roman" w:cs="Times New Roman"/>
        </w:rPr>
        <w:t>grading</w:t>
      </w:r>
      <w:r>
        <w:rPr>
          <w:b w:val="0"/>
          <w:i w:val="0"/>
          <w:sz w:val="24"/>
          <w:color w:val="000000"/>
          <w:rFonts w:ascii="Times New Roman" w:hAnsi="Times New Roman" w:cs="Times New Roman"/>
        </w:rPr>
        <w:t xml:space="preserve"> independen berstandar internasional terkemuka seperti </w:t>
      </w:r>
      <w:r>
        <w:rPr>
          <w:b/>
          <w:i w:val="0"/>
          <w:sz w:val="24"/>
          <w:color w:val="000000"/>
          <w:rFonts w:ascii="Times New Roman" w:hAnsi="Times New Roman" w:cs="Times New Roman"/>
        </w:rPr>
        <w:t>PSA (</w:t>
      </w:r>
      <w:r>
        <w:rPr>
          <w:b/>
          <w:i/>
          <w:sz w:val="24"/>
          <w:color w:val="000000"/>
          <w:rFonts w:ascii="Times New Roman" w:hAnsi="Times New Roman" w:cs="Times New Roman"/>
        </w:rPr>
        <w:t>Professional Sports Authenticator</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BGS (</w:t>
      </w:r>
      <w:r>
        <w:rPr>
          <w:b/>
          <w:i/>
          <w:sz w:val="24"/>
          <w:color w:val="000000"/>
          <w:rFonts w:ascii="Times New Roman" w:hAnsi="Times New Roman" w:cs="Times New Roman"/>
        </w:rPr>
        <w:t>Beckett Grading Services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dan </w:t>
      </w:r>
      <w:r>
        <w:rPr>
          <w:b/>
          <w:i w:val="0"/>
          <w:sz w:val="24"/>
          <w:color w:val="000000"/>
          <w:rFonts w:ascii="Times New Roman" w:hAnsi="Times New Roman" w:cs="Times New Roman"/>
        </w:rPr>
        <w:t>CGC Cards</w:t>
      </w:r>
      <w:r>
        <w:rPr>
          <w:b w:val="0"/>
          <w:i w:val="0"/>
          <w:sz w:val="24"/>
          <w:color w:val="000000"/>
          <w:rFonts w:ascii="Times New Roman" w:hAnsi="Times New Roman" w:cs="Times New Roman"/>
        </w:rPr>
        <w:t xml:space="preserve"> memeriksa integritas fisik kartu secara mikroskopis berdasarkan empat kriteria utama: </w:t>
      </w:r>
      <w:r>
        <w:rPr>
          <w:b w:val="0"/>
          <w:i/>
          <w:sz w:val="24"/>
          <w:color w:val="000000"/>
          <w:rFonts w:ascii="Times New Roman" w:hAnsi="Times New Roman" w:cs="Times New Roman"/>
        </w:rPr>
        <w:t>centering</w:t>
      </w:r>
      <w:r>
        <w:rPr>
          <w:b w:val="0"/>
          <w:i w:val="0"/>
          <w:sz w:val="24"/>
          <w:color w:val="000000"/>
          <w:rFonts w:ascii="Times New Roman" w:hAnsi="Times New Roman" w:cs="Times New Roman"/>
        </w:rPr>
        <w:t xml:space="preserve"> (kesimetrisan cetak), </w:t>
      </w:r>
      <w:r>
        <w:rPr>
          <w:b w:val="0"/>
          <w:i/>
          <w:sz w:val="24"/>
          <w:color w:val="000000"/>
          <w:rFonts w:ascii="Times New Roman" w:hAnsi="Times New Roman" w:cs="Times New Roman"/>
        </w:rPr>
        <w:t>surface</w:t>
      </w:r>
      <w:r>
        <w:rPr>
          <w:b w:val="0"/>
          <w:i w:val="0"/>
          <w:sz w:val="24"/>
          <w:color w:val="000000"/>
          <w:rFonts w:ascii="Times New Roman" w:hAnsi="Times New Roman" w:cs="Times New Roman"/>
        </w:rPr>
        <w:t xml:space="preserve"> (kebersihan permukaan tanpa goresan), </w:t>
      </w:r>
      <w:r>
        <w:rPr>
          <w:b w:val="0"/>
          <w:i/>
          <w:sz w:val="24"/>
          <w:color w:val="000000"/>
          <w:rFonts w:ascii="Times New Roman" w:hAnsi="Times New Roman" w:cs="Times New Roman"/>
        </w:rPr>
        <w:t>edges</w:t>
      </w:r>
      <w:r>
        <w:rPr>
          <w:b w:val="0"/>
          <w:i w:val="0"/>
          <w:sz w:val="24"/>
          <w:color w:val="000000"/>
          <w:rFonts w:ascii="Times New Roman" w:hAnsi="Times New Roman" w:cs="Times New Roman"/>
        </w:rPr>
        <w:t xml:space="preserve"> (kerapian tepi), dan </w:t>
      </w:r>
      <w:r>
        <w:rPr>
          <w:b w:val="0"/>
          <w:i/>
          <w:sz w:val="24"/>
          <w:color w:val="000000"/>
          <w:rFonts w:ascii="Times New Roman" w:hAnsi="Times New Roman" w:cs="Times New Roman"/>
        </w:rPr>
        <w:t>corners</w:t>
      </w:r>
      <w:r>
        <w:rPr>
          <w:b w:val="0"/>
          <w:i w:val="0"/>
          <w:sz w:val="24"/>
          <w:color w:val="000000"/>
          <w:rFonts w:ascii="Times New Roman" w:hAnsi="Times New Roman" w:cs="Times New Roman"/>
        </w:rPr>
        <w:t xml:space="preserve"> (ketajaman sudut kartu). Kartu yang memenuhi kesempurnaan tertinggi akan disegel permanen dalam wadah akrilik kedap udara (</w:t>
      </w:r>
      <w:r>
        <w:rPr>
          <w:b w:val="0"/>
          <w:i/>
          <w:sz w:val="24"/>
          <w:color w:val="000000"/>
          <w:rFonts w:ascii="Times New Roman" w:hAnsi="Times New Roman" w:cs="Times New Roman"/>
        </w:rPr>
        <w:t>tamper-evident slab</w:t>
      </w:r>
      <w:r>
        <w:rPr>
          <w:b w:val="0"/>
          <w:i w:val="0"/>
          <w:sz w:val="24"/>
          <w:color w:val="000000"/>
          <w:rFonts w:ascii="Times New Roman" w:hAnsi="Times New Roman" w:cs="Times New Roman"/>
        </w:rPr>
        <w:t>) dan diberi label skor kualitas 1 hingga 10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BGS 10 Pristine</w:t>
      </w:r>
      <w:r>
        <w:rPr>
          <w:b w:val="0"/>
          <w:i w:val="0"/>
          <w:sz w:val="24"/>
          <w:color w:val="000000"/>
          <w:rFonts w:ascii="Times New Roman" w:hAnsi="Times New Roman" w:cs="Times New Roman"/>
        </w:rPr>
        <w:t xml:space="preserve">). Kartu berpredikat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secara instan bertransformasi menjadi aset terstandardisasi yang likuid di bursa lelang global dengan harga jual yang terobservasi melonjak berkali-kali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xml:space="preserve">) </w:t>
      </w:r>
      <w:hyperlink w:anchor="Ref_pricecharting2024" w:history="1">
        <w:r>
          <w:t xml:space="preserve">(PriceCharting, 2024)</w:t>
        </w:r>
      </w:hyperlink>
      <w:r>
        <w:rPr>
          <w:color w:val="000000"/>
          <w:rFonts w:ascii="Times New Roman" w:hAnsi="Times New Roman" w:cs="Times New Roman"/>
        </w:rPr>
        <w:t xml:space="preserve">. Kehadiran pasar </w:t>
      </w:r>
      <w:r>
        <w:rPr>
          <w:b w:val="0"/>
          <w:i/>
          <w:sz w:val="24"/>
          <w:color w:val="000000"/>
          <w:rFonts w:ascii="Times New Roman" w:hAnsi="Times New Roman" w:cs="Times New Roman"/>
        </w:rPr>
        <w:t>grading</w:t>
      </w:r>
      <w:r>
        <w:rPr>
          <w:b w:val="0"/>
          <w:i w:val="0"/>
          <w:sz w:val="24"/>
          <w:color w:val="000000"/>
          <w:rFonts w:ascii="Times New Roman" w:hAnsi="Times New Roman" w:cs="Times New Roman"/>
        </w:rPr>
        <w:t xml:space="preserve"> ini memicu gelombang spekulasi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di mana konsumen tergiur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murah dengan harapan menarik kartu berkondisi sempurna untuk digrade dan dijual kembali demi mendulang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Disparitas harga pasar sekunder yang ekstrem antara kartu mentah (</w:t>
      </w:r>
      <w:r>
        <w:rPr>
          <w:b w:val="0"/>
          <w:i/>
          <w:sz w:val="24"/>
          <w:color w:val="000000"/>
          <w:rFonts w:ascii="Times New Roman" w:hAnsi="Times New Roman" w:cs="Times New Roman"/>
        </w:rPr>
        <w:t>ungraded</w:t>
      </w:r>
      <w:r>
        <w:rPr>
          <w:b w:val="0"/>
          <w:i w:val="0"/>
          <w:sz w:val="24"/>
          <w:color w:val="000000"/>
          <w:rFonts w:ascii="Times New Roman" w:hAnsi="Times New Roman" w:cs="Times New Roman"/>
        </w:rPr>
        <w:t xml:space="preserve">) dengan kartu berkondisi sempurna yang telah memperoleh sertifikasi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pada seri Pokémon populer disajikan pada Gambar.</w:t>
      </w:r>
    </w:p>
    <w:p>
      <w:pPr>
        <w:spacing w:before="240" w:after="80"/>
        <w:ind w:firstLine="0"/>
        <w:jc w:val="center"/>
      </w:pPr>
      <w:r>
        <w:drawing>
          <wp:inline xmlns:a="http://schemas.openxmlformats.org/drawingml/2006/main" xmlns:pic="http://schemas.openxmlformats.org/drawingml/2006/picture">
            <wp:extent cx="4860000" cy="2818800"/>
            <wp:docPr id="4" name="Picture 4"/>
            <wp:cNvGraphicFramePr>
              <a:graphicFrameLocks noChangeAspect="1"/>
            </wp:cNvGraphicFramePr>
            <a:graphic>
              <a:graphicData uri="http://schemas.openxmlformats.org/drawingml/2006/picture">
                <pic:pic>
                  <pic:nvPicPr>
                    <pic:cNvPr id="0" name="gambar1_3_psa_grading_price_disparity.png"/>
                    <pic:cNvPicPr/>
                  </pic:nvPicPr>
                  <pic:blipFill>
                    <a:blip r:embed="rId17"/>
                    <a:stretch>
                      <a:fillRect/>
                    </a:stretch>
                  </pic:blipFill>
                  <pic:spPr>
                    <a:xfrm>
                      <a:off x="0" y="0"/>
                      <a:ext cx="4860000" cy="2818800"/>
                    </a:xfrm>
                    <a:prstGeom prst="rect"/>
                  </pic:spPr>
                </pic:pic>
              </a:graphicData>
            </a:graphic>
          </wp:inline>
        </w:drawing>
      </w:r>
    </w:p>
    <w:p>
      <w:bookmarkStart w:id="1003" w:name="Cap_Gambar_1_3"/>
      <w:pPr>
        <w:spacing w:before="40" w:after="40"/>
        <w:ind w:firstLine="0"/>
        <w:jc w:val="center"/>
      </w:pPr>
      <w:r>
        <w:rPr>
          <w:b/>
          <w:color w:val="000000"/>
          <w:rFonts w:ascii="Times New Roman" w:hAnsi="Times New Roman" w:cs="Times New Roman"/>
        </w:rPr>
        <w:t>Gambar 1.3. Disparitas Harga Pasar Sekunder Kartu Pokémon Mentah (Ungraded) vs. Bersertifikasi PSA 10 Gem Mint Seri Shining Fates</w:t>
      </w:r>
      <w:bookmarkEnd w:id="1003"/>
    </w:p>
    <w:p>
      <w:pPr>
        <w:spacing w:before="0" w:after="240"/>
        <w:ind w:firstLine="0"/>
        <w:jc w:val="center"/>
      </w:pPr>
      <w:r>
        <w:rPr>
          <w:i/>
          <w:sz w:val="20"/>
          <w:color w:val="000000"/>
          <w:rFonts w:ascii="Times New Roman" w:hAnsi="Times New Roman" w:cs="Times New Roman"/>
        </w:rPr>
        <w:t>Sumber: PriceCharting Market Database – Pokémon Shining Fates Price Guide (2024).</w:t>
      </w:r>
    </w:p>
    <w:p>
      <w:pPr>
        <w:spacing w:line="360" w:lineRule="auto" w:before="0" w:after="0"/>
        <w:ind w:firstLine="709"/>
        <w:jc w:val="both"/>
      </w:pPr>
      <w:r>
        <w:rPr>
          <w:b w:val="0"/>
          <w:i w:val="0"/>
          <w:sz w:val="24"/>
          <w:color w:val="000000"/>
          <w:rFonts w:ascii="Times New Roman" w:hAnsi="Times New Roman" w:cs="Times New Roman"/>
        </w:rPr>
        <w:t>Sebagaimana disajikan pada Gambar, kartu berkondisi sempurna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mengalami apresiasi nilai pasar sekunder yang spektakuler, berkisar antara 2,0 kali lipat pada kartu langka utama (</w:t>
      </w:r>
      <w:r>
        <w:rPr>
          <w:b w:val="0"/>
          <w:i/>
          <w:sz w:val="24"/>
          <w:color w:val="000000"/>
          <w:rFonts w:ascii="Times New Roman" w:hAnsi="Times New Roman" w:cs="Times New Roman"/>
        </w:rPr>
        <w:t>Charizard VMAX #SV107</w:t>
      </w:r>
      <w:r>
        <w:rPr>
          <w:b w:val="0"/>
          <w:i w:val="0"/>
          <w:sz w:val="24"/>
          <w:color w:val="000000"/>
          <w:rFonts w:ascii="Times New Roman" w:hAnsi="Times New Roman" w:cs="Times New Roman"/>
        </w:rPr>
        <w:t>) hingga menembus 23,7 kali lipat (</w:t>
      </w:r>
      <w:r>
        <w:rPr>
          <w:b w:val="0"/>
          <w:i/>
          <w:sz w:val="24"/>
          <w:color w:val="000000"/>
          <w:rFonts w:ascii="Times New Roman" w:hAnsi="Times New Roman" w:cs="Times New Roman"/>
        </w:rPr>
        <w:t>Kyogre #21</w:t>
      </w:r>
      <w:r>
        <w:rPr>
          <w:b w:val="0"/>
          <w:i w:val="0"/>
          <w:sz w:val="24"/>
          <w:color w:val="000000"/>
          <w:rFonts w:ascii="Times New Roman" w:hAnsi="Times New Roman" w:cs="Times New Roman"/>
        </w:rPr>
        <w:t>) dan 26,0 kali lipat (</w:t>
      </w:r>
      <w:r>
        <w:rPr>
          <w:b w:val="0"/>
          <w:i/>
          <w:sz w:val="24"/>
          <w:color w:val="000000"/>
          <w:rFonts w:ascii="Times New Roman" w:hAnsi="Times New Roman" w:cs="Times New Roman"/>
        </w:rPr>
        <w:t>Reshiram #17</w:t>
      </w:r>
      <w:r>
        <w:rPr>
          <w:b w:val="0"/>
          <w:i w:val="0"/>
          <w:sz w:val="24"/>
          <w:color w:val="000000"/>
          <w:rFonts w:ascii="Times New Roman" w:hAnsi="Times New Roman" w:cs="Times New Roman"/>
        </w:rPr>
        <w:t xml:space="preserve">) dibandingkan kondisi kartu mentah tanpa sertifikasi </w:t>
      </w:r>
      <w:hyperlink w:anchor="Ref_pricecharting2024" w:history="1">
        <w:r>
          <w:t xml:space="preserve">(PriceCharting, 2024)</w:t>
        </w:r>
      </w:hyperlink>
      <w:r>
        <w:rPr>
          <w:color w:val="000000"/>
          <w:rFonts w:ascii="Times New Roman" w:hAnsi="Times New Roman" w:cs="Times New Roman"/>
        </w:rPr>
        <w:t xml:space="preserve">. Fenomena disparitas harga yang masif ini mengilustrasikan plausibilitas bekerjanya motif spekulasi finansial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di mana konsumen terdorong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acak demi mengejar potensi keuntungan arbitrase </w:t>
      </w:r>
      <w:r>
        <w:rPr>
          <w:b w:val="0"/>
          <w:i/>
          <w:sz w:val="24"/>
          <w:color w:val="000000"/>
          <w:rFonts w:ascii="Times New Roman" w:hAnsi="Times New Roman" w:cs="Times New Roman"/>
        </w:rPr>
        <w:t>grading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Data ini bersifat ilustratif deskriptif (bukan uji kausal X_3 \rightarrow Y): snapshot PriceCharting seri </w:t>
      </w:r>
      <w:r>
        <w:rPr>
          <w:b w:val="0"/>
          <w:i/>
          <w:sz w:val="24"/>
          <w:color w:val="000000"/>
          <w:rFonts w:ascii="Times New Roman" w:hAnsi="Times New Roman" w:cs="Times New Roman"/>
        </w:rPr>
        <w:t>Shining Fates</w:t>
      </w:r>
      <w:r>
        <w:rPr>
          <w:b w:val="0"/>
          <w:i w:val="0"/>
          <w:sz w:val="24"/>
          <w:color w:val="000000"/>
          <w:rFonts w:ascii="Times New Roman" w:hAnsi="Times New Roman" w:cs="Times New Roman"/>
        </w:rPr>
        <w:t xml:space="preserve"> (edisi Inggris, N=5 kartu contoh, diakses Januari 2025; </w:t>
      </w:r>
      <w:r>
        <w:rPr>
          <w:b w:val="0"/>
          <w:i/>
          <w:sz w:val="24"/>
          <w:color w:val="000000"/>
          <w:rFonts w:ascii="Times New Roman" w:hAnsi="Times New Roman" w:cs="Times New Roman"/>
        </w:rPr>
        <w:t>ungraded</w:t>
      </w:r>
      <w:r>
        <w:rPr>
          <w:b w:val="0"/>
          <w:i w:val="0"/>
          <w:sz w:val="24"/>
          <w:color w:val="000000"/>
          <w:rFonts w:ascii="Times New Roman" w:hAnsi="Times New Roman" w:cs="Times New Roman"/>
        </w:rPr>
        <w:t xml:space="preserve">=harga pasar kartu mentah, </w:t>
      </w:r>
      <w:r>
        <w:rPr>
          <w:b w:val="0"/>
          <w:i/>
          <w:sz w:val="24"/>
          <w:color w:val="000000"/>
          <w:rFonts w:ascii="Times New Roman" w:hAnsi="Times New Roman" w:cs="Times New Roman"/>
        </w:rPr>
        <w:t>PSA 10</w:t>
      </w:r>
      <w:r>
        <w:rPr>
          <w:b w:val="0"/>
          <w:i w:val="0"/>
          <w:sz w:val="24"/>
          <w:color w:val="000000"/>
          <w:rFonts w:ascii="Times New Roman" w:hAnsi="Times New Roman" w:cs="Times New Roman"/>
        </w:rPr>
        <w:t xml:space="preserve">=harga lelang kartu bersertifikasi </w:t>
      </w:r>
      <w:r>
        <w:rPr>
          <w:b w:val="0"/>
          <w:i/>
          <w:sz w:val="24"/>
          <w:color w:val="000000"/>
          <w:rFonts w:ascii="Times New Roman" w:hAnsi="Times New Roman" w:cs="Times New Roman"/>
        </w:rPr>
        <w:t>Gem Mint</w:t>
      </w:r>
      <w:r>
        <w:rPr>
          <w:b w:val="0"/>
          <w:i w:val="0"/>
          <w:sz w:val="24"/>
          <w:color w:val="000000"/>
          <w:rFonts w:ascii="Times New Roman" w:hAnsi="Times New Roman"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b w:val="0"/>
          <w:i/>
          <w:sz w:val="24"/>
          <w:color w:val="000000"/>
          <w:rFonts w:ascii="Times New Roman" w:hAnsi="Times New Roman" w:cs="Times New Roman"/>
        </w:rPr>
        <w:t>Catatan kaki Gambar 1.3: snapshot Januari 2025, N=5 kartu Shining Fates, definisi ungraded vs PSA 10 di atas, harga volatil, bukan estimasi nasional.</w:t>
      </w:r>
    </w:p>
    <w:p>
      <w:pPr>
        <w:spacing w:line="360" w:lineRule="auto" w:before="0" w:after="0"/>
        <w:ind w:firstLine="709"/>
        <w:jc w:val="both"/>
      </w:pPr>
      <w:r>
        <w:rPr>
          <w:b w:val="0"/>
          <w:i w:val="0"/>
          <w:sz w:val="24"/>
          <w:color w:val="000000"/>
          <w:rFonts w:ascii="Times New Roman" w:hAnsi="Times New Roman" w:cs="Times New Roman"/>
        </w:rPr>
        <w:t>Disparitas nilai yang ekstrem dan mekanisme kemasan acak berbasis probabilitas (</w:t>
      </w:r>
      <w:r>
        <w:rPr>
          <w:b w:val="0"/>
          <w:i/>
          <w:sz w:val="24"/>
          <w:color w:val="000000"/>
          <w:rFonts w:ascii="Times New Roman" w:hAnsi="Times New Roman" w:cs="Times New Roman"/>
        </w:rPr>
        <w:t>gacha mechanism</w:t>
      </w:r>
      <w:r>
        <w:rPr>
          <w:b w:val="0"/>
          <w:i w:val="0"/>
          <w:sz w:val="24"/>
          <w:color w:val="000000"/>
          <w:rFonts w:ascii="Times New Roman" w:hAnsi="Times New Roman"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b/>
          <w:i w:val="0"/>
          <w:sz w:val="24"/>
          <w:color w:val="000000"/>
          <w:rFonts w:ascii="Times New Roman" w:hAnsi="Times New Roman" w:cs="Times New Roman"/>
        </w:rPr>
        <w:t>pembelian impulsif (</w:t>
      </w:r>
      <w:r>
        <w:rPr>
          <w:b/>
          <w:i/>
          <w:sz w:val="24"/>
          <w:color w:val="000000"/>
          <w:rFonts w:ascii="Times New Roman" w:hAnsi="Times New Roman" w:cs="Times New Roman"/>
        </w:rPr>
        <w:t>impulsive buying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yang masif pada komoditas kartu Pokémon fisik di Indonesia.</w:t>
      </w:r>
    </w:p>
    <w:p>
      <w:pPr>
        <w:spacing w:line="360" w:lineRule="auto" w:before="0" w:after="0"/>
        <w:ind w:firstLine="709"/>
        <w:jc w:val="both"/>
      </w:pPr>
      <w:r>
        <w:rPr>
          <w:b w:val="0"/>
          <w:i w:val="0"/>
          <w:sz w:val="24"/>
          <w:color w:val="000000"/>
          <w:rFonts w:ascii="Times New Roman" w:hAnsi="Times New Roman"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b w:val="0"/>
          <w:i/>
          <w:sz w:val="24"/>
          <w:color w:val="000000"/>
          <w:rFonts w:ascii="Times New Roman" w:hAnsi="Times New Roman" w:cs="Times New Roman"/>
        </w:rPr>
        <w:t>pocket change</w:t>
      </w:r>
      <w:r>
        <w:rPr>
          <w:b w:val="0"/>
          <w:i w:val="0"/>
          <w:sz w:val="24"/>
          <w:color w:val="000000"/>
          <w:rFonts w:ascii="Times New Roman" w:hAnsi="Times New Roman"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b w:val="0"/>
          <w:i/>
          <w:sz w:val="24"/>
          <w:color w:val="000000"/>
          <w:rFonts w:ascii="Times New Roman" w:hAnsi="Times New Roman" w:cs="Times New Roman"/>
        </w:rPr>
        <w:t>grading</w:t>
      </w:r>
      <w:r>
        <w:rPr>
          <w:b w:val="0"/>
          <w:i w:val="0"/>
          <w:sz w:val="24"/>
          <w:color w:val="000000"/>
          <w:rFonts w:ascii="Times New Roman" w:hAnsi="Times New Roman"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b/>
          <w:i w:val="0"/>
          <w:sz w:val="24"/>
          <w:color w:val="000000"/>
          <w:rFonts w:ascii="Times New Roman" w:hAnsi="Times New Roman" w:cs="Times New Roman"/>
        </w:rPr>
        <w:t>pembelian impulsif (</w:t>
      </w:r>
      <w:r>
        <w:rPr>
          <w:b/>
          <w:i/>
          <w:sz w:val="24"/>
          <w:color w:val="000000"/>
          <w:rFonts w:ascii="Times New Roman" w:hAnsi="Times New Roman" w:cs="Times New Roman"/>
        </w:rPr>
        <w:t>impulsive buying</w:t>
      </w:r>
      <w:r>
        <w:rPr>
          <w:b/>
          <w:i w:val="0"/>
          <w:sz w:val="24"/>
          <w:color w:val="000000"/>
          <w:rFonts w:ascii="Times New Roman" w:hAnsi="Times New Roman" w:cs="Times New Roman"/>
        </w:rPr>
        <w:t>)</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Penelitian ini menawarkan kebaruan konseptual (</w:t>
      </w:r>
      <w:r>
        <w:rPr>
          <w:b w:val="0"/>
          <w:i/>
          <w:sz w:val="24"/>
          <w:color w:val="000000"/>
          <w:rFonts w:ascii="Times New Roman" w:hAnsi="Times New Roman" w:cs="Times New Roman"/>
        </w:rPr>
        <w:t>novelty</w:t>
      </w:r>
      <w:r>
        <w:rPr>
          <w:b w:val="0"/>
          <w:i w:val="0"/>
          <w:sz w:val="24"/>
          <w:color w:val="000000"/>
          <w:rFonts w:ascii="Times New Roman" w:hAnsi="Times New Roman" w:cs="Times New Roman"/>
        </w:rPr>
        <w:t>) dan diferensiasi yang sangat tegas dibandingkan penelitian-penelitian terdahulu:</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Diferensiasi Komoditas dan Karakteristik Objek:</w:t>
      </w:r>
      <w:r>
        <w:rPr>
          <w:b w:val="0"/>
          <w:i w:val="0"/>
          <w:sz w:val="24"/>
          <w:color w:val="000000"/>
          <w:rFonts w:ascii="Times New Roman" w:hAnsi="Times New Roman" w:cs="Times New Roman"/>
        </w:rPr>
        <w:t xml:space="preserve"> Mayoritas penelitian empiris mengenai pembelian impulsif terdahulu berfokus pada komoditas konsumsi konvensional (seperti produk busana/</w:t>
      </w:r>
      <w:r>
        <w:rPr>
          <w:b w:val="0"/>
          <w:i/>
          <w:sz w:val="24"/>
          <w:color w:val="000000"/>
          <w:rFonts w:ascii="Times New Roman" w:hAnsi="Times New Roman" w:cs="Times New Roman"/>
        </w:rPr>
        <w:t>fashion</w:t>
      </w:r>
      <w:r>
        <w:rPr>
          <w:b w:val="0"/>
          <w:i w:val="0"/>
          <w:sz w:val="24"/>
          <w:color w:val="000000"/>
          <w:rFonts w:ascii="Times New Roman" w:hAnsi="Times New Roman" w:cs="Times New Roman"/>
        </w:rPr>
        <w:t>, makanan/minuman, kosmetik, atau belanja daring umum) atau transaksi virtual di dalam permainan video (</w:t>
      </w:r>
      <w:r>
        <w:rPr>
          <w:b w:val="0"/>
          <w:i/>
          <w:sz w:val="24"/>
          <w:color w:val="000000"/>
          <w:rFonts w:ascii="Times New Roman" w:hAnsi="Times New Roman" w:cs="Times New Roman"/>
        </w:rPr>
        <w:t>digital in-game purchases/gacha</w:t>
      </w:r>
      <w:r>
        <w:rPr>
          <w:b w:val="0"/>
          <w:i w:val="0"/>
          <w:sz w:val="24"/>
          <w:color w:val="000000"/>
          <w:rFonts w:ascii="Times New Roman" w:hAnsi="Times New Roman" w:cs="Times New Roman"/>
        </w:rPr>
        <w:t>) yang tidak memiliki wujud fisik berharga. Sebaliknya, penelitian ini menginvestigasi komoditas kartu fisik koleksi hibrida (</w:t>
      </w:r>
      <w:r>
        <w:rPr>
          <w:b w:val="0"/>
          <w:i/>
          <w:sz w:val="24"/>
          <w:color w:val="000000"/>
          <w:rFonts w:ascii="Times New Roman" w:hAnsi="Times New Roman" w:cs="Times New Roman"/>
        </w:rPr>
        <w:t>hybrid collectible asset</w:t>
      </w:r>
      <w:r>
        <w:rPr>
          <w:b w:val="0"/>
          <w:i w:val="0"/>
          <w:sz w:val="24"/>
          <w:color w:val="000000"/>
          <w:rFonts w:ascii="Times New Roman" w:hAnsi="Times New Roman" w:cs="Times New Roman"/>
        </w:rPr>
        <w:t>) yang memiliki bentuk fisik nyata, diproduksi secara berlisensi resmi, serta memiliki pasar likuid sekunder terstandardisasi melalui sertifikasi kualitas fisik internasional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Konvergensi Simultan Tiga Dimensi Anteseden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₁,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₂, </w:t>
      </w:r>
      <w:r>
        <w:rPr>
          <w:b/>
          <w:i/>
          <w:sz w:val="24"/>
          <w:color w:val="000000"/>
          <w:rFonts w:ascii="Times New Roman" w:hAnsi="Times New Roman" w:cs="Times New Roman"/>
        </w:rPr>
        <w:t>X</w:t>
      </w:r>
      <w:r>
        <w:rPr>
          <w:b/>
          <w:i w:val="0"/>
          <w:sz w:val="24"/>
          <w:color w:val="000000"/>
          <w:rFonts w:ascii="Times New Roman" w:hAnsi="Times New Roman" w:cs="Times New Roman"/>
        </w:rPr>
        <w:t>₃):</w:t>
      </w:r>
      <w:r>
        <w:rPr>
          <w:b w:val="0"/>
          <w:i w:val="0"/>
          <w:sz w:val="24"/>
          <w:color w:val="000000"/>
          <w:rFonts w:ascii="Times New Roman" w:hAnsi="Times New Roman"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₁), dimensi kognitif-psikologis kolektor melalui hasrat melengkapi himpunan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₂), dan dimensi ekonomi pasar melalui motif spekulasi finansial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₃).</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Diferensiasi Posisi Variabel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r>
        <w:rPr>
          <w:b w:val="0"/>
          <w:i w:val="0"/>
          <w:sz w:val="24"/>
          <w:color w:val="000000"/>
          <w:rFonts w:ascii="Times New Roman" w:hAnsi="Times New Roman" w:cs="Times New Roman"/>
        </w:rPr>
        <w:t xml:space="preserve"> sebagai </w:t>
      </w:r>
      <w:r>
        <w:rPr>
          <w:b/>
          <w:i w:val="0"/>
          <w:sz w:val="24"/>
          <w:color w:val="000000"/>
          <w:rFonts w:ascii="Times New Roman" w:hAnsi="Times New Roman" w:cs="Times New Roman"/>
        </w:rPr>
        <w:t>variabel pemoderasi volisional (</w:t>
      </w:r>
      <w:r>
        <w:rPr>
          <w:b/>
          <w:i/>
          <w:sz w:val="24"/>
          <w:color w:val="000000"/>
          <w:rFonts w:ascii="Times New Roman" w:hAnsi="Times New Roman" w:cs="Times New Roman"/>
        </w:rPr>
        <w:t>moderating buffer</w:t>
      </w:r>
      <w:r>
        <w:rPr>
          <w:b/>
          <w:i w:val="0"/>
          <w:sz w:val="24"/>
          <w:color w:val="000000"/>
          <w:rFonts w:ascii="Times New Roman" w:hAnsi="Times New Roman" w:cs="Times New Roman"/>
        </w:rPr>
        <w:t>)</w:t>
      </w:r>
      <w:r>
        <w:rPr>
          <w:b w:val="0"/>
          <w:i w:val="0"/>
          <w:sz w:val="24"/>
          <w:color w:val="000000"/>
          <w:rFonts w:ascii="Times New Roman" w:hAnsi="Times New Roman" w:cs="Times New Roman"/>
        </w:rPr>
        <w:t>. Posisi pemoderasi ini diuji untuk membuktikan apakah kapasitas regulasi diri individu mampu berfungsi sebagai rem psikologis yang memperlemah (</w:t>
      </w:r>
      <w:r>
        <w:rPr>
          <w:b w:val="0"/>
          <w:i/>
          <w:sz w:val="24"/>
          <w:color w:val="000000"/>
          <w:rFonts w:ascii="Times New Roman" w:hAnsi="Times New Roman" w:cs="Times New Roman"/>
        </w:rPr>
        <w:t>dampen/buffer</w:t>
      </w:r>
      <w:r>
        <w:rPr>
          <w:b w:val="0"/>
          <w:i w:val="0"/>
          <w:sz w:val="24"/>
          <w:color w:val="000000"/>
          <w:rFonts w:ascii="Times New Roman" w:hAnsi="Times New Roman" w:cs="Times New Roman"/>
        </w:rPr>
        <w:t>) pengaruh ketiga dorongan pendorong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₃) terhadap desakan belanja impulsif pada komoditas bernilai spekulatif tinggi.</w:t>
      </w:r>
    </w:p>
    <w:p>
      <w:pPr>
        <w:spacing w:line="360" w:lineRule="auto" w:before="0" w:after="0"/>
        <w:ind w:firstLine="709"/>
        <w:jc w:val="both"/>
      </w:pPr>
      <w:r>
        <w:rPr>
          <w:b w:val="0"/>
          <w:i w:val="0"/>
          <w:sz w:val="24"/>
          <w:color w:val="000000"/>
          <w:rFonts w:ascii="Times New Roman" w:hAnsi="Times New Roman" w:cs="Times New Roman"/>
        </w:rPr>
        <w:t xml:space="preserve">Fenomena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telah lama menjadi pusat perhatian utama dalam literatur perilaku konsumen dan psikologi ekonomi. </w:t>
      </w:r>
      <w:hyperlink w:anchor="Ref_stern1962significance" w:history="1">
        <w:r>
          <w:t xml:space="preserve">Stern (1962)</w:t>
        </w:r>
      </w:hyperlink>
      <w:r>
        <w:rPr>
          <w:color w:val="000000"/>
          <w:rFonts w:ascii="Times New Roman" w:hAnsi="Times New Roman" w:cs="Times New Roman"/>
        </w:rPr>
        <w:t xml:space="preserve"> dalam karya klasiknya mengklasifikasikan pembelian impulsif ke dalam empat kategori: </w:t>
      </w:r>
      <w:r>
        <w:rPr>
          <w:b w:val="0"/>
          <w:i/>
          <w:sz w:val="24"/>
          <w:color w:val="000000"/>
          <w:rFonts w:ascii="Times New Roman" w:hAnsi="Times New Roman" w:cs="Times New Roman"/>
        </w:rPr>
        <w:t>pure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reminder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suggestion impulse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planned impulse buying</w:t>
      </w:r>
      <w:r>
        <w:rPr>
          <w:b w:val="0"/>
          <w:i w:val="0"/>
          <w:sz w:val="24"/>
          <w:color w:val="000000"/>
          <w:rFonts w:ascii="Times New Roman" w:hAnsi="Times New Roman" w:cs="Times New Roman"/>
        </w:rPr>
        <w:t xml:space="preserve">. </w:t>
      </w:r>
      <w:hyperlink w:anchor="Ref_rook1987buying" w:history="1">
        <w:r>
          <w:t xml:space="preserve">Rook (1987)</w:t>
        </w:r>
      </w:hyperlink>
      <w:r>
        <w:rPr>
          <w:color w:val="000000"/>
          <w:rFonts w:ascii="Times New Roman" w:hAnsi="Times New Roman" w:cs="Times New Roman"/>
        </w:rPr>
        <w:t xml:space="preserve"> mendefinisikan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sebagai desakan pembelian yang terjadi seketika, kuat, dan persisten tanpa adanya pertimbangan kognitif sadar sebelumnya mengenai konsekuensi pengeluaran. Lebih lanjut, </w:t>
      </w:r>
      <w:hyperlink w:anchor="Ref_beatty1998impulse" w:history="1">
        <w:r>
          <w:t xml:space="preserve">Beatty dan Ferrell (1998)</w:t>
        </w:r>
      </w:hyperlink>
      <w:r>
        <w:rPr>
          <w:color w:val="000000"/>
          <w:rFonts w:ascii="Times New Roman" w:hAnsi="Times New Roman" w:cs="Times New Roman"/>
        </w:rPr>
        <w:t xml:space="preserve"> serta studi meta-analisis oleh </w:t>
      </w:r>
      <w:hyperlink w:anchor="Ref_amos2014meta" w:history="1">
        <w:r>
          <w:t xml:space="preserve">Amos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mengungkapkan bahwa keputusan pembelian impulsif sesungguhnya merupakan titik temu berbagai faktor penentu (</w:t>
      </w:r>
      <w:r>
        <w:rPr>
          <w:b w:val="0"/>
          <w:i/>
          <w:sz w:val="24"/>
          <w:color w:val="000000"/>
          <w:rFonts w:ascii="Times New Roman" w:hAnsi="Times New Roman" w:cs="Times New Roman"/>
        </w:rPr>
        <w:t>antecedents</w:t>
      </w:r>
      <w:r>
        <w:rPr>
          <w:b w:val="0"/>
          <w:i w:val="0"/>
          <w:sz w:val="24"/>
          <w:color w:val="000000"/>
          <w:rFonts w:ascii="Times New Roman" w:hAnsi="Times New Roman" w:cs="Times New Roman"/>
        </w:rPr>
        <w:t>) yang sangat luas dalam literatur ilmiah terdahulu:</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Emosional dan Afektif (</w:t>
      </w:r>
      <w:r>
        <w:rPr>
          <w:b/>
          <w:i/>
          <w:sz w:val="24"/>
          <w:color w:val="000000"/>
          <w:rFonts w:ascii="Times New Roman" w:hAnsi="Times New Roman" w:cs="Times New Roman"/>
        </w:rPr>
        <w:t>Affective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motivasi berbelanja untuk kesenangan (</w:t>
      </w:r>
      <w:r>
        <w:rPr>
          <w:b w:val="0"/>
          <w:i/>
          <w:sz w:val="24"/>
          <w:color w:val="000000"/>
          <w:rFonts w:ascii="Times New Roman" w:hAnsi="Times New Roman" w:cs="Times New Roman"/>
        </w:rPr>
        <w:t>hedonic shopping motivations</w:t>
      </w:r>
      <w:r>
        <w:rPr>
          <w:b w:val="0"/>
          <w:i w:val="0"/>
          <w:sz w:val="24"/>
          <w:color w:val="000000"/>
          <w:rFonts w:ascii="Times New Roman" w:hAnsi="Times New Roman" w:cs="Times New Roman"/>
        </w:rPr>
        <w:t xml:space="preserve">), pencarian pelepasan stres dan petualangan (</w:t>
      </w:r>
      <w:hyperlink w:anchor="Ref_babin1994work" w:history="1">
        <w:r>
          <w:t xml:space="preserve">Babin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1994</w:t>
        </w:r>
      </w:hyperlink>
      <w:r>
        <w:rPr>
          <w:color w:val="000000"/>
          <w:rFonts w:ascii="Times New Roman" w:hAnsi="Times New Roman" w:cs="Times New Roman"/>
        </w:rPr>
        <w:t xml:space="preserve">; </w:t>
      </w:r>
      <w:hyperlink w:anchor="Ref_arnold2003hedonic" w:history="1">
        <w:r>
          <w:t xml:space="preserve">Arnold dan Reynolds, 2003</w:t>
        </w:r>
      </w:hyperlink>
      <w:r>
        <w:rPr>
          <w:color w:val="000000"/>
          <w:rFonts w:ascii="Times New Roman" w:hAnsi="Times New Roman" w:cs="Times New Roman"/>
        </w:rPr>
        <w:t xml:space="preserve">), suasana hati positif (</w:t>
      </w:r>
      <w:r>
        <w:rPr>
          <w:b w:val="0"/>
          <w:i/>
          <w:sz w:val="24"/>
          <w:color w:val="000000"/>
          <w:rFonts w:ascii="Times New Roman" w:hAnsi="Times New Roman" w:cs="Times New Roman"/>
        </w:rPr>
        <w:t>positive affect</w:t>
      </w:r>
      <w:r>
        <w:rPr>
          <w:b w:val="0"/>
          <w:i w:val="0"/>
          <w:sz w:val="24"/>
          <w:color w:val="000000"/>
          <w:rFonts w:ascii="Times New Roman" w:hAnsi="Times New Roman" w:cs="Times New Roman"/>
        </w:rPr>
        <w:t>), serta luapan kegembiraan sesaat (</w:t>
      </w:r>
      <w:r>
        <w:rPr>
          <w:b w:val="0"/>
          <w:i/>
          <w:sz w:val="24"/>
          <w:color w:val="000000"/>
          <w:rFonts w:ascii="Times New Roman" w:hAnsi="Times New Roman" w:cs="Times New Roman"/>
        </w:rPr>
        <w:t>excitement and arousal</w:t>
      </w:r>
      <w:r>
        <w:rPr>
          <w:b w:val="0"/>
          <w:i w:val="0"/>
          <w:sz w:val="24"/>
          <w:color w:val="000000"/>
          <w:rFonts w:ascii="Times New Roman" w:hAnsi="Times New Roman" w:cs="Times New Roman"/>
        </w:rPr>
        <w:t xml:space="preserve">) </w:t>
      </w:r>
      <w:hyperlink w:anchor="Ref_gueltekin2012influence" w:history="1">
        <w:r>
          <w:t xml:space="preserve">(Gültekin and Özer, 2012)</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Kognitif dan Psikologi Kolektor (</w:t>
      </w:r>
      <w:r>
        <w:rPr>
          <w:b/>
          <w:i/>
          <w:sz w:val="24"/>
          <w:color w:val="000000"/>
          <w:rFonts w:ascii="Times New Roman" w:hAnsi="Times New Roman" w:cs="Times New Roman"/>
        </w:rPr>
        <w:t>Cognitive dan Collector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ketegangan mental ketidaktuntasan himpunan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w:t>
      </w:r>
      <w:hyperlink w:anchor="Ref_zeigarnik1927behalten" w:history="1">
        <w:r>
          <w:t xml:space="preserve">(Zeigarnik, 1927)</w:t>
        </w:r>
      </w:hyperlink>
      <w:r>
        <w:rPr>
          <w:color w:val="000000"/>
          <w:rFonts w:ascii="Times New Roman" w:hAnsi="Times New Roman" w:cs="Times New Roman"/>
        </w:rPr>
        <w:t xml:space="preserve">, dorongan psikologis melengkapi set koleksi (</w:t>
      </w:r>
      <w:r>
        <w:rPr>
          <w:b w:val="0"/>
          <w:i/>
          <w:sz w:val="24"/>
          <w:color w:val="000000"/>
          <w:rFonts w:ascii="Times New Roman" w:hAnsi="Times New Roman" w:cs="Times New Roman"/>
        </w:rPr>
        <w:t>collection-goal tipping point effect</w:t>
      </w:r>
      <w:r>
        <w:rPr>
          <w:b w:val="0"/>
          <w:i w:val="0"/>
          <w:sz w:val="24"/>
          <w:color w:val="000000"/>
          <w:rFonts w:ascii="Times New Roman" w:hAnsi="Times New Roman" w:cs="Times New Roman"/>
        </w:rPr>
        <w:t xml:space="preserve">)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pembingkaian himpunan semu (</w:t>
      </w:r>
      <w:r>
        <w:rPr>
          <w:b w:val="0"/>
          <w:i/>
          <w:sz w:val="24"/>
          <w:color w:val="000000"/>
          <w:rFonts w:ascii="Times New Roman" w:hAnsi="Times New Roman" w:cs="Times New Roman"/>
        </w:rPr>
        <w:t>Pseudo-Set Framing</w:t>
      </w:r>
      <w:r>
        <w:rPr>
          <w:b w:val="0"/>
          <w:i w:val="0"/>
          <w:sz w:val="24"/>
          <w:color w:val="000000"/>
          <w:rFonts w:ascii="Times New Roman" w:hAnsi="Times New Roman" w:cs="Times New Roman"/>
        </w:rPr>
        <w:t xml:space="preserve">)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 serta hasrat kepemilikan materialistik atas objek langka </w:t>
      </w:r>
      <w:hyperlink w:anchor="Ref_belk1995collecting" w:history="1">
        <w:r>
          <w:t xml:space="preserve">(Belk, 1995)</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Finansial dan Spekulasi Pasar (</w:t>
      </w:r>
      <w:r>
        <w:rPr>
          <w:b/>
          <w:i/>
          <w:sz w:val="24"/>
          <w:color w:val="000000"/>
          <w:rFonts w:ascii="Times New Roman" w:hAnsi="Times New Roman" w:cs="Times New Roman"/>
        </w:rPr>
        <w:t>Economic dan Speculative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ekspektasi apresiasi nilai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likuiditas pasar sekunder, anomali psikologi pasar modal dan bias optimisme berlebihan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xml:space="preserve">) (</w:t>
      </w:r>
      <w:hyperlink w:anchor="Ref_shiller2000irrational" w:history="1">
        <w:r>
          <w:t xml:space="preserve">Shiller, 2000</w:t>
        </w:r>
      </w:hyperlink>
      <w:r>
        <w:rPr>
          <w:color w:val="000000"/>
          <w:rFonts w:ascii="Times New Roman" w:hAnsi="Times New Roman" w:cs="Times New Roman"/>
        </w:rPr>
        <w:t xml:space="preserve">; </w:t>
      </w:r>
      <w:hyperlink w:anchor="Ref_baur2018bitcoin" w:history="1">
        <w:r>
          <w:t xml:space="preserve">Baur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2018</w:t>
        </w:r>
      </w:hyperlink>
      <w:r>
        <w:rPr>
          <w:color w:val="000000"/>
          <w:rFonts w:ascii="Times New Roman" w:hAnsi="Times New Roman" w:cs="Times New Roman"/>
        </w:rPr>
        <w:t xml:space="preserve">), persepsi memenangkan lotre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xml:space="preserve">), serta bias perilaku investor Indonesia (studi kualitatif) </w:t>
      </w:r>
      <w:hyperlink w:anchor="Ref_colline2024biases" w:history="1">
        <w:r>
          <w:t xml:space="preserve">(Colline, 2024)</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Situasional dan Rangsangan Toko (</w:t>
      </w:r>
      <w:r>
        <w:rPr>
          <w:b/>
          <w:i/>
          <w:sz w:val="24"/>
          <w:color w:val="000000"/>
          <w:rFonts w:ascii="Times New Roman" w:hAnsi="Times New Roman" w:cs="Times New Roman"/>
        </w:rPr>
        <w:t>Situational dan Atmospheric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mekanisme kejutan kemasan tertutup (</w:t>
      </w:r>
      <w:r>
        <w:rPr>
          <w:b w:val="0"/>
          <w:i/>
          <w:sz w:val="24"/>
          <w:color w:val="000000"/>
          <w:rFonts w:ascii="Times New Roman" w:hAnsi="Times New Roman" w:cs="Times New Roman"/>
        </w:rPr>
        <w:t>blind pack mystery</w:t>
      </w:r>
      <w:r>
        <w:rPr>
          <w:b w:val="0"/>
          <w:i w:val="0"/>
          <w:sz w:val="24"/>
          <w:color w:val="000000"/>
          <w:rFonts w:ascii="Times New Roman" w:hAnsi="Times New Roman" w:cs="Times New Roman"/>
        </w:rPr>
        <w:t>), display etalase kasir yang memancing sentuhan fisik (</w:t>
      </w:r>
      <w:r>
        <w:rPr>
          <w:b w:val="0"/>
          <w:i/>
          <w:sz w:val="24"/>
          <w:color w:val="000000"/>
          <w:rFonts w:ascii="Times New Roman" w:hAnsi="Times New Roman" w:cs="Times New Roman"/>
        </w:rPr>
        <w:t>need for touch</w:t>
      </w:r>
      <w:r>
        <w:rPr>
          <w:b w:val="0"/>
          <w:i w:val="0"/>
          <w:sz w:val="24"/>
          <w:color w:val="000000"/>
          <w:rFonts w:ascii="Times New Roman" w:hAnsi="Times New Roman" w:cs="Times New Roman"/>
        </w:rPr>
        <w:t xml:space="preserve">) </w:t>
      </w:r>
      <w:hyperlink w:anchor="Ref_peck2006if" w:history="1">
        <w:r>
          <w:t xml:space="preserve">(Peck dan Childers, 2006)</w:t>
        </w:r>
      </w:hyperlink>
      <w:r>
        <w:rPr>
          <w:color w:val="000000"/>
          <w:rFonts w:ascii="Times New Roman" w:hAnsi="Times New Roman" w:cs="Times New Roman"/>
        </w:rPr>
        <w:t xml:space="preserve">, diskon promosi sesaat, serta desakan kelangkaan stok fisik </w:t>
      </w:r>
      <w:hyperlink w:anchor="Ref_amos2014meta" w:history="1">
        <w:r>
          <w:t xml:space="preserve">(Amos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w:t>
      </w:r>
    </w:p>
    <w:p>
      <w:pPr>
        <w:spacing w:line="360" w:lineRule="auto" w:before="0" w:after="0"/>
        <w:ind w:firstLine="709"/>
        <w:jc w:val="both"/>
      </w:pPr>
      <w:r>
        <w:rPr>
          <w:b w:val="0"/>
          <w:i w:val="0"/>
          <w:sz w:val="24"/>
          <w:color w:val="000000"/>
          <w:rFonts w:ascii="Times New Roman" w:hAnsi="Times New Roman" w:cs="Times New Roman"/>
        </w:rPr>
        <w:t xml:space="preserve">Berdasarkan pemetaan komprehensif faktor-faktor penentu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Pertama, </w:t>
      </w:r>
      <w:r>
        <w:rPr>
          <w:b/>
          <w:i w:val="0"/>
          <w:sz w:val="24"/>
          <w:color w:val="000000"/>
          <w:rFonts w:ascii="Times New Roman" w:hAnsi="Times New Roman" w:cs="Times New Roman"/>
        </w:rPr>
        <w:t xml:space="preserve">faktor afektif diwakili oleh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₁)</w:t>
      </w:r>
      <w:r>
        <w:rPr>
          <w:b w:val="0"/>
          <w:i w:val="0"/>
          <w:sz w:val="24"/>
          <w:color w:val="000000"/>
          <w:rFonts w:ascii="Times New Roman" w:hAnsi="Times New Roman" w:cs="Times New Roman"/>
        </w:rPr>
        <w:t xml:space="preserve">. Konsumen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bukan untuk pemenuhan kebutuhan utiliter harian, melainkan demi mengejar kepuasan emosional, sensasi hiburan, dan sensasi puas yang intens saat merobek bungkus foil kemasan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 xml:space="preserve">) (</w:t>
      </w:r>
      <w:hyperlink w:anchor="Ref_arnold2003hedonic" w:history="1">
        <w:r>
          <w:t xml:space="preserve">Arnold dan Reynolds, 2003</w:t>
        </w:r>
      </w:hyperlink>
      <w:r>
        <w:rPr>
          <w:color w:val="000000"/>
          <w:rFonts w:ascii="Times New Roman" w:hAnsi="Times New Roman" w:cs="Times New Roman"/>
        </w:rPr>
        <w:t xml:space="preserve">; </w:t>
      </w:r>
      <w:hyperlink w:anchor="Ref_gueltekin2012influence" w:history="1">
        <w:r>
          <w:t xml:space="preserve">Gültekin and Özer, 2012</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Kedua, </w:t>
      </w:r>
      <w:r>
        <w:rPr>
          <w:b/>
          <w:i w:val="0"/>
          <w:sz w:val="24"/>
          <w:color w:val="000000"/>
          <w:rFonts w:ascii="Times New Roman" w:hAnsi="Times New Roman" w:cs="Times New Roman"/>
        </w:rPr>
        <w:t xml:space="preserve">faktor psikologis koleksi diwakili oleh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₂)</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w:t>
      </w:r>
      <w:hyperlink w:anchor="Ref_zeigarnik1927behalten" w:history="1">
        <w:r>
          <w:t xml:space="preserve">Zeigarnik, 1927</w:t>
        </w:r>
      </w:hyperlink>
      <w:r>
        <w:rPr>
          <w:color w:val="000000"/>
          <w:rFonts w:ascii="Times New Roman" w:hAnsi="Times New Roman" w:cs="Times New Roman"/>
        </w:rPr>
        <w:t xml:space="preserve">; </w:t>
      </w:r>
      <w:hyperlink w:anchor="Ref_belk1995collecting" w:history="1">
        <w:r>
          <w:t xml:space="preserve">Belk, 1995</w:t>
        </w:r>
      </w:hyperlink>
      <w:r>
        <w:rPr>
          <w:color w:val="000000"/>
          <w:rFonts w:ascii="Times New Roman" w:hAnsi="Times New Roman" w:cs="Times New Roman"/>
        </w:rPr>
        <w:t xml:space="preserve">) dan formalisasi </w:t>
      </w:r>
      <w:r>
        <w:rPr>
          <w:b w:val="0"/>
          <w:i/>
          <w:sz w:val="24"/>
          <w:color w:val="000000"/>
          <w:rFonts w:ascii="Times New Roman" w:hAnsi="Times New Roman" w:cs="Times New Roman"/>
        </w:rPr>
        <w:t>collection-goal tipping point effect</w:t>
      </w:r>
      <w:r>
        <w:rPr>
          <w:b w:val="0"/>
          <w:i w:val="0"/>
          <w:sz w:val="24"/>
          <w:color w:val="000000"/>
          <w:rFonts w:ascii="Times New Roman" w:hAnsi="Times New Roman" w:cs="Times New Roman"/>
        </w:rPr>
        <w:t xml:space="preserve">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Ketiga, </w:t>
      </w:r>
      <w:r>
        <w:rPr>
          <w:b/>
          <w:i w:val="0"/>
          <w:sz w:val="24"/>
          <w:color w:val="000000"/>
          <w:rFonts w:ascii="Times New Roman" w:hAnsi="Times New Roman" w:cs="Times New Roman"/>
        </w:rPr>
        <w:t xml:space="preserve">faktor ekonomi dan pasar diwakili oleh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₃)</w:t>
      </w:r>
      <w:r>
        <w:rPr>
          <w:b w:val="0"/>
          <w:i w:val="0"/>
          <w:sz w:val="24"/>
          <w:color w:val="000000"/>
          <w:rFonts w:ascii="Times New Roman" w:hAnsi="Times New Roman" w:cs="Times New Roman"/>
        </w:rPr>
        <w:t xml:space="preserve">. Dalam perspektif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transaksi kartu Pokémon fisik sangat diwarnai oleh motif spekulasi finansial (</w:t>
      </w:r>
      <w:hyperlink w:anchor="Ref_shiller2000irrational" w:history="1">
        <w:r>
          <w:t xml:space="preserve">Shiller, 2000</w:t>
        </w:r>
      </w:hyperlink>
      <w:r>
        <w:rPr>
          <w:color w:val="000000"/>
          <w:rFonts w:ascii="Times New Roman" w:hAnsi="Times New Roman" w:cs="Times New Roman"/>
        </w:rPr>
        <w:t xml:space="preserve">; </w:t>
      </w:r>
      <w:hyperlink w:anchor="Ref_baur2018bitcoin" w:history="1">
        <w:r>
          <w:t xml:space="preserve">Baur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2018</w:t>
        </w:r>
      </w:hyperlink>
      <w:r>
        <w:rPr>
          <w:color w:val="000000"/>
          <w:rFonts w:ascii="Times New Roman" w:hAnsi="Times New Roman" w:cs="Times New Roman"/>
        </w:rPr>
        <w:t xml:space="preserve">; </w:t>
      </w:r>
      <w:hyperlink w:anchor="Ref_colline2024biases" w:history="1">
        <w:r>
          <w:t xml:space="preserve">Colline, 2024</w:t>
        </w:r>
      </w:hyperlink>
      <w:r>
        <w:rPr>
          <w:color w:val="000000"/>
          <w:rFonts w:ascii="Times New Roman" w:hAnsi="Times New Roman" w:cs="Times New Roman"/>
        </w:rPr>
        <w:t xml:space="preserve">). Pembeli tergiur oleh likuiditas pasar lelang daring dan tren </w:t>
      </w:r>
      <w:r>
        <w:rPr>
          <w:b w:val="0"/>
          <w:i/>
          <w:sz w:val="24"/>
          <w:color w:val="000000"/>
          <w:rFonts w:ascii="Times New Roman" w:hAnsi="Times New Roman" w:cs="Times New Roman"/>
        </w:rPr>
        <w:t>grading</w:t>
      </w:r>
      <w:r>
        <w:rPr>
          <w:b w:val="0"/>
          <w:i w:val="0"/>
          <w:sz w:val="24"/>
          <w:color w:val="000000"/>
          <w:rFonts w:ascii="Times New Roman" w:hAnsi="Times New Roman" w:cs="Times New Roman"/>
        </w:rPr>
        <w:t xml:space="preserve"> PSA/BGS, memicu keyakinan bahwa modal kecil membeli beberapa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berpeluang menghasilkan kartu langka bernilai jutaan rupiah untuk dijual kembali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Terkait pengukuran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literatur perilaku konsumen mengenal beberapa instrumen pengukuran teruji, antara lain skala unidimensional pengaruh normatif oleh </w:t>
      </w:r>
      <w:hyperlink w:anchor="Ref_rook1995normative" w:history="1">
        <w:r>
          <w:t xml:space="preserve">Rook dan Fisher (1995)</w:t>
        </w:r>
      </w:hyperlink>
      <w:r>
        <w:rPr>
          <w:color w:val="000000"/>
          <w:rFonts w:ascii="Times New Roman" w:hAnsi="Times New Roman" w:cs="Times New Roman"/>
        </w:rPr>
        <w:t xml:space="preserve"> serta skala dorongan belanja impulsif dalam toko oleh </w:t>
      </w:r>
      <w:hyperlink w:anchor="Ref_beatty1998impulse" w:history="1">
        <w:r>
          <w:t xml:space="preserve">Beatty dan Ferrell (1998)</w:t>
        </w:r>
      </w:hyperlink>
      <w:r>
        <w:rPr>
          <w:color w:val="000000"/>
          <w:rFonts w:ascii="Times New Roman" w:hAnsi="Times New Roman" w:cs="Times New Roman"/>
        </w:rPr>
        <w:t xml:space="preserve">. Namun, penelitian ini mengadaptasi bentuk pendek terjemahan dari instrumen multidimensional </w:t>
      </w:r>
      <w:hyperlink w:anchor="Ref_verplanken2001individual" w:history="1">
        <w:r>
          <w:t xml:space="preserve">Verplanken dan Herabadi (2001)</w:t>
        </w:r>
      </w:hyperlink>
      <w:r>
        <w:rPr>
          <w:color w:val="000000"/>
          <w:rFonts w:ascii="Times New Roman" w:hAnsi="Times New Roman" w:cs="Times New Roman"/>
        </w:rPr>
        <w:t xml:space="preserve"> (IBTS 20 butir \rightarrow 6 butir: 3 kognitif + 3 afektif, dipilih mewakili kedua dimensi) yang disintesis dengan definisi operasional </w:t>
      </w:r>
      <w:hyperlink w:anchor="Ref_rook1987buying" w:history="1">
        <w:r>
          <w:t xml:space="preserve">Rook (1987)</w:t>
        </w:r>
      </w:hyperlink>
      <w:r>
        <w:rPr>
          <w:color w:val="000000"/>
          <w:rFonts w:ascii="Times New Roman" w:hAnsi="Times New Roman" w:cs="Times New Roman"/>
        </w:rPr>
        <w:t xml:space="preserve">. Adaptasi serupa berlaku untuk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(Arnold–Reynolds 18 butir \rightarrow 5 butir mewakili 5 dimensi; dimensi </w:t>
      </w:r>
      <w:r>
        <w:rPr>
          <w:b w:val="0"/>
          <w:i/>
          <w:sz w:val="24"/>
          <w:color w:val="000000"/>
          <w:rFonts w:ascii="Times New Roman" w:hAnsi="Times New Roman" w:cs="Times New Roman"/>
        </w:rPr>
        <w:t>Value</w:t>
      </w:r>
      <w:r>
        <w:rPr>
          <w:b w:val="0"/>
          <w:i w:val="0"/>
          <w:sz w:val="24"/>
          <w:color w:val="000000"/>
          <w:rFonts w:ascii="Times New Roman" w:hAnsi="Times New Roman" w:cs="Times New Roman"/>
        </w:rPr>
        <w:t xml:space="preserve"> tidak dipakai terpisah) dan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(BSCS Tangney 13 butir \rightarrow 6 butir regulasi umum). Konstruk </w:t>
      </w:r>
      <w:r>
        <w:rPr>
          <w:b w:val="0"/>
          <w:i/>
          <w:sz w:val="24"/>
          <w:color w:val="000000"/>
          <w:rFonts w:ascii="Times New Roman" w:hAnsi="Times New Roman" w:cs="Times New Roman"/>
        </w:rPr>
        <w:t>X</w:t>
      </w:r>
      <w:r>
        <w:rPr>
          <w:b w:val="0"/>
          <w:i w:val="0"/>
          <w:sz w:val="24"/>
          <w:color w:val="000000"/>
          <w:rFonts w:ascii="Times New Roman" w:hAnsi="Times New Roman" w:cs="Times New Roman"/>
        </w:rPr>
        <w:t>₂/</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dinyatakan sebagai instrumen yang dikembangkan peneliti dari paradigma eksperimen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 dan kerangka </w:t>
      </w:r>
      <w:hyperlink w:anchor="Ref_shiller2000irrational" w:history="1">
        <w:r>
          <w:t xml:space="preserve">Shiller (2000)</w:t>
        </w:r>
      </w:hyperlink>
      <w:r>
        <w:rPr>
          <w:color w:val="000000"/>
          <w:rFonts w:ascii="Times New Roman" w:hAnsi="Times New Roman" w:cs="Times New Roman"/>
        </w:rPr>
        <w:t xml:space="preserve"> (bukan skala Likert baku), sehingga validitas isi diandalkan pada kesesuaian indikator–definisi dan hasil pilot </w:t>
      </w:r>
      <w:r>
        <w:rPr>
          <w:b w:val="0"/>
          <w:i/>
          <w:sz w:val="24"/>
          <w:color w:val="000000"/>
          <w:rFonts w:ascii="Times New Roman" w:hAnsi="Times New Roman" w:cs="Times New Roman"/>
        </w:rPr>
        <w:t>n</w:t>
      </w:r>
      <w:r>
        <w:rPr>
          <w:b w:val="0"/>
          <w:i w:val="0"/>
          <w:sz w:val="24"/>
          <w:color w:val="000000"/>
          <w:rFonts w:ascii="Times New Roman" w:hAnsi="Times New Roman" w:cs="Times New Roman"/>
        </w:rPr>
        <w:t xml:space="preserve"> = 30 (validitas butir + </w:t>
      </w:r>
      <w:r>
        <w:rPr>
          <w:b w:val="0"/>
          <w:i/>
          <w:sz w:val="24"/>
          <w:color w:val="000000"/>
          <w:rFonts w:ascii="Times New Roman" w:hAnsi="Times New Roman" w:cs="Times New Roman"/>
        </w:rPr>
        <w:t>Alpha</w:t>
      </w:r>
      <w:r>
        <w:rPr>
          <w:b w:val="0"/>
          <w:i w:val="0"/>
          <w:sz w:val="24"/>
          <w:color w:val="000000"/>
          <w:rFonts w:ascii="Times New Roman" w:hAnsi="Times New Roman" w:cs="Times New Roman"/>
        </w:rPr>
        <w:t xml:space="preserve"> \ge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b w:val="0"/>
          <w:i w:val="0"/>
          <w:sz w:val="24"/>
          <w:color w:val="000000"/>
          <w:rFonts w:ascii="Times New Roman" w:hAnsi="Times New Roman" w:cs="Times New Roman"/>
        </w:rPr>
        <w:t>Meskipun ketiga faktor pendorong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secara teoretis berkaitan erat dengan keputusan belanja, telaah mendalam terhadap riset-riset empiris terdahulu justru memperlihatkan adanya kesenjangan penelitian (</w:t>
      </w:r>
      <w:r>
        <w:rPr>
          <w:b w:val="0"/>
          <w:i/>
          <w:sz w:val="24"/>
          <w:color w:val="000000"/>
          <w:rFonts w:ascii="Times New Roman" w:hAnsi="Times New Roman" w:cs="Times New Roman"/>
        </w:rPr>
        <w:t>empirical research gap</w:t>
      </w:r>
      <w:r>
        <w:rPr>
          <w:b w:val="0"/>
          <w:i w:val="0"/>
          <w:sz w:val="24"/>
          <w:color w:val="000000"/>
          <w:rFonts w:ascii="Times New Roman" w:hAnsi="Times New Roman" w:cs="Times New Roman"/>
        </w:rPr>
        <w:t>) berupa temuan yang saling bertolak belakang (</w:t>
      </w:r>
      <w:r>
        <w:rPr>
          <w:b w:val="0"/>
          <w:i/>
          <w:sz w:val="24"/>
          <w:color w:val="000000"/>
          <w:rFonts w:ascii="Times New Roman" w:hAnsi="Times New Roman" w:cs="Times New Roman"/>
        </w:rPr>
        <w:t>inconsistent findings</w:t>
      </w:r>
      <w:r>
        <w:rPr>
          <w:b w:val="0"/>
          <w:i w:val="0"/>
          <w:sz w:val="24"/>
          <w:color w:val="000000"/>
          <w:rFonts w:ascii="Times New Roman" w:hAnsi="Times New Roman" w:cs="Times New Roman"/>
        </w:rPr>
        <w:t xml:space="preserve">) pada </w:t>
      </w:r>
      <w:r>
        <w:rPr>
          <w:b/>
          <w:i w:val="0"/>
          <w:sz w:val="24"/>
          <w:color w:val="000000"/>
          <w:rFonts w:ascii="Times New Roman" w:hAnsi="Times New Roman" w:cs="Times New Roman"/>
        </w:rPr>
        <w:t>7 subjek hubungan</w:t>
      </w:r>
      <w:r>
        <w:rPr>
          <w:b w:val="0"/>
          <w:i w:val="0"/>
          <w:sz w:val="24"/>
          <w:color w:val="000000"/>
          <w:rFonts w:ascii="Times New Roman" w:hAnsi="Times New Roman"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b w:val="0"/>
          <w:i/>
          <w:sz w:val="24"/>
          <w:color w:val="000000"/>
          <w:rFonts w:ascii="Times New Roman" w:hAnsi="Times New Roman" w:cs="Times New Roman"/>
        </w:rPr>
        <w:t>the why</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Subjek Hubungan 1: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₁)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Y</w:t>
      </w:r>
      <w:r>
        <w:rPr>
          <w:b/>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A (Positif dan Signifikan):</w:t>
      </w:r>
      <w:r>
        <w:rPr>
          <w:b w:val="0"/>
          <w:i w:val="0"/>
          <w:sz w:val="24"/>
          <w:color w:val="000000"/>
          <w:rFonts w:ascii="Times New Roman" w:hAnsi="Times New Roman" w:cs="Times New Roman"/>
        </w:rPr>
        <w:t xml:space="preserve"> Penelitian kuantitatif oleh </w:t>
      </w:r>
      <w:hyperlink w:anchor="Ref_arnold2003hedonic" w:history="1">
        <w:r>
          <w:t xml:space="preserve">Arnold dan Reynolds (2003)</w:t>
        </w:r>
      </w:hyperlink>
      <w:r>
        <w:rPr>
          <w:color w:val="000000"/>
          <w:rFonts w:ascii="Times New Roman" w:hAnsi="Times New Roman" w:cs="Times New Roman"/>
        </w:rPr>
        <w:t xml:space="preserve">, </w:t>
      </w:r>
      <w:hyperlink w:anchor="Ref_gueltekin2012influence" w:history="1">
        <w:r>
          <w:t xml:space="preserve">Gültekin and Özer (2012)</w:t>
        </w:r>
      </w:hyperlink>
      <w:r>
        <w:rPr>
          <w:color w:val="000000"/>
          <w:rFonts w:ascii="Times New Roman" w:hAnsi="Times New Roman" w:cs="Times New Roman"/>
        </w:rPr>
        <w:t xml:space="preserve">, </w:t>
      </w:r>
      <w:hyperlink w:anchor="Ref_pranggabayu2022pengaruh" w:history="1">
        <w:r>
          <w:t xml:space="preserve">Pranggabayu dan Andjarwati (2022)</w:t>
        </w:r>
      </w:hyperlink>
      <w:r>
        <w:rPr>
          <w:color w:val="000000"/>
          <w:rFonts w:ascii="Times New Roman" w:hAnsi="Times New Roman" w:cs="Times New Roman"/>
        </w:rPr>
        <w:t xml:space="preserve">, </w:t>
      </w:r>
      <w:hyperlink w:anchor="Ref_gong2024unveiling" w:history="1">
        <w:r>
          <w:t xml:space="preserve">Gong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(2024)</w:t>
        </w:r>
      </w:hyperlink>
      <w:r>
        <w:rPr>
          <w:color w:val="000000"/>
          <w:rFonts w:ascii="Times New Roman" w:hAnsi="Times New Roman" w:cs="Times New Roman"/>
        </w:rPr>
        <w:t xml:space="preserve">, </w:t>
      </w:r>
      <w:hyperlink w:anchor="Ref_tirtayasa2020effect" w:history="1">
        <w:r>
          <w:t xml:space="preserve">Tirtayasa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(2020)</w:t>
        </w:r>
      </w:hyperlink>
      <w:r>
        <w:rPr>
          <w:color w:val="000000"/>
          <w:rFonts w:ascii="Times New Roman" w:hAnsi="Times New Roman" w:cs="Times New Roman"/>
        </w:rPr>
        <w:t xml:space="preserve">, dan </w:t>
      </w:r>
      <w:hyperlink w:anchor="Ref_zheng2019impact" w:history="1">
        <w:r>
          <w:t xml:space="preserve">Zheng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(2019)</w:t>
        </w:r>
      </w:hyperlink>
      <w:r>
        <w:rPr>
          <w:color w:val="000000"/>
          <w:rFonts w:ascii="Times New Roman" w:hAnsi="Times New Roman"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B (Batas Konseptual, bukan uji n.s. langsung):</w:t>
      </w:r>
      <w:r>
        <w:rPr>
          <w:b w:val="0"/>
          <w:i w:val="0"/>
          <w:sz w:val="24"/>
          <w:color w:val="000000"/>
          <w:rFonts w:ascii="Times New Roman" w:hAnsi="Times New Roman" w:cs="Times New Roman"/>
        </w:rPr>
        <w:t xml:space="preserve"> Sebagai pembatas teoretis, logika akuntansi mental dan batasan anggaran ketat (</w:t>
      </w:r>
      <w:r>
        <w:rPr>
          <w:b w:val="0"/>
          <w:i/>
          <w:sz w:val="24"/>
          <w:color w:val="000000"/>
          <w:rFonts w:ascii="Times New Roman" w:hAnsi="Times New Roman" w:cs="Times New Roman"/>
        </w:rPr>
        <w:t>mental budgeting</w:t>
      </w:r>
      <w:r>
        <w:rPr>
          <w:b w:val="0"/>
          <w:i w:val="0"/>
          <w:sz w:val="24"/>
          <w:color w:val="000000"/>
          <w:rFonts w:ascii="Times New Roman" w:hAnsi="Times New Roman" w:cs="Times New Roman"/>
        </w:rPr>
        <w:t xml:space="preserve">) menjelaskan kondisi ketika dorongan afektif tertahan oleh kalkulasi biaya riil dan dominasi pertimbangan utilitas fungsional (</w:t>
      </w:r>
      <w:hyperlink w:anchor="Ref_thaler1985mental" w:history="1">
        <w:r>
          <w:t xml:space="preserve">Thaler, 1985</w:t>
        </w:r>
      </w:hyperlink>
      <w:r>
        <w:rPr>
          <w:color w:val="000000"/>
          <w:rFonts w:ascii="Times New Roman" w:hAnsi="Times New Roman" w:cs="Times New Roman"/>
        </w:rPr>
        <w:t xml:space="preserve">; </w:t>
      </w:r>
      <w:hyperlink w:anchor="Ref_thaler1981economic" w:history="1">
        <w:r>
          <w:t xml:space="preserve">Thaler dan Shefrin, 1981</w:t>
        </w:r>
      </w:hyperlink>
      <w:r>
        <w:rPr>
          <w:color w:val="000000"/>
          <w:rFonts w:ascii="Times New Roman" w:hAnsi="Times New Roman" w:cs="Times New Roman"/>
        </w:rPr>
        <w:t xml:space="preserve">). Baris ini disajikan sebagai argumen batas teoritis, bukan sebagai klaim temuan regresi tidak signifikan pada kolektibel.</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Eksplanasi Kausal Kesenjangan (</w:t>
      </w:r>
      <w:r>
        <w:rPr>
          <w:b w:val="0"/>
          <w:i w:val="0"/>
          <w:sz w:val="24"/>
          <w:color w:val="000000"/>
          <w:rFonts w:ascii="Times New Roman" w:hAnsi="Times New Roman" w:cs="Times New Roman"/>
        </w:rPr>
        <w:t>The Why</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Kesenjangan temuan ini terjadi akibat perbedaan elastisitas anggaran (</w:t>
      </w:r>
      <w:r>
        <w:rPr>
          <w:b w:val="0"/>
          <w:i/>
          <w:sz w:val="24"/>
          <w:color w:val="000000"/>
          <w:rFonts w:ascii="Times New Roman" w:hAnsi="Times New Roman" w:cs="Times New Roman"/>
        </w:rPr>
        <w:t>budget elasticity</w:t>
      </w:r>
      <w:r>
        <w:rPr>
          <w:b w:val="0"/>
          <w:i w:val="0"/>
          <w:sz w:val="24"/>
          <w:color w:val="000000"/>
          <w:rFonts w:ascii="Times New Roman" w:hAnsi="Times New Roman"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Subjek Hubungan 2: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₂)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Y</w:t>
      </w:r>
      <w:r>
        <w:rPr>
          <w:b/>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A (Positif dan Signifikan):</w:t>
      </w:r>
      <w:r>
        <w:rPr>
          <w:b w:val="0"/>
          <w:i w:val="0"/>
          <w:sz w:val="24"/>
          <w:color w:val="000000"/>
          <w:rFonts w:ascii="Times New Roman" w:hAnsi="Times New Roman" w:cs="Times New Roman"/>
        </w:rPr>
        <w:t xml:space="preserve"> Studi kuantitatif eksperimental oleh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dan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 serta survei blind box Indonesia oleh </w:t>
      </w:r>
      <w:hyperlink w:anchor="Ref_dewi2026understanding" w:history="1">
        <w:r>
          <w:t xml:space="preserve">Dewi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(2026)</w:t>
        </w:r>
      </w:hyperlink>
      <w:r>
        <w:rPr>
          <w:color w:val="000000"/>
          <w:rFonts w:ascii="Times New Roman" w:hAnsi="Times New Roman" w:cs="Times New Roman"/>
        </w:rPr>
        <w:t xml:space="preserve"> membuktikan bahwa hasrat melengkapi himpunan (</w:t>
      </w:r>
      <w:r>
        <w:rPr>
          <w:b w:val="0"/>
          <w:i/>
          <w:sz w:val="24"/>
          <w:color w:val="000000"/>
          <w:rFonts w:ascii="Times New Roman" w:hAnsi="Times New Roman" w:cs="Times New Roman"/>
        </w:rPr>
        <w:t>collection-goal tipping point effect</w:t>
      </w:r>
      <w:r>
        <w:rPr>
          <w:b w:val="0"/>
          <w:i w:val="0"/>
          <w:sz w:val="24"/>
          <w:color w:val="000000"/>
          <w:rFonts w:ascii="Times New Roman" w:hAnsi="Times New Roman" w:cs="Times New Roman"/>
        </w:rPr>
        <w:t>) dan persepsi ketidaklengkapan memicu ketegangan psikologis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yang secara signifikan mempercepat transaksi pembelian spontan demi menutup celah kekosongan koleksi.</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B (Argumen teoritis kolektor matang, bukan uji n.s. langsung):</w:t>
      </w:r>
      <w:r>
        <w:rPr>
          <w:b w:val="0"/>
          <w:i w:val="0"/>
          <w:sz w:val="24"/>
          <w:color w:val="000000"/>
          <w:rFonts w:ascii="Times New Roman" w:hAnsi="Times New Roman" w:cs="Times New Roman"/>
        </w:rPr>
        <w:t xml:space="preserve"> Sebaliknya, argumen segmentasi nilai kolektibel </w:t>
      </w:r>
      <w:hyperlink w:anchor="Ref_long2000consuming" w:history="1">
        <w:r>
          <w:t xml:space="preserve">Long dan Schiffman (2000)</w:t>
        </w:r>
      </w:hyperlink>
      <w:r>
        <w:rPr>
          <w:color w:val="000000"/>
          <w:rFonts w:ascii="Times New Roman" w:hAnsi="Times New Roman" w:cs="Times New Roman"/>
        </w:rPr>
        <w:t xml:space="preserve"> dan esai kualitatif perilaku konsumen muda </w:t>
      </w:r>
      <w:hyperlink w:anchor="Ref_spero2004approach" w:history="1">
        <w:r>
          <w:t xml:space="preserve">Spero dan Stone (2004)</w:t>
        </w:r>
      </w:hyperlink>
      <w:r>
        <w:rPr>
          <w:color w:val="000000"/>
          <w:rFonts w:ascii="Times New Roman" w:hAnsi="Times New Roman" w:cs="Times New Roman"/>
        </w:rPr>
        <w:t xml:space="preserve"> menjelaskan bahwa kolektor matang dan berpengalaman (</w:t>
      </w:r>
      <w:r>
        <w:rPr>
          <w:b w:val="0"/>
          <w:i/>
          <w:sz w:val="24"/>
          <w:color w:val="000000"/>
          <w:rFonts w:ascii="Times New Roman" w:hAnsi="Times New Roman" w:cs="Times New Roman"/>
        </w:rPr>
        <w:t>mature collectors</w:t>
      </w:r>
      <w:r>
        <w:rPr>
          <w:b w:val="0"/>
          <w:i w:val="0"/>
          <w:sz w:val="24"/>
          <w:color w:val="000000"/>
          <w:rFonts w:ascii="Times New Roman" w:hAnsi="Times New Roman" w:cs="Times New Roman"/>
        </w:rPr>
        <w:t>) justru menolak pembelian spekulatif pada produk acak dan menerapkan strategi belanja terencana untuk membeli kartu lepasan (</w:t>
      </w:r>
      <w:r>
        <w:rPr>
          <w:b w:val="0"/>
          <w:i/>
          <w:sz w:val="24"/>
          <w:color w:val="000000"/>
          <w:rFonts w:ascii="Times New Roman" w:hAnsi="Times New Roman" w:cs="Times New Roman"/>
        </w:rPr>
        <w:t>single cards</w:t>
      </w:r>
      <w:r>
        <w:rPr>
          <w:b w:val="0"/>
          <w:i w:val="0"/>
          <w:sz w:val="24"/>
          <w:color w:val="000000"/>
          <w:rFonts w:ascii="Times New Roman" w:hAnsi="Times New Roman" w:cs="Times New Roman"/>
        </w:rPr>
        <w:t>) di pasar sekunder. Baris ini disajikan sebagai argumen teoritis, bukan sebagai klaim koefisien tidak signifikan.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Eksplanasi Kausal Kesenjangan (</w:t>
      </w:r>
      <w:r>
        <w:rPr>
          <w:b w:val="0"/>
          <w:i w:val="0"/>
          <w:sz w:val="24"/>
          <w:color w:val="000000"/>
          <w:rFonts w:ascii="Times New Roman" w:hAnsi="Times New Roman" w:cs="Times New Roman"/>
        </w:rPr>
        <w:t>The Why</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Perbedaan temuan ini bersumber pada tingkat kematangan kolektor (</w:t>
      </w:r>
      <w:r>
        <w:rPr>
          <w:b w:val="0"/>
          <w:i/>
          <w:sz w:val="24"/>
          <w:color w:val="000000"/>
          <w:rFonts w:ascii="Times New Roman" w:hAnsi="Times New Roman" w:cs="Times New Roman"/>
        </w:rPr>
        <w:t>collector maturity</w:t>
      </w:r>
      <w:r>
        <w:rPr>
          <w:b w:val="0"/>
          <w:i w:val="0"/>
          <w:sz w:val="24"/>
          <w:color w:val="000000"/>
          <w:rFonts w:ascii="Times New Roman" w:hAnsi="Times New Roman" w:cs="Times New Roman"/>
        </w:rPr>
        <w:t>) dan kesadaran probabilitas matematis. Konsumen pemula terdorong secara impulsif membeli bungkus acak demi sensasi menyelesaikan set secara instan, sedangkan kolektor matang menyadari rendahnya rasio peluang keberhasilan (</w:t>
      </w:r>
      <w:r>
        <w:rPr>
          <w:b w:val="0"/>
          <w:i/>
          <w:sz w:val="24"/>
          <w:color w:val="000000"/>
          <w:rFonts w:ascii="Times New Roman" w:hAnsi="Times New Roman" w:cs="Times New Roman"/>
        </w:rPr>
        <w:t>pull rate</w:t>
      </w:r>
      <w:r>
        <w:rPr>
          <w:b w:val="0"/>
          <w:i w:val="0"/>
          <w:sz w:val="24"/>
          <w:color w:val="000000"/>
          <w:rFonts w:ascii="Times New Roman" w:hAnsi="Times New Roman" w:cs="Times New Roman"/>
        </w:rPr>
        <w:t>) sehingga memilih menunda kepuasan dan bertransaksi secara selektif dan rasional.</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Subjek Hubungan 3: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₃)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Y</w:t>
      </w:r>
      <w:r>
        <w:rPr>
          <w:b/>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A (Positif dan Signifikan, dengan kualifikasi Y/metode):</w:t>
      </w:r>
      <w:r>
        <w:rPr>
          <w:b w:val="0"/>
          <w:i w:val="0"/>
          <w:sz w:val="24"/>
          <w:color w:val="000000"/>
          <w:rFonts w:ascii="Times New Roman" w:hAnsi="Times New Roman" w:cs="Times New Roman"/>
        </w:rPr>
        <w:t xml:space="preserve"> Bukti analogi aset alternatif oleh </w:t>
      </w:r>
      <w:hyperlink w:anchor="Ref_baur2018bitcoin" w:history="1">
        <w:r>
          <w:t xml:space="preserve">Baur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(2018)</w:t>
        </w:r>
      </w:hyperlink>
      <w:r>
        <w:rPr>
          <w:color w:val="000000"/>
          <w:rFonts w:ascii="Times New Roman" w:hAnsi="Times New Roman" w:cs="Times New Roman"/>
        </w:rPr>
        <w:t xml:space="preserve"> (ekspektasi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xml:space="preserve"> kripto), </w:t>
      </w:r>
      <w:hyperlink w:anchor="Ref_aryadi2024personal" w:history="1">
        <w:r>
          <w:t xml:space="preserve">Aryadi dan Lingga (2026)</w:t>
        </w:r>
      </w:hyperlink>
      <w:r>
        <w:rPr>
          <w:color w:val="000000"/>
          <w:rFonts w:ascii="Times New Roman" w:hAnsi="Times New Roman" w:cs="Times New Roman"/>
        </w:rPr>
        <w:t xml:space="preserve"> (analogi aset alternatif: Y=keputusan partisipasi investasi TCG Jabodetabek, logistik biner, bukan Y=</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dan </w:t>
      </w:r>
      <w:hyperlink w:anchor="Ref_colline2024biases" w:history="1">
        <w:r>
          <w:t xml:space="preserve">Colline (2024)</w:t>
        </w:r>
      </w:hyperlink>
      <w:r>
        <w:rPr>
          <w:color w:val="000000"/>
          <w:rFonts w:ascii="Times New Roman" w:hAnsi="Times New Roman" w:cs="Times New Roman"/>
        </w:rPr>
        <w:t xml:space="preserve"> (analogi pasar saham: bias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 xml:space="preserve">Shiller (2000)</w:t>
        </w:r>
      </w:hyperlink>
      <w:r>
        <w:rPr>
          <w:color w:val="000000"/>
          <w:rFonts w:ascii="Times New Roman" w:hAnsi="Times New Roman" w:cs="Times New Roman"/>
        </w:rPr>
        <w:t xml:space="preserve"> diposisikan sebagai </w:t>
      </w:r>
      <w:r>
        <w:rPr>
          <w:b w:val="0"/>
          <w:i/>
          <w:sz w:val="24"/>
          <w:color w:val="000000"/>
          <w:rFonts w:ascii="Times New Roman" w:hAnsi="Times New Roman" w:cs="Times New Roman"/>
        </w:rPr>
        <w:t>grand theory</w:t>
      </w:r>
      <w:r>
        <w:rPr>
          <w:b w:val="0"/>
          <w:i w:val="0"/>
          <w:sz w:val="24"/>
          <w:color w:val="000000"/>
          <w:rFonts w:ascii="Times New Roman" w:hAnsi="Times New Roman" w:cs="Times New Roman"/>
        </w:rPr>
        <w:t>, bukan baris empiris.</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B (Lensa kontra-teoritis / analogi pasar saham, bukan bukti n.s. pada kolektibel):</w:t>
      </w:r>
      <w:r>
        <w:rPr>
          <w:b w:val="0"/>
          <w:i w:val="0"/>
          <w:sz w:val="24"/>
          <w:color w:val="000000"/>
          <w:rFonts w:ascii="Times New Roman" w:hAnsi="Times New Roman" w:cs="Times New Roman"/>
        </w:rPr>
        <w:t xml:space="preserve"> Riset atensi investor saham </w:t>
      </w:r>
      <w:hyperlink w:anchor="Ref_barber2008all" w:history="1">
        <w:r>
          <w:t xml:space="preserve">Barber dan Odean (2008)</w:t>
        </w:r>
      </w:hyperlink>
      <w:r>
        <w:rPr>
          <w:color w:val="000000"/>
          <w:rFonts w:ascii="Times New Roman" w:hAnsi="Times New Roman" w:cs="Times New Roman"/>
        </w:rPr>
        <w:t xml:space="preserve"> dan landasan pasar efisien </w:t>
      </w:r>
      <w:hyperlink w:anchor="Ref_fama1970efficient" w:history="1">
        <w:r>
          <w:t xml:space="preserve">Fama (1970)</w:t>
        </w:r>
      </w:hyperlink>
      <w:r>
        <w:rPr>
          <w:color w:val="000000"/>
          <w:rFonts w:ascii="Times New Roman" w:hAnsi="Times New Roman" w:cs="Times New Roman"/>
        </w:rPr>
        <w:t xml:space="preserve"> menunjukkan bahwa motif spekulasi finansial sering kali diimbangi oleh kalkulasi risiko kerugian modal (</w:t>
      </w:r>
      <w:r>
        <w:rPr>
          <w:b w:val="0"/>
          <w:i/>
          <w:sz w:val="24"/>
          <w:color w:val="000000"/>
          <w:rFonts w:ascii="Times New Roman" w:hAnsi="Times New Roman" w:cs="Times New Roman"/>
        </w:rPr>
        <w:t>downside risk</w:t>
      </w:r>
      <w:r>
        <w:rPr>
          <w:b w:val="0"/>
          <w:i w:val="0"/>
          <w:sz w:val="24"/>
          <w:color w:val="000000"/>
          <w:rFonts w:ascii="Times New Roman" w:hAnsi="Times New Roman" w:cs="Times New Roman"/>
        </w:rPr>
        <w:t>), yang justru menumbuhkan kehati-hatian kognitif dan mencegah tindakan belanja spontan tanpa perhitungan mendalam. Baris ini dibaca sebagai analogi pasar saham, bukan bukti tidak signifikan pada kolektibel.</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Eksplanasi Kausal Kesenjangan (</w:t>
      </w:r>
      <w:r>
        <w:rPr>
          <w:b w:val="0"/>
          <w:i w:val="0"/>
          <w:sz w:val="24"/>
          <w:color w:val="000000"/>
          <w:rFonts w:ascii="Times New Roman" w:hAnsi="Times New Roman" w:cs="Times New Roman"/>
        </w:rPr>
        <w:t>The Why</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Kesenjangan ini timbul akibat asimetri informasi pasar dan ilusi kendali (</w:t>
      </w:r>
      <w:r>
        <w:rPr>
          <w:b w:val="0"/>
          <w:i/>
          <w:sz w:val="24"/>
          <w:color w:val="000000"/>
          <w:rFonts w:ascii="Times New Roman" w:hAnsi="Times New Roman" w:cs="Times New Roman"/>
        </w:rPr>
        <w:t>illusion of control</w:t>
      </w:r>
      <w:r>
        <w:rPr>
          <w:b w:val="0"/>
          <w:i w:val="0"/>
          <w:sz w:val="24"/>
          <w:color w:val="000000"/>
          <w:rFonts w:ascii="Times New Roman" w:hAnsi="Times New Roman"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Subjek Hubungan 4: Pengaruh Langsung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Y</w:t>
      </w:r>
      <w:r>
        <w:rPr>
          <w:b/>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A (Pengaruh Negatif Signifikan / Meredam):</w:t>
      </w:r>
      <w:r>
        <w:rPr>
          <w:b w:val="0"/>
          <w:i w:val="0"/>
          <w:sz w:val="24"/>
          <w:color w:val="000000"/>
          <w:rFonts w:ascii="Times New Roman" w:hAnsi="Times New Roman" w:cs="Times New Roman"/>
        </w:rPr>
        <w:t xml:space="preserve"> Berlandaskan teori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riset fundamental oleh </w:t>
      </w:r>
      <w:hyperlink w:anchor="Ref_baumeister2002yield" w:history="1">
        <w:r>
          <w:t xml:space="preserve">Baumeister (2002)</w:t>
        </w:r>
      </w:hyperlink>
      <w:r>
        <w:rPr>
          <w:color w:val="000000"/>
          <w:rFonts w:ascii="Times New Roman" w:hAnsi="Times New Roman" w:cs="Times New Roman"/>
        </w:rPr>
        <w:t xml:space="preserve">, </w:t>
      </w:r>
      <w:hyperlink w:anchor="Ref_tangney2004high" w:history="1">
        <w:r>
          <w:t xml:space="preserve">Tangney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(2004)</w:t>
        </w:r>
      </w:hyperlink>
      <w:r>
        <w:rPr>
          <w:color w:val="000000"/>
          <w:rFonts w:ascii="Times New Roman" w:hAnsi="Times New Roman" w:cs="Times New Roman"/>
        </w:rPr>
        <w:t xml:space="preserve">, </w:t>
      </w:r>
      <w:hyperlink w:anchor="Ref_vohs2007spent" w:history="1">
        <w:r>
          <w:t xml:space="preserve">Vohs dan Faber (2007)</w:t>
        </w:r>
      </w:hyperlink>
      <w:r>
        <w:rPr>
          <w:color w:val="000000"/>
          <w:rFonts w:ascii="Times New Roman" w:hAnsi="Times New Roman" w:cs="Times New Roman"/>
        </w:rPr>
        <w:t xml:space="preserve">, dan </w:t>
      </w:r>
      <w:hyperlink w:anchor="Ref_sultan2012building" w:history="1">
        <w:r>
          <w:t xml:space="preserve">Sultan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(2012)</w:t>
        </w:r>
      </w:hyperlink>
      <w:r>
        <w:rPr>
          <w:color w:val="000000"/>
          <w:rFonts w:ascii="Times New Roman" w:hAnsi="Times New Roman" w:cs="Times New Roman"/>
        </w:rPr>
        <w:t xml:space="preserve"> membuktikan bahwa kapasitas kontrol diri yang tinggi secara signifikan menekan perilaku pembelian impulsif melalui mekanisme disiplin penundaan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B (Batas konseptual, bukan uji regresi):</w:t>
      </w:r>
      <w:r>
        <w:rPr>
          <w:b w:val="0"/>
          <w:i w:val="0"/>
          <w:sz w:val="24"/>
          <w:color w:val="000000"/>
          <w:rFonts w:ascii="Times New Roman" w:hAnsi="Times New Roman" w:cs="Times New Roman"/>
        </w:rPr>
        <w:t xml:space="preserve"> Sebagai batas konseptual, teori konsumsi pengalaman </w:t>
      </w:r>
      <w:hyperlink w:anchor="Ref_hirschman1982hedonic" w:history="1">
        <w:r>
          <w:t xml:space="preserve">Hirschman dan Holbrook (1982)</w:t>
        </w:r>
      </w:hyperlink>
      <w:r>
        <w:rPr>
          <w:color w:val="000000"/>
          <w:rFonts w:ascii="Times New Roman" w:hAnsi="Times New Roman" w:cs="Times New Roman"/>
        </w:rPr>
        <w:t xml:space="preserve"> serta tipologi klasik </w:t>
      </w:r>
      <w:hyperlink w:anchor="Ref_stern1962significance" w:history="1">
        <w:r>
          <w:t xml:space="preserve">Stern (1962)</w:t>
        </w:r>
      </w:hyperlink>
      <w:r>
        <w:rPr>
          <w:color w:val="000000"/>
          <w:rFonts w:ascii="Times New Roman" w:hAnsi="Times New Roman" w:cs="Times New Roman"/>
        </w:rPr>
        <w:t xml:space="preserve"> menjelaskan kondisi </w:t>
      </w:r>
      <w:r>
        <w:rPr>
          <w:b w:val="0"/>
          <w:i/>
          <w:sz w:val="24"/>
          <w:color w:val="000000"/>
          <w:rFonts w:ascii="Times New Roman" w:hAnsi="Times New Roman" w:cs="Times New Roman"/>
        </w:rPr>
        <w:t>cognitive bypass</w:t>
      </w:r>
      <w:r>
        <w:rPr>
          <w:b w:val="0"/>
          <w:i w:val="0"/>
          <w:sz w:val="24"/>
          <w:color w:val="000000"/>
          <w:rFonts w:ascii="Times New Roman" w:hAnsi="Times New Roman"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Eksplanasi Kausal Kesenjangan (</w:t>
      </w:r>
      <w:r>
        <w:rPr>
          <w:b w:val="0"/>
          <w:i w:val="0"/>
          <w:sz w:val="24"/>
          <w:color w:val="000000"/>
          <w:rFonts w:ascii="Times New Roman" w:hAnsi="Times New Roman" w:cs="Times New Roman"/>
        </w:rPr>
        <w:t>The Why</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Perbedaan ini dipicu oleh keterbatasan kapasitas energi kognitif (</w:t>
      </w:r>
      <w:r>
        <w:rPr>
          <w:b w:val="0"/>
          <w:i/>
          <w:sz w:val="24"/>
          <w:color w:val="000000"/>
          <w:rFonts w:ascii="Times New Roman" w:hAnsi="Times New Roman" w:cs="Times New Roman"/>
        </w:rPr>
        <w:t>ego depletion</w:t>
      </w:r>
      <w:r>
        <w:rPr>
          <w:b w:val="0"/>
          <w:i w:val="0"/>
          <w:sz w:val="24"/>
          <w:color w:val="000000"/>
          <w:rFonts w:ascii="Times New Roman" w:hAnsi="Times New Roman"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Subjek Hubungan 5: Peran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pada Hubungan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₁)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Y</w:t>
      </w:r>
      <w:r>
        <w:rPr>
          <w:b/>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A (Memperlemah Pengaruh / Buffer Efektif):</w:t>
      </w:r>
      <w:r>
        <w:rPr>
          <w:b w:val="0"/>
          <w:i w:val="0"/>
          <w:sz w:val="24"/>
          <w:color w:val="000000"/>
          <w:rFonts w:ascii="Times New Roman" w:hAnsi="Times New Roman" w:cs="Times New Roman"/>
        </w:rPr>
        <w:t xml:space="preserve"> Bukti moderasi langsung berasal dari </w:t>
      </w:r>
      <w:hyperlink w:anchor="Ref_lienardy2026role" w:history="1">
        <w:r>
          <w:t xml:space="preserve">Lienardy dan Panasea (2026)</w:t>
        </w:r>
      </w:hyperlink>
      <w:r>
        <w:rPr>
          <w:color w:val="000000"/>
          <w:rFonts w:ascii="Times New Roman" w:hAnsi="Times New Roman" w:cs="Times New Roman"/>
        </w:rPr>
        <w:t xml:space="preserve"> yang membuktikan melalui MRA bahwa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secara signifikan memoderasi dan memperlemah pengaruh perilaku hedonis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(H4 diterima; konsumen berdaya regulasi tinggi menekan dorongan kesenangan belanja; n=160 Shopee Denpasar). Dukungan umum datang dari </w:t>
      </w:r>
      <w:hyperlink w:anchor="Ref_katauke2023financial" w:history="1">
        <w:r>
          <w:t xml:space="preserve">Katauke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(2023)</w:t>
        </w:r>
      </w:hyperlink>
      <w:r>
        <w:rPr>
          <w:color w:val="000000"/>
          <w:rFonts w:ascii="Times New Roman" w:hAnsi="Times New Roman" w:cs="Times New Roman"/>
        </w:rPr>
        <w:t xml:space="preserve"> bahwa kapasitas literasi finansial berhubungan negatif dengan impulsivitas (probit + IV, Jepang) — proksi regulasi rasional, bukan uji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B (Gagal-moderasi + batas teoritis):</w:t>
      </w:r>
      <w:r>
        <w:rPr>
          <w:b w:val="0"/>
          <w:i w:val="0"/>
          <w:sz w:val="24"/>
          <w:color w:val="000000"/>
          <w:rFonts w:ascii="Times New Roman" w:hAnsi="Times New Roman" w:cs="Times New Roman"/>
        </w:rPr>
        <w:t xml:space="preserve"> Dua uji interaksi MRA/moderasi yang benar-benar menguji gagal-moderasi: (1) </w:t>
      </w:r>
      <w:hyperlink w:anchor="Ref_apidana2022peran" w:history="1">
        <w:r>
          <w:t xml:space="preserve">Apidana dan Kholifah (2022)</w:t>
        </w:r>
      </w:hyperlink>
      <w:r>
        <w:rPr>
          <w:color w:val="000000"/>
          <w:rFonts w:ascii="Times New Roman" w:hAnsi="Times New Roman" w:cs="Times New Roman"/>
        </w:rPr>
        <w:t xml:space="preserve"> — interaksi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TIDAK signifikan (p=0,597; H3 ditolak; Tabel 12); (2) </w:t>
      </w:r>
      <w:hyperlink w:anchor="Ref_artadita2024how" w:history="1">
        <w:r>
          <w:t xml:space="preserve">Artadita dan Firmialy (2024)</w:t>
        </w:r>
      </w:hyperlink>
      <w:r>
        <w:rPr>
          <w:color w:val="000000"/>
          <w:rFonts w:ascii="Times New Roman" w:hAnsi="Times New Roman" w:cs="Times New Roman"/>
        </w:rPr>
        <w:t xml:space="preserve"> — efek moderasi TIDAK signifikan (β=0{,}092, n.s.; H3 ditolak). Mekanisme penjelas: luapan emosional ekstrem melampaui kapasitas volisional (</w:t>
      </w:r>
      <w:r>
        <w:rPr>
          <w:b w:val="0"/>
          <w:i/>
          <w:sz w:val="24"/>
          <w:color w:val="000000"/>
          <w:rFonts w:ascii="Times New Roman" w:hAnsi="Times New Roman" w:cs="Times New Roman"/>
        </w:rPr>
        <w:t>regulatory failure</w:t>
      </w:r>
      <w:r>
        <w:rPr>
          <w:b w:val="0"/>
          <w:i w:val="0"/>
          <w:sz w:val="24"/>
          <w:color w:val="000000"/>
          <w:rFonts w:ascii="Times New Roman" w:hAnsi="Times New Roman" w:cs="Times New Roman"/>
        </w:rPr>
        <w:t xml:space="preserve">; penipisan ego (</w:t>
      </w:r>
      <w:hyperlink w:anchor="Ref_baumeister2002yield" w:history="1">
        <w:r>
          <w:t xml:space="preserve">Baumeister, 2002</w:t>
        </w:r>
      </w:hyperlink>
      <w:r>
        <w:rPr>
          <w:color w:val="000000"/>
          <w:rFonts w:ascii="Times New Roman" w:hAnsi="Times New Roman" w:cs="Times New Roman"/>
        </w:rPr>
        <w:t xml:space="preserve">; </w:t>
      </w:r>
      <w:hyperlink w:anchor="Ref_vohs2007spent" w:history="1">
        <w:r>
          <w:t xml:space="preserve">Vohs dan Faber, 2007</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Eksplanasi Kausal Kesenjangan (</w:t>
      </w:r>
      <w:r>
        <w:rPr>
          <w:b w:val="0"/>
          <w:i w:val="0"/>
          <w:sz w:val="24"/>
          <w:color w:val="000000"/>
          <w:rFonts w:ascii="Times New Roman" w:hAnsi="Times New Roman" w:cs="Times New Roman"/>
        </w:rPr>
        <w:t>The Why</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b w:val="0"/>
          <w:i/>
          <w:sz w:val="24"/>
          <w:color w:val="000000"/>
          <w:rFonts w:ascii="Times New Roman" w:hAnsi="Times New Roman" w:cs="Times New Roman"/>
        </w:rPr>
        <w:t>regulatory failure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Subjek Hubungan 6: Peran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pada Hubungan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₂)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Y</w:t>
      </w:r>
      <w:r>
        <w:rPr>
          <w:b/>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 xml:space="preserve">Temuan A (Dukungan parsial/tak langsung — uji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₂ · </w:t>
      </w:r>
      <w:r>
        <w:rPr>
          <w:b w:val="0"/>
          <w:i w:val="0"/>
          <w:sz w:val="24"/>
          <w:color w:val="000000"/>
          <w:rFonts w:ascii="Times New Roman" w:hAnsi="Times New Roman" w:cs="Times New Roman"/>
        </w:rPr>
        <w:t>M</w:t>
      </w:r>
      <w:r>
        <w:rPr>
          <w:b w:val="0"/>
          <w:i/>
          <w:sz w:val="24"/>
          <w:color w:val="000000"/>
          <w:rFonts w:ascii="Times New Roman" w:hAnsi="Times New Roman" w:cs="Times New Roman"/>
        </w:rPr>
        <w:t xml:space="preserve"> langsung belum tersedia):</w:t>
      </w:r>
      <w:r>
        <w:rPr>
          <w:b w:val="0"/>
          <w:i w:val="0"/>
          <w:sz w:val="24"/>
          <w:color w:val="000000"/>
          <w:rFonts w:ascii="Times New Roman" w:hAnsi="Times New Roman" w:cs="Times New Roman"/>
        </w:rPr>
        <w:t xml:space="preserve"> Bukti terdekat berasal dari </w:t>
      </w:r>
      <w:hyperlink w:anchor="Ref_artadita2024how" w:history="1">
        <w:r>
          <w:t xml:space="preserve">Artadita dan Firmialy (2024)</w:t>
        </w:r>
      </w:hyperlink>
      <w:r>
        <w:rPr>
          <w:color w:val="000000"/>
          <w:rFonts w:ascii="Times New Roman" w:hAnsi="Times New Roman" w:cs="Times New Roman"/>
        </w:rPr>
        <w:t xml:space="preserve">: hanya dimensi kontrol kognitif yang signifikan melemahkan impulsivitas koleksi item game (-0{,}3473, p&lt;0{,}10, Model 3), sementara moderasi keseluruhan DITOLAK. Bukti adjacent: </w:t>
      </w:r>
      <w:hyperlink w:anchor="Ref_apidana2022peran" w:history="1">
        <w:r>
          <w:t xml:space="preserve">Apidana dan Kholifah (2022)</w:t>
        </w:r>
      </w:hyperlink>
      <w:r>
        <w:rPr>
          <w:color w:val="000000"/>
          <w:rFonts w:ascii="Times New Roman" w:hAnsi="Times New Roman" w:cs="Times New Roman"/>
        </w:rPr>
        <w:t xml:space="preserve"> membuktikan kontrol diri memperlemah dorongan non-afektif (</w:t>
      </w:r>
      <w:r>
        <w:rPr>
          <w:b w:val="0"/>
          <w:i/>
          <w:sz w:val="24"/>
          <w:color w:val="000000"/>
          <w:rFonts w:ascii="Times New Roman" w:hAnsi="Times New Roman" w:cs="Times New Roman"/>
        </w:rPr>
        <w:t>shopping lifestyle</w:t>
      </w:r>
      <w:r>
        <w:rPr>
          <w:b w:val="0"/>
          <w:i w:val="0"/>
          <w:sz w:val="24"/>
          <w:color w:val="000000"/>
          <w:rFonts w:ascii="Times New Roman" w:hAnsi="Times New Roman" w:cs="Times New Roman"/>
        </w:rPr>
        <w:t>, H4 diterima, β&lt;0, MRA) — menunjukkan rem volisional bekerja pada dorongan konsumtif non-hedonis.</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B (Argumen teoritis obsesi, bukan uji interaksi MRA):</w:t>
      </w:r>
      <w:r>
        <w:rPr>
          <w:b w:val="0"/>
          <w:i w:val="0"/>
          <w:sz w:val="24"/>
          <w:color w:val="000000"/>
          <w:rFonts w:ascii="Times New Roman" w:hAnsi="Times New Roman" w:cs="Times New Roman"/>
        </w:rPr>
        <w:t xml:space="preserve"> Sebaliknya, argumen antropologi koleksi </w:t>
      </w:r>
      <w:hyperlink w:anchor="Ref_belk1995collecting" w:history="1">
        <w:r>
          <w:t xml:space="preserve">Belk (1995)</w:t>
        </w:r>
      </w:hyperlink>
      <w:r>
        <w:rPr>
          <w:color w:val="000000"/>
          <w:rFonts w:ascii="Times New Roman" w:hAnsi="Times New Roman" w:cs="Times New Roman"/>
        </w:rPr>
        <w:t xml:space="preserve"> dan paradigma eksperimen himpunan semu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 (studi eksperimen efek positif himpunan, bukan uji interaksi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menjelaskan bahwa obsesi kelengkapan himpunan dapat berkembang menjadi dorongan kuasi-kompulsif yang membungkam pertimbangan kontrol diri individu. Baris ini disajikan sebagai argumen teoritis, bukan klaim koefisien moderasi tidak signifikan. Bukti gagal-moderasi pada konteks koleksi: </w:t>
      </w:r>
      <w:hyperlink w:anchor="Ref_artadita2024how" w:history="1">
        <w:r>
          <w:t xml:space="preserve">Artadita dan Firmialy (2024)</w:t>
        </w:r>
      </w:hyperlink>
      <w:r>
        <w:rPr>
          <w:color w:val="000000"/>
          <w:rFonts w:ascii="Times New Roman" w:hAnsi="Times New Roman" w:cs="Times New Roman"/>
        </w:rPr>
        <w:t xml:space="preserve"> menemukan efek moderasi kontrol diri pada kenikmatan belanja item game TIDAK signifikan (β=0{,}092, n.s.; H3 ditolak).</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Eksplanasi Kausal Kesenjangan (</w:t>
      </w:r>
      <w:r>
        <w:rPr>
          <w:b w:val="0"/>
          <w:i w:val="0"/>
          <w:sz w:val="24"/>
          <w:color w:val="000000"/>
          <w:rFonts w:ascii="Times New Roman" w:hAnsi="Times New Roman" w:cs="Times New Roman"/>
        </w:rPr>
        <w:t>The Why</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Kesenjangan moderasi ini dipengaruhi oleh kedalaman keterikatan afektif (</w:t>
      </w:r>
      <w:r>
        <w:rPr>
          <w:b w:val="0"/>
          <w:i/>
          <w:sz w:val="24"/>
          <w:color w:val="000000"/>
          <w:rFonts w:ascii="Times New Roman" w:hAnsi="Times New Roman" w:cs="Times New Roman"/>
        </w:rPr>
        <w:t>collecting involvement</w:t>
      </w:r>
      <w:r>
        <w:rPr>
          <w:b w:val="0"/>
          <w:i w:val="0"/>
          <w:sz w:val="24"/>
          <w:color w:val="000000"/>
          <w:rFonts w:ascii="Times New Roman" w:hAnsi="Times New Roman" w:cs="Times New Roman"/>
        </w:rPr>
        <w:t>). Jika hasrat melengkapi hanya sebatas hiburan kasual, kontrol diri mampu mengerem belanja; sebaliknya jika didorong oleh fanatisme koleksi yang mendalam, hasrat menuntaskan set akan mengabaikan fungsi rem kontrol diri.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Subjek Hubungan 7: Peran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pada Hubungan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₃)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Y</w:t>
      </w:r>
      <w:r>
        <w:rPr>
          <w:b/>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 xml:space="preserve">Temuan A (Dukungan tak langsung — uji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₃ · </w:t>
      </w:r>
      <w:r>
        <w:rPr>
          <w:b w:val="0"/>
          <w:i w:val="0"/>
          <w:sz w:val="24"/>
          <w:color w:val="000000"/>
          <w:rFonts w:ascii="Times New Roman" w:hAnsi="Times New Roman" w:cs="Times New Roman"/>
        </w:rPr>
        <w:t>M</w:t>
      </w:r>
      <w:r>
        <w:rPr>
          <w:b w:val="0"/>
          <w:i/>
          <w:sz w:val="24"/>
          <w:color w:val="000000"/>
          <w:rFonts w:ascii="Times New Roman" w:hAnsi="Times New Roman" w:cs="Times New Roman"/>
        </w:rPr>
        <w:t xml:space="preserve"> langsung belum tersedia):</w:t>
      </w:r>
      <w:r>
        <w:rPr>
          <w:b w:val="0"/>
          <w:i w:val="0"/>
          <w:sz w:val="24"/>
          <w:color w:val="000000"/>
          <w:rFonts w:ascii="Times New Roman" w:hAnsi="Times New Roman" w:cs="Times New Roman"/>
        </w:rPr>
        <w:t xml:space="preserve"> </w:t>
      </w:r>
      <w:hyperlink w:anchor="Ref_katauke2023financial" w:history="1">
        <w:r>
          <w:t xml:space="preserve">Katauke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(2023)</w:t>
        </w:r>
      </w:hyperlink>
      <w:r>
        <w:rPr>
          <w:color w:val="000000"/>
          <w:rFonts w:ascii="Times New Roman" w:hAnsi="Times New Roman" w:cs="Times New Roman"/>
        </w:rPr>
        <w:t xml:space="preserve"> membuktikan kapasitas literasi finansial berhubungan negatif dengan impulsivitas diskonto hiperbolik (Jepang, probit + IV) — proksi regulasi rasional. Mekanisme teoretis: model konflik internal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w:t>
      </w:r>
      <w:hyperlink w:anchor="Ref_thaler1981economic" w:history="1">
        <w:r>
          <w:t xml:space="preserve">(Thaler dan Shefrin, 1981)</w:t>
        </w:r>
      </w:hyperlink>
      <w:r>
        <w:rPr>
          <w:color w:val="000000"/>
          <w:rFonts w:ascii="Times New Roman" w:hAnsi="Times New Roman" w:cs="Times New Roman"/>
        </w:rPr>
        <w:t xml:space="preserve"> memprediksi rem volisional perencana meredam pelaku spekulatif; besarnya efek pada konteks TCG menjadi pertanyaan empiris H6.</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Temuan B (Argumen teoritis batas moderasi saat euforia, bukan uji interaksi):</w:t>
      </w:r>
      <w:r>
        <w:rPr>
          <w:b w:val="0"/>
          <w:i w:val="0"/>
          <w:sz w:val="24"/>
          <w:color w:val="000000"/>
          <w:rFonts w:ascii="Times New Roman" w:hAnsi="Times New Roman" w:cs="Times New Roman"/>
        </w:rPr>
        <w:t xml:space="preserve"> Sebagai argumen teoritis, narasi gelembung spekulatif </w:t>
      </w:r>
      <w:hyperlink w:anchor="Ref_shiller2000irrational" w:history="1">
        <w:r>
          <w:t xml:space="preserve">Shiller (2000)</w:t>
        </w:r>
      </w:hyperlink>
      <w:r>
        <w:rPr>
          <w:color w:val="000000"/>
          <w:rFonts w:ascii="Times New Roman" w:hAnsi="Times New Roman" w:cs="Times New Roman"/>
        </w:rPr>
        <w:t xml:space="preserve"> dan bukti partisipasi transaksi komunitas kartu </w:t>
      </w:r>
      <w:hyperlink w:anchor="Ref_aryadi2024personal" w:history="1">
        <w:r>
          <w:t xml:space="preserve">Aryadi dan Lingga (2026)</w:t>
        </w:r>
      </w:hyperlink>
      <w:r>
        <w:rPr>
          <w:color w:val="000000"/>
          <w:rFonts w:ascii="Times New Roman" w:hAnsi="Times New Roman" w:cs="Times New Roman"/>
        </w:rPr>
        <w:t xml:space="preserve"> (Y=partisipasi investasi, bukan uji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menjelaskan kondisi ketika ilusi keuntungan lelang sekunder dan tekanan herding melumpuhkan kontrol diri rasional konsumen. Baris ini disajikan sebagai batas teoritis moderasi, bukan klaim koefisien interaksi tidak signifikan.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Eksplanasi Kausal Kesenjangan (</w:t>
      </w:r>
      <w:r>
        <w:rPr>
          <w:b w:val="0"/>
          <w:i w:val="0"/>
          <w:sz w:val="24"/>
          <w:color w:val="000000"/>
          <w:rFonts w:ascii="Times New Roman" w:hAnsi="Times New Roman" w:cs="Times New Roman"/>
        </w:rPr>
        <w:t>The Why</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Kesenjangan ini dipicu oleh tekanan sosial dan fenomena </w:t>
      </w:r>
      <w:r>
        <w:rPr>
          <w:b w:val="0"/>
          <w:i/>
          <w:sz w:val="24"/>
          <w:color w:val="000000"/>
          <w:rFonts w:ascii="Times New Roman" w:hAnsi="Times New Roman" w:cs="Times New Roman"/>
        </w:rPr>
        <w:t>fear of missing out</w:t>
      </w:r>
      <w:r>
        <w:rPr>
          <w:b w:val="0"/>
          <w:i w:val="0"/>
          <w:sz w:val="24"/>
          <w:color w:val="000000"/>
          <w:rFonts w:ascii="Times New Roman" w:hAnsi="Times New Roman" w:cs="Times New Roman"/>
        </w:rPr>
        <w:t xml:space="preserve"> (FOMO). Saat narasi keuntungan lelang kartu PSA 10 diamplifikasi secara masif di media sosial, kontrol diri individu terkompromi oleh kepanikan tertinggal momentum pasar finansial (</w:t>
      </w:r>
      <w:r>
        <w:rPr>
          <w:b w:val="0"/>
          <w:i/>
          <w:sz w:val="24"/>
          <w:color w:val="000000"/>
          <w:rFonts w:ascii="Times New Roman" w:hAnsi="Times New Roman" w:cs="Times New Roman"/>
        </w:rPr>
        <w:t>herding behavior</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Matriks sintesis kesenjangan penelitian empiris (</w:t>
      </w:r>
      <w:r>
        <w:rPr>
          <w:b w:val="0"/>
          <w:i/>
          <w:sz w:val="24"/>
          <w:color w:val="000000"/>
          <w:rFonts w:ascii="Times New Roman" w:hAnsi="Times New Roman" w:cs="Times New Roman"/>
        </w:rPr>
        <w:t>research gap</w:t>
      </w:r>
      <w:r>
        <w:rPr>
          <w:b w:val="0"/>
          <w:i w:val="0"/>
          <w:sz w:val="24"/>
          <w:color w:val="000000"/>
          <w:rFonts w:ascii="Times New Roman" w:hAnsi="Times New Roman" w:cs="Times New Roman"/>
        </w:rPr>
        <w:t>) pada ketujuh subjek hubungan tersebut dirangkum secara komprehensif pada Tabel.</w:t>
      </w:r>
    </w:p>
    <w:p>
      <w:pPr>
        <w:spacing w:line="360" w:lineRule="auto" w:before="0" w:after="0"/>
        <w:ind w:firstLine="709"/>
        <w:jc w:val="both"/>
      </w:pPr>
      <w:r>
        <w:rPr>
          <w:b w:val="0"/>
          <w:i w:val="0"/>
          <w:sz w:val="24"/>
          <w:color w:val="000000"/>
          <w:rFonts w:ascii="Times New Roman" w:hAnsi="Times New Roman" w:cs="Times New Roman"/>
        </w:rPr>
        <w:t>\begingroup</w:t>
      </w:r>
    </w:p>
    <w:p>
      <w:pPr>
        <w:spacing w:line="360" w:lineRule="auto" w:before="0" w:after="0"/>
        <w:ind w:firstLine="709"/>
        <w:jc w:val="both"/>
      </w:pPr>
      <w:r>
        <w:rPr>
          <w:b w:val="0"/>
          <w:i w:val="0"/>
          <w:sz w:val="24"/>
          <w:color w:val="000000"/>
          <w:rFonts w:ascii="Times New Roman" w:hAnsi="Times New Roman" w:cs="Times New Roman"/>
        </w:rPr>
        <w:t>\small</w:t>
      </w:r>
    </w:p>
    <w:p>
      <w:pPr>
        <w:spacing w:line="360" w:lineRule="auto" w:before="0" w:after="0"/>
        <w:ind w:firstLine="709"/>
        <w:jc w:val="both"/>
      </w:pPr>
      <w:r>
        <w:rPr>
          <w:b w:val="0"/>
          <w:i w:val="0"/>
          <w:sz w:val="24"/>
          <w:color w:val="000000"/>
          <w:rFonts w:ascii="Times New Roman" w:hAnsi="Times New Roman" w:cs="Times New Roman"/>
        </w:rPr>
        <w:t>\begin{longtable}{p{0.04\textwidth} p{0.21\textwidth} p{0.24\textwidth} p{0.24\textwidth} p{0.21\textwidth}}</w:t>
      </w:r>
    </w:p>
    <w:p>
      <w:bookmarkStart w:id="1004" w:name="Cap_Tabel_1_1"/>
      <w:pPr>
        <w:keepNext/>
        <w:spacing w:before="240" w:after="80"/>
        <w:jc w:val="left"/>
      </w:pPr>
      <w:r>
        <w:rPr>
          <w:b/>
          <w:sz w:val="24"/>
          <w:color w:val="000000"/>
          <w:rFonts w:ascii="Times New Roman" w:hAnsi="Times New Roman" w:cs="Times New Roman"/>
        </w:rPr>
        <w:t xml:space="preserve">Tabel 1.1: </w:t>
      </w:r>
      <w:r>
        <w:rPr>
          <w:b w:val="0"/>
          <w:i w:val="0"/>
          <w:sz w:val="24"/>
          <w:color w:val="000000"/>
          <w:rFonts w:ascii="Times New Roman" w:hAnsi="Times New Roman" w:cs="Times New Roman"/>
        </w:rPr>
        <w:t>Matriks Kesenjangan Penelitian Empiris (</w:t>
      </w:r>
      <w:r>
        <w:rPr>
          <w:b w:val="0"/>
          <w:i/>
          <w:sz w:val="24"/>
          <w:color w:val="000000"/>
          <w:rFonts w:ascii="Times New Roman" w:hAnsi="Times New Roman" w:cs="Times New Roman"/>
        </w:rPr>
        <w:t>Research Gap</w:t>
      </w:r>
      <w:r>
        <w:rPr>
          <w:b w:val="0"/>
          <w:i w:val="0"/>
          <w:sz w:val="24"/>
          <w:color w:val="000000"/>
          <w:rFonts w:ascii="Times New Roman" w:hAnsi="Times New Roman" w:cs="Times New Roman"/>
        </w:rPr>
        <w:t>) pada 7 Subjek Hubungan Model Penelitian} \label{tab:research_gap</w:t>
      </w:r>
      <w:bookmarkEnd w:id="1004"/>
    </w:p>
    <w:p>
      <w:pPr>
        <w:spacing w:line="360" w:lineRule="auto" w:before="0" w:after="0"/>
        <w:ind w:firstLine="709"/>
        <w:jc w:val="both"/>
      </w:pPr>
      <w:r>
        <w:rPr>
          <w:b w:val="0"/>
          <w:i w:val="0"/>
          <w:sz w:val="24"/>
          <w:color w:val="000000"/>
          <w:rFonts w:ascii="Times New Roman" w:hAnsi="Times New Roman" w:cs="Times New Roman"/>
        </w:rPr>
        <w:t>\toprule</w:t>
      </w:r>
    </w:p>
    <w:p>
      <w:pPr>
        <w:spacing w:line="360" w:lineRule="auto" w:before="0" w:after="0"/>
        <w:ind w:firstLine="709"/>
        <w:jc w:val="both"/>
      </w:pPr>
      <w:r>
        <w:rPr>
          <w:b/>
          <w:i w:val="0"/>
          <w:sz w:val="24"/>
          <w:color w:val="000000"/>
          <w:rFonts w:ascii="Times New Roman" w:hAnsi="Times New Roman" w:cs="Times New Roman"/>
        </w:rPr>
        <w:t>No</w:t>
      </w:r>
      <w:r>
        <w:rPr>
          <w:b w:val="0"/>
          <w:i w:val="0"/>
          <w:sz w:val="24"/>
          <w:color w:val="000000"/>
          <w:rFonts w:ascii="Times New Roman" w:hAnsi="Times New Roman" w:cs="Times New Roman"/>
        </w:rPr>
        <w:t xml:space="preserve"> &amp; </w:t>
      </w:r>
      <w:r>
        <w:rPr>
          <w:b/>
          <w:i w:val="0"/>
          <w:sz w:val="24"/>
          <w:color w:val="000000"/>
          <w:rFonts w:ascii="Times New Roman" w:hAnsi="Times New Roman" w:cs="Times New Roman"/>
        </w:rPr>
        <w:t>Subjek Hubungan</w:t>
      </w:r>
      <w:r>
        <w:rPr>
          <w:b w:val="0"/>
          <w:i w:val="0"/>
          <w:sz w:val="24"/>
          <w:color w:val="000000"/>
          <w:rFonts w:ascii="Times New Roman" w:hAnsi="Times New Roman" w:cs="Times New Roman"/>
        </w:rPr>
        <w:t xml:space="preserve"> &amp; </w:t>
      </w:r>
      <w:r>
        <w:rPr>
          <w:b/>
          <w:i w:val="0"/>
          <w:sz w:val="24"/>
          <w:color w:val="000000"/>
          <w:rFonts w:ascii="Times New Roman" w:hAnsi="Times New Roman" w:cs="Times New Roman"/>
        </w:rPr>
        <w:t>Kelompok Temuan Positif / Meredam</w:t>
      </w:r>
      <w:r>
        <w:rPr>
          <w:b w:val="0"/>
          <w:i w:val="0"/>
          <w:sz w:val="24"/>
          <w:color w:val="000000"/>
          <w:rFonts w:ascii="Times New Roman" w:hAnsi="Times New Roman" w:cs="Times New Roman"/>
        </w:rPr>
        <w:t xml:space="preserve"> &amp; </w:t>
      </w:r>
      <w:r>
        <w:rPr>
          <w:b/>
          <w:i w:val="0"/>
          <w:sz w:val="24"/>
          <w:color w:val="000000"/>
          <w:rFonts w:ascii="Times New Roman" w:hAnsi="Times New Roman" w:cs="Times New Roman"/>
        </w:rPr>
        <w:t>Kelompok Temuan Negatif / Lemah</w:t>
      </w:r>
      <w:r>
        <w:rPr>
          <w:b w:val="0"/>
          <w:i w:val="0"/>
          <w:sz w:val="24"/>
          <w:color w:val="000000"/>
          <w:rFonts w:ascii="Times New Roman" w:hAnsi="Times New Roman" w:cs="Times New Roman"/>
        </w:rPr>
        <w:t xml:space="preserve"> &amp; </w:t>
      </w:r>
      <w:r>
        <w:rPr>
          <w:b/>
          <w:i w:val="0"/>
          <w:sz w:val="24"/>
          <w:color w:val="000000"/>
          <w:rFonts w:ascii="Times New Roman" w:hAnsi="Times New Roman" w:cs="Times New Roman"/>
        </w:rPr>
        <w:t>Inti Kesenjangan Kausal (</w:t>
      </w:r>
      <w:r>
        <w:rPr>
          <w:b/>
          <w:i/>
          <w:sz w:val="24"/>
          <w:color w:val="000000"/>
          <w:rFonts w:ascii="Times New Roman" w:hAnsi="Times New Roman" w:cs="Times New Roman"/>
        </w:rPr>
        <w:t>The Why</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w:t>
      </w:r>
    </w:p>
    <w:p>
      <w:pPr>
        <w:spacing w:line="360" w:lineRule="auto" w:before="0" w:after="0"/>
        <w:ind w:firstLine="709"/>
        <w:jc w:val="both"/>
      </w:pPr>
      <w:r>
        <w:rPr>
          <w:b w:val="0"/>
          <w:i w:val="0"/>
          <w:sz w:val="24"/>
          <w:color w:val="000000"/>
          <w:rFonts w:ascii="Times New Roman" w:hAnsi="Times New Roman" w:cs="Times New Roman"/>
        </w:rPr>
        <w:t>\midrule</w:t>
      </w:r>
    </w:p>
    <w:p>
      <w:pPr>
        <w:spacing w:line="360" w:lineRule="auto" w:before="0" w:after="0"/>
        <w:ind w:firstLine="709"/>
        <w:jc w:val="both"/>
      </w:pPr>
      <w:r>
        <w:rPr>
          <w:b w:val="0"/>
          <w:i w:val="0"/>
          <w:sz w:val="24"/>
          <w:color w:val="000000"/>
          <w:rFonts w:ascii="Times New Roman" w:hAnsi="Times New Roman" w:cs="Times New Roman"/>
        </w:rPr>
        <w:t>\endhead</w:t>
      </w:r>
    </w:p>
    <w:p>
      <w:pPr>
        <w:spacing w:line="360" w:lineRule="auto" w:before="0" w:after="0"/>
        <w:ind w:firstLine="709"/>
        <w:jc w:val="both"/>
      </w:pPr>
      <w:r>
        <w:rPr>
          <w:b w:val="0"/>
          <w:i w:val="0"/>
          <w:sz w:val="24"/>
          <w:color w:val="000000"/>
          <w:rFonts w:ascii="Times New Roman" w:hAnsi="Times New Roman" w:cs="Times New Roman"/>
        </w:rPr>
        <w:t>\midrule</w:t>
      </w:r>
    </w:p>
    <w:p>
      <w:pPr>
        <w:spacing w:line="360" w:lineRule="auto" w:before="0" w:after="0"/>
        <w:ind w:firstLine="709"/>
        <w:jc w:val="both"/>
      </w:pPr>
      <w:r>
        <w:rPr>
          <w:b w:val="0"/>
          <w:i w:val="0"/>
          <w:sz w:val="24"/>
          <w:color w:val="000000"/>
          <w:rFonts w:ascii="Times New Roman" w:hAnsi="Times New Roman" w:cs="Times New Roman"/>
        </w:rPr>
        <w:t>\multicolumn{5}{r}{\footnotesize</w:t>
      </w:r>
      <w:r>
        <w:rPr>
          <w:b w:val="0"/>
          <w:i/>
          <w:sz w:val="24"/>
          <w:color w:val="000000"/>
          <w:rFonts w:ascii="Times New Roman" w:hAnsi="Times New Roman" w:cs="Times New Roman"/>
        </w:rPr>
        <w:t>Bersambung ke halaman berikutnya</w:t>
      </w:r>
      <w:r>
        <w:rPr>
          <w:b w:val="0"/>
          <w:i w:val="0"/>
          <w:sz w:val="24"/>
          <w:color w:val="000000"/>
          <w:rFonts w:ascii="Times New Roman" w:hAnsi="Times New Roman" w:cs="Times New Roman"/>
        </w:rPr>
        <w:t>} \\</w:t>
      </w:r>
    </w:p>
    <w:p>
      <w:pPr>
        <w:spacing w:line="360" w:lineRule="auto" w:before="0" w:after="0"/>
        <w:ind w:firstLine="709"/>
        <w:jc w:val="both"/>
      </w:pPr>
      <w:r>
        <w:rPr>
          <w:b w:val="0"/>
          <w:i w:val="0"/>
          <w:sz w:val="24"/>
          <w:color w:val="000000"/>
          <w:rFonts w:ascii="Times New Roman" w:hAnsi="Times New Roman" w:cs="Times New Roman"/>
        </w:rPr>
        <w:t>\endfoot</w:t>
      </w:r>
    </w:p>
    <w:p>
      <w:pPr>
        <w:spacing w:line="360" w:lineRule="auto" w:before="0" w:after="0"/>
        <w:ind w:firstLine="709"/>
        <w:jc w:val="both"/>
      </w:pPr>
      <w:r>
        <w:rPr>
          <w:b w:val="0"/>
          <w:i w:val="0"/>
          <w:sz w:val="24"/>
          <w:color w:val="000000"/>
          <w:rFonts w:ascii="Times New Roman" w:hAnsi="Times New Roman" w:cs="Times New Roman"/>
        </w:rPr>
        <w:t>\bottomrule</w:t>
      </w:r>
    </w:p>
    <w:p>
      <w:pPr>
        <w:spacing w:line="360" w:lineRule="auto" w:before="0" w:after="0"/>
        <w:ind w:firstLine="709"/>
        <w:jc w:val="both"/>
      </w:pPr>
      <w:r>
        <w:rPr>
          <w:b w:val="0"/>
          <w:i w:val="0"/>
          <w:sz w:val="24"/>
          <w:color w:val="000000"/>
          <w:rFonts w:ascii="Times New Roman" w:hAnsi="Times New Roman" w:cs="Times New Roman"/>
        </w:rPr>
        <w:t>\endlastfoot</w:t>
      </w:r>
    </w:p>
    <w:p>
      <w:pPr>
        <w:spacing w:line="360" w:lineRule="auto" w:before="0" w:after="0"/>
        <w:ind w:firstLine="709"/>
        <w:jc w:val="both"/>
      </w:pPr>
      <w:r>
        <w:rPr>
          <w:b w:val="0"/>
          <w:i w:val="0"/>
          <w:sz w:val="24"/>
          <w:color w:val="000000"/>
          <w:rFonts w:ascii="Times New Roman" w:hAnsi="Times New Roman" w:cs="Times New Roman"/>
        </w:rPr>
        <w:t>1 &amp; X_1 \rightarrow Y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ke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&amp; </w:t>
      </w:r>
      <w:hyperlink w:anchor="Ref_arnold2003hedonic" w:history="1">
        <w:r>
          <w:t xml:space="preserve">Arnold dan Reynolds (2003)</w:t>
        </w:r>
      </w:hyperlink>
      <w:r>
        <w:rPr>
          <w:color w:val="000000"/>
          <w:rFonts w:ascii="Times New Roman" w:hAnsi="Times New Roman" w:cs="Times New Roman"/>
        </w:rPr>
        <w:t xml:space="preserve">; </w:t>
      </w:r>
      <w:hyperlink w:anchor="Ref_gueltekin2012influence" w:history="1">
        <w:r>
          <w:t xml:space="preserve">Gültekin and Özer (2012)</w:t>
        </w:r>
      </w:hyperlink>
      <w:r>
        <w:rPr>
          <w:color w:val="000000"/>
          <w:rFonts w:ascii="Times New Roman" w:hAnsi="Times New Roman" w:cs="Times New Roman"/>
        </w:rPr>
        <w:t xml:space="preserve">; </w:t>
      </w:r>
      <w:hyperlink w:anchor="Ref_pranggabayu2022pengaruh" w:history="1">
        <w:r>
          <w:t xml:space="preserve">Pranggabayu dan Andjarwati (2022)</w:t>
        </w:r>
      </w:hyperlink>
      <w:r>
        <w:rPr>
          <w:color w:val="000000"/>
          <w:rFonts w:ascii="Times New Roman" w:hAnsi="Times New Roman" w:cs="Times New Roman"/>
        </w:rPr>
        <w:t xml:space="preserve">; </w:t>
      </w:r>
      <w:hyperlink w:anchor="Ref_gong2024unveiling" w:history="1">
        <w:r>
          <w:t xml:space="preserve">Gong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(2024)</w:t>
        </w:r>
      </w:hyperlink>
      <w:r>
        <w:rPr>
          <w:color w:val="000000"/>
          <w:rFonts w:ascii="Times New Roman" w:hAnsi="Times New Roman" w:cs="Times New Roman"/>
        </w:rPr>
        <w:t xml:space="preserve">; </w:t>
      </w:r>
      <w:hyperlink w:anchor="Ref_tirtayasa2020effect" w:history="1">
        <w:r>
          <w:t xml:space="preserve">Tirtayasa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(2020)</w:t>
        </w:r>
      </w:hyperlink>
      <w:r>
        <w:rPr>
          <w:color w:val="000000"/>
          <w:rFonts w:ascii="Times New Roman" w:hAnsi="Times New Roman" w:cs="Times New Roman"/>
        </w:rPr>
        <w:t xml:space="preserve">; </w:t>
      </w:r>
      <w:hyperlink w:anchor="Ref_zheng2019impact" w:history="1">
        <w:r>
          <w:t xml:space="preserve">Zheng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(2019)</w:t>
        </w:r>
      </w:hyperlink>
      <w:r>
        <w:rPr>
          <w:color w:val="000000"/>
          <w:rFonts w:ascii="Times New Roman" w:hAnsi="Times New Roman" w:cs="Times New Roman"/>
        </w:rPr>
        <w:t xml:space="preserve"> (Pengaruh positif signifikan; penelusuran hedonis memicu dorongan impulsif). &amp; Batas konseptual </w:t>
      </w:r>
      <w:hyperlink w:anchor="Ref_thaler1985mental" w:history="1">
        <w:r>
          <w:t xml:space="preserve">Thaler (1985)</w:t>
        </w:r>
      </w:hyperlink>
      <w:r>
        <w:rPr>
          <w:color w:val="000000"/>
          <w:rFonts w:ascii="Times New Roman" w:hAnsi="Times New Roman" w:cs="Times New Roman"/>
        </w:rPr>
        <w:t xml:space="preserve">; </w:t>
      </w:r>
      <w:hyperlink w:anchor="Ref_thaler1981economic" w:history="1">
        <w:r>
          <w:t xml:space="preserve">Thaler dan Shefrin (1981)</w:t>
        </w:r>
      </w:hyperlink>
      <w:r>
        <w:rPr>
          <w:color w:val="000000"/>
          <w:rFonts w:ascii="Times New Roman" w:hAnsi="Times New Roman" w:cs="Times New Roman"/>
        </w:rPr>
        <w:t xml:space="preserve"> (Dorongan tertahan batasan anggaran/mental budgeting; bukan klaim n.s. pada kolektibel). &amp; Perbedaan elastisitas anggaran dan dominasi orientasi utiliter vs afektif konsumen. \\</w:t>
      </w:r>
    </w:p>
    <w:p>
      <w:pPr>
        <w:spacing w:line="360" w:lineRule="auto" w:before="0" w:after="0"/>
        <w:ind w:firstLine="709"/>
        <w:jc w:val="both"/>
      </w:pPr>
      <w:r>
        <w:rPr>
          <w:b w:val="0"/>
          <w:i w:val="0"/>
          <w:sz w:val="24"/>
          <w:color w:val="000000"/>
          <w:rFonts w:ascii="Times New Roman" w:hAnsi="Times New Roman" w:cs="Times New Roman"/>
        </w:rPr>
        <w:t>2 &amp; X_2 \rightarrow Y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ke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&amp;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 </w:t>
      </w:r>
      <w:hyperlink w:anchor="Ref_dewi2026understanding" w:history="1">
        <w:r>
          <w:t xml:space="preserve">Dewi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(2026)</w:t>
        </w:r>
      </w:hyperlink>
      <w:r>
        <w:rPr>
          <w:color w:val="000000"/>
          <w:rFonts w:ascii="Times New Roman" w:hAnsi="Times New Roman" w:cs="Times New Roman"/>
        </w:rPr>
        <w:t xml:space="preserve"> (Pengaruh positif signifikan; ketegangan psikologis set memicu akselerasi transaksi). &amp; Argumen teoritis </w:t>
      </w:r>
      <w:hyperlink w:anchor="Ref_long2000consuming" w:history="1">
        <w:r>
          <w:t xml:space="preserve">Long dan Schiffman (2000)</w:t>
        </w:r>
      </w:hyperlink>
      <w:r>
        <w:rPr>
          <w:color w:val="000000"/>
          <w:rFonts w:ascii="Times New Roman" w:hAnsi="Times New Roman" w:cs="Times New Roman"/>
        </w:rPr>
        <w:t xml:space="preserve">; </w:t>
      </w:r>
      <w:hyperlink w:anchor="Ref_spero2004approach" w:history="1">
        <w:r>
          <w:t xml:space="preserve">Spero dan Stone (2004)</w:t>
        </w:r>
      </w:hyperlink>
      <w:r>
        <w:rPr>
          <w:color w:val="000000"/>
          <w:rFonts w:ascii="Times New Roman" w:hAnsi="Times New Roman" w:cs="Times New Roman"/>
        </w:rPr>
        <w:t xml:space="preserve"> (Kolektor matang menolak produk acak dan memilih kartu satuan; bukan klaim n.s.). &amp; Perbedaan tingkat kematangan kolektor (</w:t>
      </w:r>
      <w:r>
        <w:rPr>
          <w:b w:val="0"/>
          <w:i/>
          <w:sz w:val="24"/>
          <w:color w:val="000000"/>
          <w:rFonts w:ascii="Times New Roman" w:hAnsi="Times New Roman" w:cs="Times New Roman"/>
        </w:rPr>
        <w:t>collector maturity</w:t>
      </w:r>
      <w:r>
        <w:rPr>
          <w:b w:val="0"/>
          <w:i w:val="0"/>
          <w:sz w:val="24"/>
          <w:color w:val="000000"/>
          <w:rFonts w:ascii="Times New Roman" w:hAnsi="Times New Roman" w:cs="Times New Roman"/>
        </w:rPr>
        <w:t>) dan kalkulasi probabilitas kemasan acak. \\</w:t>
      </w:r>
    </w:p>
    <w:p>
      <w:pPr>
        <w:spacing w:line="360" w:lineRule="auto" w:before="0" w:after="0"/>
        <w:ind w:firstLine="709"/>
        <w:jc w:val="both"/>
      </w:pPr>
      <w:r>
        <w:rPr>
          <w:b w:val="0"/>
          <w:i w:val="0"/>
          <w:sz w:val="24"/>
          <w:color w:val="000000"/>
          <w:rFonts w:ascii="Times New Roman" w:hAnsi="Times New Roman" w:cs="Times New Roman"/>
        </w:rPr>
        <w:t>3 &amp; X_3 \rightarrow Y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ke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&amp; </w:t>
      </w:r>
      <w:hyperlink w:anchor="Ref_baur2018bitcoin" w:history="1">
        <w:r>
          <w:t xml:space="preserve">Baur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(2018)</w:t>
        </w:r>
      </w:hyperlink>
      <w:r>
        <w:rPr>
          <w:color w:val="000000"/>
          <w:rFonts w:ascii="Times New Roman" w:hAnsi="Times New Roman" w:cs="Times New Roman"/>
        </w:rPr>
        <w:t xml:space="preserve">; </w:t>
      </w:r>
      <w:hyperlink w:anchor="Ref_aryadi2024personal" w:history="1">
        <w:r>
          <w:t xml:space="preserve">Aryadi dan Lingga (2026)</w:t>
        </w:r>
      </w:hyperlink>
      <w:r>
        <w:rPr>
          <w:color w:val="000000"/>
          <w:rFonts w:ascii="Times New Roman" w:hAnsi="Times New Roman" w:cs="Times New Roman"/>
        </w:rPr>
        <w:t xml:space="preserve"> (analogi: Y=partisipasi investasi TCG); </w:t>
      </w:r>
      <w:hyperlink w:anchor="Ref_colline2024biases" w:history="1">
        <w:r>
          <w:t xml:space="preserve">Colline (2024)</w:t>
        </w:r>
      </w:hyperlink>
      <w:r>
        <w:rPr>
          <w:color w:val="000000"/>
          <w:rFonts w:ascii="Times New Roman" w:hAnsi="Times New Roman" w:cs="Times New Roman"/>
        </w:rPr>
        <w:t xml:space="preserve"> (analogi: herding investor Indonesia, kualitatif n=5; teori </w:t>
      </w:r>
      <w:hyperlink w:anchor="Ref_shiller2000irrational" w:history="1">
        <w:r>
          <w:t xml:space="preserve">Shiller (2000)</w:t>
        </w:r>
      </w:hyperlink>
      <w:r>
        <w:rPr>
          <w:color w:val="000000"/>
          <w:rFonts w:ascii="Times New Roman" w:hAnsi="Times New Roman" w:cs="Times New Roman"/>
        </w:rPr>
        <w:t xml:space="preserve"> sebagai grand theory). &amp; Analogi saham </w:t>
      </w:r>
      <w:hyperlink w:anchor="Ref_barber2008all" w:history="1">
        <w:r>
          <w:t xml:space="preserve">Barber dan Odean (2008)</w:t>
        </w:r>
      </w:hyperlink>
      <w:r>
        <w:rPr>
          <w:color w:val="000000"/>
          <w:rFonts w:ascii="Times New Roman" w:hAnsi="Times New Roman" w:cs="Times New Roman"/>
        </w:rPr>
        <w:t xml:space="preserve">; </w:t>
      </w:r>
      <w:hyperlink w:anchor="Ref_fama1970efficient" w:history="1">
        <w:r>
          <w:t xml:space="preserve">Fama (1970)</w:t>
        </w:r>
      </w:hyperlink>
      <w:r>
        <w:rPr>
          <w:color w:val="000000"/>
          <w:rFonts w:ascii="Times New Roman" w:hAnsi="Times New Roman" w:cs="Times New Roman"/>
        </w:rPr>
        <w:t xml:space="preserve"> (Kesadaran risiko menahan spontanitas; bukan bukti n.s. kolektibel). &amp; Asimetri informasi pasar dan bias ilusi kendali keuntungan vs evaluasi risiko kerugian modal. \\</w:t>
      </w:r>
    </w:p>
    <w:p>
      <w:pPr>
        <w:spacing w:line="360" w:lineRule="auto" w:before="0" w:after="0"/>
        <w:ind w:firstLine="709"/>
        <w:jc w:val="both"/>
      </w:pPr>
      <w:r>
        <w:rPr>
          <w:b w:val="0"/>
          <w:i w:val="0"/>
          <w:sz w:val="24"/>
          <w:color w:val="000000"/>
          <w:rFonts w:ascii="Times New Roman" w:hAnsi="Times New Roman" w:cs="Times New Roman"/>
        </w:rPr>
        <w:t>4 &amp; M \rightarrow Y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ke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&amp; </w:t>
      </w:r>
      <w:hyperlink w:anchor="Ref_baumeister2002yield" w:history="1">
        <w:r>
          <w:t xml:space="preserve">Baumeister (2002)</w:t>
        </w:r>
      </w:hyperlink>
      <w:r>
        <w:rPr>
          <w:color w:val="000000"/>
          <w:rFonts w:ascii="Times New Roman" w:hAnsi="Times New Roman" w:cs="Times New Roman"/>
        </w:rPr>
        <w:t xml:space="preserve">; </w:t>
      </w:r>
      <w:hyperlink w:anchor="Ref_tangney2004high" w:history="1">
        <w:r>
          <w:t xml:space="preserve">Tangney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(2004)</w:t>
        </w:r>
      </w:hyperlink>
      <w:r>
        <w:rPr>
          <w:color w:val="000000"/>
          <w:rFonts w:ascii="Times New Roman" w:hAnsi="Times New Roman" w:cs="Times New Roman"/>
        </w:rPr>
        <w:t xml:space="preserve">; </w:t>
      </w:r>
      <w:hyperlink w:anchor="Ref_vohs2007spent" w:history="1">
        <w:r>
          <w:t xml:space="preserve">Vohs dan Faber (2007)</w:t>
        </w:r>
      </w:hyperlink>
      <w:r>
        <w:rPr>
          <w:color w:val="000000"/>
          <w:rFonts w:ascii="Times New Roman" w:hAnsi="Times New Roman" w:cs="Times New Roman"/>
        </w:rPr>
        <w:t xml:space="preserve">; </w:t>
      </w:r>
      <w:hyperlink w:anchor="Ref_sultan2012building" w:history="1">
        <w:r>
          <w:t xml:space="preserve">Sultan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(2012)</w:t>
        </w:r>
      </w:hyperlink>
      <w:r>
        <w:rPr>
          <w:color w:val="000000"/>
          <w:rFonts w:ascii="Times New Roman" w:hAnsi="Times New Roman" w:cs="Times New Roman"/>
        </w:rPr>
        <w:t xml:space="preserve"> (Pengaruh negatif signifikan; regulasi diri disiplin menunda kepuasan belanja). &amp; Batas konseptual </w:t>
      </w:r>
      <w:hyperlink w:anchor="Ref_hirschman1982hedonic" w:history="1">
        <w:r>
          <w:t xml:space="preserve">Hirschman dan Holbrook (1982)</w:t>
        </w:r>
      </w:hyperlink>
      <w:r>
        <w:rPr>
          <w:color w:val="000000"/>
          <w:rFonts w:ascii="Times New Roman" w:hAnsi="Times New Roman" w:cs="Times New Roman"/>
        </w:rPr>
        <w:t xml:space="preserve">; </w:t>
      </w:r>
      <w:hyperlink w:anchor="Ref_stern1962significance" w:history="1">
        <w:r>
          <w:t xml:space="preserve">Stern (1962)</w:t>
        </w:r>
      </w:hyperlink>
      <w:r>
        <w:rPr>
          <w:color w:val="000000"/>
          <w:rFonts w:ascii="Times New Roman" w:hAnsi="Times New Roman" w:cs="Times New Roman"/>
        </w:rPr>
        <w:t xml:space="preserve"> (</w:t>
      </w:r>
      <w:r>
        <w:rPr>
          <w:b w:val="0"/>
          <w:i/>
          <w:sz w:val="24"/>
          <w:color w:val="000000"/>
          <w:rFonts w:ascii="Times New Roman" w:hAnsi="Times New Roman" w:cs="Times New Roman"/>
        </w:rPr>
        <w:t>Cognitive bypass</w:t>
      </w:r>
      <w:r>
        <w:rPr>
          <w:b w:val="0"/>
          <w:i w:val="0"/>
          <w:sz w:val="24"/>
          <w:color w:val="000000"/>
          <w:rFonts w:ascii="Times New Roman" w:hAnsi="Times New Roman" w:cs="Times New Roman"/>
        </w:rPr>
        <w:t xml:space="preserve"> saat stimulus intens; bukan uji regresi). &amp; Keterbatasan kapasitas energi kognitif (</w:t>
      </w:r>
      <w:r>
        <w:rPr>
          <w:b w:val="0"/>
          <w:i/>
          <w:sz w:val="24"/>
          <w:color w:val="000000"/>
          <w:rFonts w:ascii="Times New Roman" w:hAnsi="Times New Roman" w:cs="Times New Roman"/>
        </w:rPr>
        <w:t>ego depletion</w:t>
      </w:r>
      <w:r>
        <w:rPr>
          <w:b w:val="0"/>
          <w:i w:val="0"/>
          <w:sz w:val="24"/>
          <w:color w:val="000000"/>
          <w:rFonts w:ascii="Times New Roman" w:hAnsi="Times New Roman" w:cs="Times New Roman"/>
        </w:rPr>
        <w:t>) saat menghadapi stimulus lingkungan toko yang intens. \\</w:t>
      </w:r>
    </w:p>
    <w:p>
      <w:pPr>
        <w:spacing w:line="360" w:lineRule="auto" w:before="0" w:after="0"/>
        <w:ind w:firstLine="709"/>
        <w:jc w:val="both"/>
      </w:pPr>
      <w:r>
        <w:rPr>
          <w:b w:val="0"/>
          <w:i w:val="0"/>
          <w:sz w:val="24"/>
          <w:color w:val="000000"/>
          <w:rFonts w:ascii="Times New Roman" w:hAnsi="Times New Roman" w:cs="Times New Roman"/>
        </w:rPr>
        <w:t xml:space="preserve">5 &amp; X_1 · M \rightarrow Y (Moderasi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pada X_1 \rightarrow Y) &amp; </w:t>
      </w:r>
      <w:hyperlink w:anchor="Ref_lienardy2026role" w:history="1">
        <w:r>
          <w:t xml:space="preserve">Lienardy dan Panasea (2026)</w:t>
        </w:r>
      </w:hyperlink>
      <w:r>
        <w:rPr>
          <w:color w:val="000000"/>
          <w:rFonts w:ascii="Times New Roman" w:hAnsi="Times New Roman" w:cs="Times New Roman"/>
        </w:rPr>
        <w:t xml:space="preserve"> (MRA: H4 diterima, buffer); </w:t>
      </w:r>
      <w:hyperlink w:anchor="Ref_katauke2023financial" w:history="1">
        <w:r>
          <w:t xml:space="preserve">Katauke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(2023)</w:t>
        </w:r>
      </w:hyperlink>
      <w:r>
        <w:rPr>
          <w:color w:val="000000"/>
          <w:rFonts w:ascii="Times New Roman" w:hAnsi="Times New Roman" w:cs="Times New Roman"/>
        </w:rPr>
        <w:t xml:space="preserve"> (regulasi-literasi, tak langsung). &amp; Gagal-moderasi: </w:t>
      </w:r>
      <w:hyperlink w:anchor="Ref_apidana2022peran" w:history="1">
        <w:r>
          <w:t xml:space="preserve">Apidana dan Kholifah (2022)</w:t>
        </w:r>
      </w:hyperlink>
      <w:r>
        <w:rPr>
          <w:color w:val="000000"/>
          <w:rFonts w:ascii="Times New Roman" w:hAnsi="Times New Roman" w:cs="Times New Roman"/>
        </w:rPr>
        <w:t xml:space="preserve"> (p=0,597) + </w:t>
      </w:r>
      <w:hyperlink w:anchor="Ref_artadita2024how" w:history="1">
        <w:r>
          <w:t xml:space="preserve">Artadita dan Firmialy (2024)</w:t>
        </w:r>
      </w:hyperlink>
      <w:r>
        <w:rPr>
          <w:color w:val="000000"/>
          <w:rFonts w:ascii="Times New Roman" w:hAnsi="Times New Roman" w:cs="Times New Roman"/>
        </w:rPr>
        <w:t xml:space="preserve"> (β=0{,}092, n.s.) + teori </w:t>
      </w:r>
      <w:r>
        <w:rPr>
          <w:b w:val="0"/>
          <w:i/>
          <w:sz w:val="24"/>
          <w:color w:val="000000"/>
          <w:rFonts w:ascii="Times New Roman" w:hAnsi="Times New Roman" w:cs="Times New Roman"/>
        </w:rPr>
        <w:t>regulatory failure</w:t>
      </w:r>
      <w:r>
        <w:rPr>
          <w:b w:val="0"/>
          <w:i w:val="0"/>
          <w:sz w:val="24"/>
          <w:color w:val="000000"/>
          <w:rFonts w:ascii="Times New Roman" w:hAnsi="Times New Roman" w:cs="Times New Roman"/>
        </w:rPr>
        <w:t>. &amp; Ambang batas intensitas stimulus hedonis yang melampaui kapasitas kontrol volisional. \\</w:t>
      </w:r>
    </w:p>
    <w:p>
      <w:pPr>
        <w:spacing w:line="360" w:lineRule="auto" w:before="0" w:after="0"/>
        <w:ind w:firstLine="709"/>
        <w:jc w:val="both"/>
      </w:pPr>
      <w:r>
        <w:rPr>
          <w:b w:val="0"/>
          <w:i w:val="0"/>
          <w:sz w:val="24"/>
          <w:color w:val="000000"/>
          <w:rFonts w:ascii="Times New Roman" w:hAnsi="Times New Roman" w:cs="Times New Roman"/>
        </w:rPr>
        <w:t xml:space="preserve">6 &amp; X_2 · M \rightarrow Y (Moderasi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pada X_2 \rightarrow Y) &amp; Parsial/tak langsung: </w:t>
      </w:r>
      <w:hyperlink w:anchor="Ref_artadita2024how" w:history="1">
        <w:r>
          <w:t xml:space="preserve">Artadita dan Firmialy (2024)</w:t>
        </w:r>
      </w:hyperlink>
      <w:r>
        <w:rPr>
          <w:color w:val="000000"/>
          <w:rFonts w:ascii="Times New Roman" w:hAnsi="Times New Roman" w:cs="Times New Roman"/>
        </w:rPr>
        <w:t xml:space="preserve"> (kontrol kognitif signifikan pada taraf 10\</w:t>
      </w:r>
    </w:p>
    <w:p>
      <w:pPr>
        <w:spacing w:line="360" w:lineRule="auto" w:before="0" w:after="0"/>
        <w:ind w:firstLine="709"/>
        <w:jc w:val="both"/>
      </w:pPr>
      <w:r>
        <w:rPr>
          <w:b w:val="0"/>
          <w:i w:val="0"/>
          <w:sz w:val="24"/>
          <w:color w:val="000000"/>
          <w:rFonts w:ascii="Times New Roman" w:hAnsi="Times New Roman" w:cs="Times New Roman"/>
        </w:rPr>
        <w:t xml:space="preserve">7 &amp; X_3 · M \rightarrow Y (Moderasi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pada X_3 \rightarrow Y) &amp; Tak langsung: </w:t>
      </w:r>
      <w:hyperlink w:anchor="Ref_katauke2023financial" w:history="1">
        <w:r>
          <w:t xml:space="preserve">Katauke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(2023)</w:t>
        </w:r>
      </w:hyperlink>
      <w:r>
        <w:rPr>
          <w:color w:val="000000"/>
          <w:rFonts w:ascii="Times New Roman" w:hAnsi="Times New Roman" w:cs="Times New Roman"/>
        </w:rPr>
        <w:t xml:space="preserve"> (literasi menekan impulsivitas) + mekanisme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&amp; Argumen teoritis </w:t>
      </w:r>
      <w:hyperlink w:anchor="Ref_shiller2000irrational" w:history="1">
        <w:r>
          <w:t xml:space="preserve">Shiller (2000)</w:t>
        </w:r>
      </w:hyperlink>
      <w:r>
        <w:rPr>
          <w:color w:val="000000"/>
          <w:rFonts w:ascii="Times New Roman" w:hAnsi="Times New Roman" w:cs="Times New Roman"/>
        </w:rPr>
        <w:t xml:space="preserve">; </w:t>
      </w:r>
      <w:hyperlink w:anchor="Ref_aryadi2024personal" w:history="1">
        <w:r>
          <w:t xml:space="preserve">Aryadi dan Lingga (2026)</w:t>
        </w:r>
      </w:hyperlink>
      <w:r>
        <w:rPr>
          <w:color w:val="000000"/>
          <w:rFonts w:ascii="Times New Roman" w:hAnsi="Times New Roman" w:cs="Times New Roman"/>
        </w:rPr>
        <w:t xml:space="preserve"> (Euforia/herding melumpuhkan rem; bukan uji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&amp; Tekanan sosial komunitas, bias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dan ketakutan tertinggal momentum keuntungan (</w:t>
      </w:r>
      <w:r>
        <w:rPr>
          <w:b w:val="0"/>
          <w:i/>
          <w:sz w:val="24"/>
          <w:color w:val="000000"/>
          <w:rFonts w:ascii="Times New Roman" w:hAnsi="Times New Roman" w:cs="Times New Roman"/>
        </w:rPr>
        <w:t>FOMO</w:t>
      </w:r>
      <w:r>
        <w:rPr>
          <w:b w:val="0"/>
          <w:i w:val="0"/>
          <w:sz w:val="24"/>
          <w:color w:val="000000"/>
          <w:rFonts w:ascii="Times New Roman" w:hAnsi="Times New Roman" w:cs="Times New Roman"/>
        </w:rPr>
        <w:t>). \\</w:t>
      </w:r>
    </w:p>
    <w:p>
      <w:pPr>
        <w:spacing w:line="360" w:lineRule="auto" w:before="0" w:after="0"/>
        <w:ind w:firstLine="709"/>
        <w:jc w:val="both"/>
      </w:pPr>
      <w:r>
        <w:rPr>
          <w:b w:val="0"/>
          <w:i w:val="0"/>
          <w:sz w:val="24"/>
          <w:color w:val="000000"/>
          <w:rFonts w:ascii="Times New Roman" w:hAnsi="Times New Roman" w:cs="Times New Roman"/>
        </w:rPr>
        <w:t>\end{longtable}</w:t>
      </w:r>
    </w:p>
    <w:p>
      <w:pPr>
        <w:spacing w:line="360" w:lineRule="auto" w:before="0" w:after="0"/>
        <w:ind w:firstLine="709"/>
        <w:jc w:val="both"/>
      </w:pPr>
      <w:r>
        <w:rPr>
          <w:b w:val="0"/>
          <w:i w:val="0"/>
          <w:sz w:val="24"/>
          <w:color w:val="000000"/>
          <w:rFonts w:ascii="Times New Roman" w:hAnsi="Times New Roman" w:cs="Times New Roman"/>
        </w:rPr>
        <w:t>\begin{flushleft}</w:t>
      </w:r>
    </w:p>
    <w:p>
      <w:pPr>
        <w:spacing w:line="360" w:lineRule="auto" w:before="0" w:after="0"/>
        <w:ind w:firstLine="709"/>
        <w:jc w:val="both"/>
      </w:pPr>
      <w:r>
        <w:rPr>
          <w:b w:val="0"/>
          <w:i w:val="0"/>
          <w:sz w:val="24"/>
          <w:color w:val="000000"/>
          <w:rFonts w:ascii="Times New Roman" w:hAnsi="Times New Roman" w:cs="Times New Roman"/>
        </w:rPr>
        <w:t>\footnotesize</w:t>
      </w:r>
      <w:r>
        <w:rPr>
          <w:b w:val="0"/>
          <w:i/>
          <w:sz w:val="24"/>
          <w:color w:val="000000"/>
          <w:rFonts w:ascii="Times New Roman" w:hAnsi="Times New Roman" w:cs="Times New Roman"/>
        </w:rPr>
        <w:t>Sumber: Data diolah dari sintesis kajian literatur empiris terdahulu (2026).</w:t>
      </w:r>
    </w:p>
    <w:p>
      <w:pPr>
        <w:spacing w:line="360" w:lineRule="auto" w:before="0" w:after="0"/>
        <w:ind w:firstLine="709"/>
        <w:jc w:val="both"/>
      </w:pPr>
      <w:r>
        <w:rPr>
          <w:b w:val="0"/>
          <w:i w:val="0"/>
          <w:sz w:val="24"/>
          <w:color w:val="000000"/>
          <w:rFonts w:ascii="Times New Roman" w:hAnsi="Times New Roman" w:cs="Times New Roman"/>
        </w:rPr>
        <w:t>\end{flushleft}</w:t>
      </w:r>
    </w:p>
    <w:p>
      <w:pPr>
        <w:spacing w:line="360" w:lineRule="auto" w:before="0" w:after="0"/>
        <w:ind w:firstLine="709"/>
        <w:jc w:val="both"/>
      </w:pPr>
      <w:r>
        <w:rPr>
          <w:b w:val="0"/>
          <w:i w:val="0"/>
          <w:sz w:val="24"/>
          <w:color w:val="000000"/>
          <w:rFonts w:ascii="Times New Roman" w:hAnsi="Times New Roman" w:cs="Times New Roman"/>
        </w:rPr>
        <w:t>\endgroup</w:t>
      </w:r>
    </w:p>
    <w:p>
      <w:pPr>
        <w:spacing w:line="360" w:lineRule="auto" w:before="0" w:after="0"/>
        <w:ind w:firstLine="709"/>
        <w:jc w:val="both"/>
      </w:pPr>
      <w:r>
        <w:rPr>
          <w:b w:val="0"/>
          <w:i w:val="0"/>
          <w:sz w:val="24"/>
          <w:color w:val="000000"/>
          <w:rFonts w:ascii="Times New Roman" w:hAnsi="Times New Roman"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w:t>
      </w:r>
      <w:hyperlink w:anchor="Ref_baumeister2002yield" w:history="1">
        <w:r>
          <w:t xml:space="preserve">Baumeister, 2002</w:t>
        </w:r>
      </w:hyperlink>
      <w:r>
        <w:rPr>
          <w:color w:val="000000"/>
          <w:rFonts w:ascii="Times New Roman" w:hAnsi="Times New Roman" w:cs="Times New Roman"/>
        </w:rPr>
        <w:t xml:space="preserve">; </w:t>
      </w:r>
      <w:hyperlink w:anchor="Ref_vohs2007spent" w:history="1">
        <w:r>
          <w:t xml:space="preserve">Vohs dan Faber, 2007</w:t>
        </w:r>
      </w:hyperlink>
      <w:r>
        <w:rPr>
          <w:color w:val="000000"/>
          <w:rFonts w:ascii="Times New Roman" w:hAnsi="Times New Roman" w:cs="Times New Roman"/>
        </w:rPr>
        <w:t xml:space="preserve">) dan model pertentangan internal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w:t>
      </w:r>
      <w:hyperlink w:anchor="Ref_thaler1981economic" w:history="1">
        <w:r>
          <w:t xml:space="preserve">(Thaler dan Shefrin, 1981)</w:t>
        </w:r>
      </w:hyperlink>
      <w:r>
        <w:rPr>
          <w:color w:val="000000"/>
          <w:rFonts w:ascii="Times New Roman" w:hAnsi="Times New Roman" w:cs="Times New Roman"/>
        </w:rPr>
        <w:t xml:space="preserve">, variabel yang paling tepat bertindak sebagai benteng pertahanan psikologis adalah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r>
        <w:rPr>
          <w:b w:val="0"/>
          <w:i w:val="0"/>
          <w:sz w:val="24"/>
          <w:color w:val="000000"/>
          <w:rFonts w:ascii="Times New Roman" w:hAnsi="Times New Roman" w:cs="Times New Roman"/>
        </w:rPr>
        <w:t>. Kontrol diri merupakan kapasitas volisional individu untuk menolak godaan sesaat,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mengarahkan tindakan agar selaras dengan tujuan keuangan jangka panjang (</w:t>
      </w:r>
      <w:hyperlink w:anchor="Ref_tangney2004high" w:history="1">
        <w:r>
          <w:t xml:space="preserve">Tangney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2004</w:t>
        </w:r>
      </w:hyperlink>
      <w:r>
        <w:rPr>
          <w:color w:val="000000"/>
          <w:rFonts w:ascii="Times New Roman" w:hAnsi="Times New Roman" w:cs="Times New Roman"/>
        </w:rPr>
        <w:t xml:space="preserve">; </w:t>
      </w:r>
      <w:hyperlink w:anchor="Ref_sultan2012building" w:history="1">
        <w:r>
          <w:t xml:space="preserve">Sultan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2012</w:t>
        </w:r>
      </w:hyperlink>
      <w:r>
        <w:rPr>
          <w:color w:val="000000"/>
          <w:rFonts w:ascii="Times New Roman" w:hAnsi="Times New Roman" w:cs="Times New Roman"/>
        </w:rPr>
        <w:t xml:space="preserve">). Meskipun konsumen merasakan rangsangan hedonis tinggi, desakan kelengkapan binder yang mendesak, serta iming-iming keuntungan spekulasi pasar, dorongan tersebut diprediksi </w:t>
      </w:r>
      <w:r>
        <w:rPr>
          <w:b/>
          <w:i w:val="0"/>
          <w:sz w:val="24"/>
          <w:color w:val="000000"/>
          <w:rFonts w:ascii="Times New Roman" w:hAnsi="Times New Roman" w:cs="Times New Roman"/>
        </w:rPr>
        <w:t>akan dilemahkan (</w:t>
      </w:r>
      <w:r>
        <w:rPr>
          <w:b/>
          <w:i/>
          <w:sz w:val="24"/>
          <w:color w:val="000000"/>
          <w:rFonts w:ascii="Times New Roman" w:hAnsi="Times New Roman" w:cs="Times New Roman"/>
        </w:rPr>
        <w:t>buffered/dampened</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apabila konsumen memiliki kapasitas kontrol diri yang kokoh </w:t>
      </w:r>
      <w:hyperlink w:anchor="Ref_lienardy2026role" w:history="1">
        <w:r>
          <w:t xml:space="preserve">(Lienardy dan Panasea, 2026)</w:t>
        </w:r>
      </w:hyperlink>
      <w:r>
        <w:rPr>
          <w:color w:val="000000"/>
          <w:rFonts w:ascii="Times New Roman" w:hAnsi="Times New Roman" w:cs="Times New Roman"/>
        </w:rPr>
        <w:t xml:space="preserve">.</w:t>
      </w:r>
    </w:p>
    <w:p>
      <w:pPr>
        <w:spacing w:line="360" w:lineRule="auto" w:before="0" w:after="0"/>
        <w:ind w:firstLine="709"/>
        <w:jc w:val="both"/>
      </w:pPr>
      <w:r>
        <w:rPr>
          <w:b w:val="0"/>
          <w:i w:val="0"/>
          <w:sz w:val="24"/>
          <w:color w:val="000000"/>
          <w:rFonts w:ascii="Times New Roman" w:hAnsi="Times New Roman"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b/>
          <w:i w:val="0"/>
          <w:sz w:val="24"/>
          <w:color w:val="000000"/>
          <w:rFonts w:ascii="Times New Roman" w:hAnsi="Times New Roman" w:cs="Times New Roman"/>
        </w:rPr>
        <w:t xml:space="preserve">“PENGARUH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 DENGAN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SEBAGAI VARIABEL MODERASI”</w:t>
      </w:r>
      <w:r>
        <w:rPr>
          <w:b w:val="0"/>
          <w:i w:val="0"/>
          <w:sz w:val="24"/>
          <w:color w:val="000000"/>
          <w:rFonts w:ascii="Times New Roman" w:hAnsi="Times New Roman" w:cs="Times New Roman"/>
        </w:rPr>
        <w:t>.</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1.2 Perumusan Masalah</w:t>
      </w:r>
    </w:p>
    <w:p>
      <w:pPr>
        <w:spacing w:line="360" w:lineRule="auto" w:before="0" w:after="0"/>
        <w:ind w:firstLine="709"/>
        <w:jc w:val="both"/>
      </w:pPr>
      <w:r>
        <w:rPr>
          <w:b w:val="0"/>
          <w:i w:val="0"/>
          <w:sz w:val="24"/>
          <w:color w:val="000000"/>
          <w:rFonts w:ascii="Times New Roman" w:hAnsi="Times New Roman" w:cs="Times New Roman"/>
        </w:rPr>
        <w:t>Berdasarkan latar belakang penelitian yang telah diuraikan, maka perumusan masalah dalam penelitian ini adalah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(memperlemah)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(memperlemah)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(memperlemah)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1.3 Tujuan Penelitian</w:t>
      </w:r>
    </w:p>
    <w:p>
      <w:pPr>
        <w:spacing w:line="360" w:lineRule="auto" w:before="0" w:after="0"/>
        <w:ind w:firstLine="709"/>
        <w:jc w:val="both"/>
      </w:pPr>
      <w:r>
        <w:rPr>
          <w:b w:val="0"/>
          <w:i w:val="0"/>
          <w:sz w:val="24"/>
          <w:color w:val="000000"/>
          <w:rFonts w:ascii="Times New Roman" w:hAnsi="Times New Roman" w:cs="Times New Roman"/>
        </w:rPr>
        <w:t>Mengacu pada perumusan masalah di atas, maka tujuan yang ingin dicapai dalam penelitian ini adalah:</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yang memperlemah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yang memperlemah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yang memperlemah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1.4 Manfaat Penelitian</w:t>
      </w:r>
    </w:p>
    <w:p>
      <w:pPr>
        <w:spacing w:line="360" w:lineRule="auto" w:before="0" w:after="0"/>
        <w:ind w:firstLine="709"/>
        <w:jc w:val="both"/>
      </w:pPr>
      <w:r>
        <w:rPr>
          <w:b w:val="0"/>
          <w:i w:val="0"/>
          <w:sz w:val="24"/>
          <w:color w:val="000000"/>
          <w:rFonts w:ascii="Times New Roman" w:hAnsi="Times New Roman" w:cs="Times New Roman"/>
        </w:rPr>
        <w:t>Hasil penelitian ini diharapkan dapat memberikan kontribusi nyata baik secara teoritis maupun praktis:</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1.4.1 Manfaat Teoritis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Pengembangan Teori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Memberikan kontribusi empiris dalam memperluas cakupan teori keuangan perilaku pada pasar aset alternatif (</w:t>
      </w:r>
      <w:r>
        <w:rPr>
          <w:b w:val="0"/>
          <w:i/>
          <w:sz w:val="24"/>
          <w:color w:val="000000"/>
          <w:rFonts w:ascii="Times New Roman" w:hAnsi="Times New Roman" w:cs="Times New Roman"/>
        </w:rPr>
        <w:t>collectibles</w:t>
      </w:r>
      <w:r>
        <w:rPr>
          <w:b w:val="0"/>
          <w:i w:val="0"/>
          <w:sz w:val="24"/>
          <w:color w:val="000000"/>
          <w:rFonts w:ascii="Times New Roman" w:hAnsi="Times New Roman" w:cs="Times New Roman"/>
        </w:rPr>
        <w:t xml:space="preserve">), khususnya dalam menjelaskan bagaimana motif spekulasi finansial, bias perilaku investor Indonesia </w:t>
      </w:r>
      <w:hyperlink w:anchor="Ref_colline2024biases" w:history="1">
        <w:r>
          <w:t xml:space="preserve">(Colline, 2024)</w:t>
        </w:r>
      </w:hyperlink>
      <w:r>
        <w:rPr>
          <w:color w:val="000000"/>
          <w:rFonts w:ascii="Times New Roman" w:hAnsi="Times New Roman" w:cs="Times New Roman"/>
        </w:rPr>
        <w:t xml:space="preserve">, dan bias kognitif koleksi berinteraksi memicu keputusan pembelian impulsif.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Pengayaan Literatur Moderasi Kontrol Diri (</w:t>
      </w:r>
      <w:r>
        <w:rPr>
          <w:b/>
          <w:i/>
          <w:sz w:val="24"/>
          <w:color w:val="000000"/>
          <w:rFonts w:ascii="Times New Roman" w:hAnsi="Times New Roman" w:cs="Times New Roman"/>
        </w:rPr>
        <w:t>Self-Control</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Memperdalam pemahaman teoretis mengenai mekanisme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dalam memoderasi dan meredam dorongan belanja spontan pada barang-barang berkategori kesenangan dan spekulasi hobi (</w:t>
      </w:r>
      <w:hyperlink w:anchor="Ref_sultan2012building" w:history="1">
        <w:r>
          <w:t xml:space="preserve">Sultan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2012</w:t>
        </w:r>
      </w:hyperlink>
      <w:r>
        <w:rPr>
          <w:color w:val="000000"/>
          <w:rFonts w:ascii="Times New Roman" w:hAnsi="Times New Roman" w:cs="Times New Roman"/>
        </w:rPr>
        <w:t xml:space="preserve">; </w:t>
      </w:r>
      <w:hyperlink w:anchor="Ref_apidana2022peran" w:history="1">
        <w:r>
          <w:t xml:space="preserve">Apidana dan Kholifah, 2022</w:t>
        </w:r>
      </w:hyperlink>
      <w:r>
        <w:rPr>
          <w:color w:val="000000"/>
          <w:rFonts w:ascii="Times New Roman" w:hAnsi="Times New Roman" w:cs="Times New Roman"/>
        </w:rPr>
        <w:t xml:space="preserve">; </w:t>
      </w:r>
      <w:hyperlink w:anchor="Ref_lienardy2026role" w:history="1">
        <w:r>
          <w:t xml:space="preserve">Lienardy dan Panasea, 2026</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Referensi Akademis Baru:</w:t>
      </w:r>
      <w:r>
        <w:rPr>
          <w:b w:val="0"/>
          <w:i w:val="0"/>
          <w:sz w:val="24"/>
          <w:color w:val="000000"/>
          <w:rFonts w:ascii="Times New Roman" w:hAnsi="Times New Roman" w:cs="Times New Roman"/>
        </w:rPr>
        <w:t xml:space="preserve"> Menjadi rujukan ilmiah pionir bagi penelitian-penelitian di masa depan di lingkungan Fakultas Ekonomi dan Bisnis terkait perilaku konsumen dan dinamika ekonomi industri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xml:space="preserve"> di Indonesia yang selama ini masih sangat jarang diteliti.</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1.4.2 Manfaat Praktis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Konsumen dan Kolektor Pokémon TCG:</w:t>
      </w:r>
      <w:r>
        <w:rPr>
          <w:b w:val="0"/>
          <w:i w:val="0"/>
          <w:sz w:val="24"/>
          <w:color w:val="000000"/>
          <w:rFonts w:ascii="Times New Roman" w:hAnsi="Times New Roman"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Komunitas dan Pelaku Usaha Toko Hobi (</w:t>
      </w:r>
      <w:r>
        <w:rPr>
          <w:b/>
          <w:i/>
          <w:sz w:val="24"/>
          <w:color w:val="000000"/>
          <w:rFonts w:ascii="Times New Roman" w:hAnsi="Times New Roman" w:cs="Times New Roman"/>
        </w:rPr>
        <w:t>Local Game Stores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Otoritas Edukasi Finansial dan Kebijakan Publik:</w:t>
      </w:r>
      <w:r>
        <w:rPr>
          <w:b w:val="0"/>
          <w:i w:val="0"/>
          <w:sz w:val="24"/>
          <w:color w:val="000000"/>
          <w:rFonts w:ascii="Times New Roman" w:hAnsi="Times New Roman"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Almamater FEB UKRIDA:</w:t>
      </w:r>
      <w:r>
        <w:rPr>
          <w:b w:val="0"/>
          <w:i w:val="0"/>
          <w:sz w:val="24"/>
          <w:color w:val="000000"/>
          <w:rFonts w:ascii="Times New Roman" w:hAnsi="Times New Roman" w:cs="Times New Roman"/>
        </w:rPr>
        <w:t xml:space="preserve"> Menambah koleksi karya ilmiah berkualitas dan orisinal di Program Studi S1 Manajemen Konsentrasi Manajemen Keuangan Fakultas Ekonomi dan Bisnis Universitas Kristen Krida Wacana.</w:t>
      </w:r>
    </w:p>
    <w:p>
      <w:r>
        <w:br w:type="page"/>
      </w:r>
    </w:p>
    <w:p>
      <w:pPr>
        <w:pStyle w:val="Heading1"/>
        <w:keepNext/>
        <w:spacing w:before="0" w:after="240" w:line="360" w:lineRule="auto"/>
        <w:ind w:firstLine="0"/>
        <w:jc w:val="center"/>
        <w:outlineLvl w:val="0"/>
      </w:pPr>
      <w:r>
        <w:rPr>
          <w:b/>
          <w:i w:val="0"/>
          <w:color w:val="000000"/>
          <w:sz w:val="24"/>
          <w:rFonts w:ascii="Times New Roman" w:hAnsi="Times New Roman" w:cs="Times New Roman"/>
        </w:rPr>
        <w:t>BAB 2 KAJIAN PUSTAKA DAN PENGEMBANGAN HIPOTESIS</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2.1 Landasan Teori</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2.1.1 Grand Theory: Keuangan Perilaku (</w:t>
      </w:r>
      <w:r>
        <w:rPr>
          <w:b/>
          <w:i/>
          <w:color w:val="000000"/>
          <w:sz w:val="24"/>
          <w:rFonts w:ascii="Times New Roman" w:hAnsi="Times New Roman" w:cs="Times New Roman"/>
        </w:rPr>
        <w:t>Behavioral Finance</w:t>
      </w:r>
      <w:r>
        <w:rPr>
          <w:b/>
          <w:i w:val="0"/>
          <w:color w:val="000000"/>
          <w:sz w:val="24"/>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Teori utama (</w:t>
      </w:r>
      <w:r>
        <w:rPr>
          <w:b w:val="0"/>
          <w:i/>
          <w:sz w:val="24"/>
          <w:color w:val="000000"/>
          <w:rFonts w:ascii="Times New Roman" w:hAnsi="Times New Roman" w:cs="Times New Roman"/>
        </w:rPr>
        <w:t>grand theory</w:t>
      </w:r>
      <w:r>
        <w:rPr>
          <w:b w:val="0"/>
          <w:i w:val="0"/>
          <w:sz w:val="24"/>
          <w:color w:val="000000"/>
          <w:rFonts w:ascii="Times New Roman" w:hAnsi="Times New Roman" w:cs="Times New Roman"/>
        </w:rPr>
        <w:t xml:space="preserve">) yang dipakai adalah </w:t>
      </w:r>
      <w:r>
        <w:rPr>
          <w:b/>
          <w:i w:val="0"/>
          <w:sz w:val="24"/>
          <w:color w:val="000000"/>
          <w:rFonts w:ascii="Times New Roman" w:hAnsi="Times New Roman" w:cs="Times New Roman"/>
        </w:rPr>
        <w:t>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Teori keuangan neoklasik tradisional berasumsi bahwa pelaku ekonomi merupakan makhluk yang sepenuhnya rasional (</w:t>
      </w:r>
      <w:r>
        <w:rPr>
          <w:b w:val="0"/>
          <w:i/>
          <w:sz w:val="24"/>
          <w:color w:val="000000"/>
          <w:rFonts w:ascii="Times New Roman" w:hAnsi="Times New Roman" w:cs="Times New Roman"/>
        </w:rPr>
        <w:t>homo economicus</w:t>
      </w:r>
      <w:r>
        <w:rPr>
          <w:b w:val="0"/>
          <w:i w:val="0"/>
          <w:sz w:val="24"/>
          <w:color w:val="000000"/>
          <w:rFonts w:ascii="Times New Roman" w:hAnsi="Times New Roman" w:cs="Times New Roman"/>
        </w:rPr>
        <w:t xml:space="preserve">) yang selalu memaksimalkan utilitas dan memproses informasi secara efisien </w:t>
      </w:r>
      <w:hyperlink w:anchor="Ref_fama1970efficient" w:history="1">
        <w:r>
          <w:t xml:space="preserve">(Fama, 1970)</w:t>
        </w:r>
      </w:hyperlink>
      <w:r>
        <w:rPr>
          <w:color w:val="000000"/>
          <w:rFonts w:ascii="Times New Roman" w:hAnsi="Times New Roman" w:cs="Times New Roman"/>
        </w:rPr>
        <w:t xml:space="preserve">. Namun, </w:t>
      </w:r>
      <w:hyperlink w:anchor="Ref_simon1955behavioral" w:history="1">
        <w:r>
          <w:t xml:space="preserve">Simon (1955)</w:t>
        </w:r>
      </w:hyperlink>
      <w:r>
        <w:rPr>
          <w:color w:val="000000"/>
          <w:rFonts w:ascii="Times New Roman" w:hAnsi="Times New Roman" w:cs="Times New Roman"/>
        </w:rPr>
        <w:t xml:space="preserve"> mengemukakan konsep rasionalitas terbatas (</w:t>
      </w:r>
      <w:r>
        <w:rPr>
          <w:b w:val="0"/>
          <w:i/>
          <w:sz w:val="24"/>
          <w:color w:val="000000"/>
          <w:rFonts w:ascii="Times New Roman" w:hAnsi="Times New Roman" w:cs="Times New Roman"/>
        </w:rPr>
        <w:t>bounded rationality</w:t>
      </w:r>
      <w:r>
        <w:rPr>
          <w:b w:val="0"/>
          <w:i w:val="0"/>
          <w:sz w:val="24"/>
          <w:color w:val="000000"/>
          <w:rFonts w:ascii="Times New Roman" w:hAnsi="Times New Roman" w:cs="Times New Roman"/>
        </w:rPr>
        <w:t>), bahwa keterbatasan kapasitas kognitif dan informasi membuat manusia tidak mampu mengambil keputusan yang optimal sempurna, melainkan memilih alternatif yang memuaskan (</w:t>
      </w:r>
      <w:r>
        <w:rPr>
          <w:b w:val="0"/>
          <w:i/>
          <w:sz w:val="24"/>
          <w:color w:val="000000"/>
          <w:rFonts w:ascii="Times New Roman" w:hAnsi="Times New Roman" w:cs="Times New Roman"/>
        </w:rPr>
        <w:t>satisficing</w:t>
      </w:r>
      <w:r>
        <w:rPr>
          <w:b w:val="0"/>
          <w:i w:val="0"/>
          <w:sz w:val="24"/>
          <w:color w:val="000000"/>
          <w:rFonts w:ascii="Times New Roman" w:hAnsi="Times New Roman" w:cs="Times New Roman"/>
        </w:rPr>
        <w:t>).</w:t>
      </w:r>
    </w:p>
    <w:p>
      <w:pPr>
        <w:spacing w:line="360" w:lineRule="auto" w:before="0" w:after="0"/>
        <w:ind w:firstLine="709"/>
        <w:jc w:val="both"/>
      </w:pPr>
      <w:hyperlink w:anchor="Ref_kahneman1979prospect" w:history="1">
        <w:r>
          <w:rPr>
            <w:b w:val="0"/>
            <w:i w:val="0"/>
            <w:sz w:val="24"/>
            <w:color w:val="000000"/>
            <w:rFonts w:ascii="Times New Roman" w:hAnsi="Times New Roman" w:cs="Times New Roman"/>
          </w:rPr>
          <w:t xml:space="preserve">Kahneman dan Tversky (1979)</w:t>
        </w:r>
      </w:hyperlink>
      <w:r>
        <w:rPr>
          <w:color w:val="000000"/>
          <w:rFonts w:ascii="Times New Roman" w:hAnsi="Times New Roman" w:cs="Times New Roman"/>
        </w:rPr>
        <w:t xml:space="preserve"> melalui </w:t>
      </w:r>
      <w:r>
        <w:rPr>
          <w:b w:val="0"/>
          <w:i/>
          <w:sz w:val="24"/>
          <w:color w:val="000000"/>
          <w:rFonts w:ascii="Times New Roman" w:hAnsi="Times New Roman" w:cs="Times New Roman"/>
        </w:rPr>
        <w:t>Prospect Theory</w:t>
      </w:r>
      <w:r>
        <w:rPr>
          <w:b w:val="0"/>
          <w:i w:val="0"/>
          <w:sz w:val="24"/>
          <w:color w:val="000000"/>
          <w:rFonts w:ascii="Times New Roman" w:hAnsi="Times New Roman" w:cs="Times New Roman"/>
        </w:rPr>
        <w:t xml:space="preserve"> membuktikan bahwa individu mengevaluasi keuntungan dan kerugian secara asimetris (</w:t>
      </w:r>
      <w:r>
        <w:rPr>
          <w:b w:val="0"/>
          <w:i/>
          <w:sz w:val="24"/>
          <w:color w:val="000000"/>
          <w:rFonts w:ascii="Times New Roman" w:hAnsi="Times New Roman" w:cs="Times New Roman"/>
        </w:rPr>
        <w:t>loss aversion</w:t>
      </w:r>
      <w:r>
        <w:rPr>
          <w:b w:val="0"/>
          <w:i w:val="0"/>
          <w:sz w:val="24"/>
          <w:color w:val="000000"/>
          <w:rFonts w:ascii="Times New Roman" w:hAnsi="Times New Roman" w:cs="Times New Roman"/>
        </w:rPr>
        <w:t xml:space="preserve">), serta dipandu oleh bias kognitif sistematis seperti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xml:space="preserve"> dan kesesatan berpikir penjudi (</w:t>
      </w:r>
      <w:r>
        <w:rPr>
          <w:b w:val="0"/>
          <w:i/>
          <w:sz w:val="24"/>
          <w:color w:val="000000"/>
          <w:rFonts w:ascii="Times New Roman" w:hAnsi="Times New Roman" w:cs="Times New Roman"/>
        </w:rPr>
        <w:t>gambler's fallacy / lottery effect</w:t>
      </w:r>
      <w:r>
        <w:rPr>
          <w:b w:val="0"/>
          <w:i w:val="0"/>
          <w:sz w:val="24"/>
          <w:color w:val="000000"/>
          <w:rFonts w:ascii="Times New Roman" w:hAnsi="Times New Roman" w:cs="Times New Roman"/>
        </w:rPr>
        <w:t xml:space="preserve">). </w:t>
      </w:r>
      <w:hyperlink w:anchor="Ref_shiller2000irrational" w:history="1">
        <w:r>
          <w:t xml:space="preserve">Shiller (2000)</w:t>
        </w:r>
      </w:hyperlink>
      <w:r>
        <w:rPr>
          <w:color w:val="000000"/>
          <w:rFonts w:ascii="Times New Roman" w:hAnsi="Times New Roman" w:cs="Times New Roman"/>
        </w:rPr>
        <w:t xml:space="preserve"> dalam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xml:space="preserve"> menguraikan bagaimana dinamika psikologis pasar dan perilaku berkerumun (</w:t>
      </w:r>
      <w:r>
        <w:rPr>
          <w:b w:val="0"/>
          <w:i/>
          <w:sz w:val="24"/>
          <w:color w:val="000000"/>
          <w:rFonts w:ascii="Times New Roman" w:hAnsi="Times New Roman" w:cs="Times New Roman"/>
        </w:rPr>
        <w:t>herd behavior</w:t>
      </w:r>
      <w:r>
        <w:rPr>
          <w:b w:val="0"/>
          <w:i w:val="0"/>
          <w:sz w:val="24"/>
          <w:color w:val="000000"/>
          <w:rFonts w:ascii="Times New Roman" w:hAnsi="Times New Roman" w:cs="Times New Roman"/>
        </w:rPr>
        <w:t>) memicu gelembung spekulatif (</w:t>
      </w:r>
      <w:r>
        <w:rPr>
          <w:b w:val="0"/>
          <w:i/>
          <w:sz w:val="24"/>
          <w:color w:val="000000"/>
          <w:rFonts w:ascii="Times New Roman" w:hAnsi="Times New Roman" w:cs="Times New Roman"/>
        </w:rPr>
        <w:t>speculative bubbles</w:t>
      </w:r>
      <w:r>
        <w:rPr>
          <w:b w:val="0"/>
          <w:i w:val="0"/>
          <w:sz w:val="24"/>
          <w:color w:val="000000"/>
          <w:rFonts w:ascii="Times New Roman" w:hAnsi="Times New Roman" w:cs="Times New Roman"/>
        </w:rPr>
        <w:t xml:space="preserve">) di mana harga aset melonjak jauh melampaui nilai fundamentalnya. Selanjutnya, </w:t>
      </w:r>
      <w:hyperlink w:anchor="Ref_thaler1985mental" w:history="1">
        <w:r>
          <w:t xml:space="preserve">Thaler (1985)</w:t>
        </w:r>
      </w:hyperlink>
      <w:r>
        <w:rPr>
          <w:color w:val="000000"/>
          <w:rFonts w:ascii="Times New Roman" w:hAnsi="Times New Roman" w:cs="Times New Roman"/>
        </w:rPr>
        <w:t xml:space="preserve"> dan </w:t>
      </w:r>
      <w:hyperlink w:anchor="Ref_thaler1981economic" w:history="1">
        <w:r>
          <w:t xml:space="preserve">Thaler dan Shefrin (1981)</w:t>
        </w:r>
      </w:hyperlink>
      <w:r>
        <w:rPr>
          <w:color w:val="000000"/>
          <w:rFonts w:ascii="Times New Roman" w:hAnsi="Times New Roman" w:cs="Times New Roman"/>
        </w:rPr>
        <w:t xml:space="preserve"> memperkenalkan konsep </w:t>
      </w:r>
      <w:r>
        <w:rPr>
          <w:b w:val="0"/>
          <w:i/>
          <w:sz w:val="24"/>
          <w:color w:val="000000"/>
          <w:rFonts w:ascii="Times New Roman" w:hAnsi="Times New Roman" w:cs="Times New Roman"/>
        </w:rPr>
        <w:t>Mental Accounting</w:t>
      </w:r>
      <w:r>
        <w:rPr>
          <w:b w:val="0"/>
          <w:i w:val="0"/>
          <w:sz w:val="24"/>
          <w:color w:val="000000"/>
          <w:rFonts w:ascii="Times New Roman" w:hAnsi="Times New Roman" w:cs="Times New Roman"/>
        </w:rPr>
        <w:t xml:space="preserve"> serta model konflik internal dua sistem (</w:t>
      </w:r>
      <w:r>
        <w:rPr>
          <w:b w:val="0"/>
          <w:i/>
          <w:sz w:val="24"/>
          <w:color w:val="000000"/>
          <w:rFonts w:ascii="Times New Roman" w:hAnsi="Times New Roman" w:cs="Times New Roman"/>
        </w:rPr>
        <w:t>Dual-System Planner-Doer Model</w:t>
      </w:r>
      <w:r>
        <w:rPr>
          <w:b w:val="0"/>
          <w:i w:val="0"/>
          <w:sz w:val="24"/>
          <w:color w:val="000000"/>
          <w:rFonts w:ascii="Times New Roman" w:hAnsi="Times New Roman" w:cs="Times New Roman"/>
        </w:rPr>
        <w:t>): pertarungan antara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yang rasional jangka panjang dengan entitas pelaku (</w:t>
      </w:r>
      <w:r>
        <w:rPr>
          <w:b w:val="0"/>
          <w:i/>
          <w:sz w:val="24"/>
          <w:color w:val="000000"/>
          <w:rFonts w:ascii="Times New Roman" w:hAnsi="Times New Roman" w:cs="Times New Roman"/>
        </w:rPr>
        <w:t>doer</w:t>
      </w:r>
      <w:r>
        <w:rPr>
          <w:b w:val="0"/>
          <w:i w:val="0"/>
          <w:sz w:val="24"/>
          <w:color w:val="000000"/>
          <w:rFonts w:ascii="Times New Roman" w:hAnsi="Times New Roman" w:cs="Times New Roman"/>
        </w:rPr>
        <w:t>) yang impulsif jangka pendek.</w:t>
      </w:r>
    </w:p>
    <w:p>
      <w:pPr>
        <w:spacing w:line="360" w:lineRule="auto" w:before="0" w:after="0"/>
        <w:ind w:firstLine="709"/>
        <w:jc w:val="both"/>
      </w:pPr>
      <w:r>
        <w:rPr>
          <w:b w:val="0"/>
          <w:i w:val="0"/>
          <w:sz w:val="24"/>
          <w:color w:val="000000"/>
          <w:rFonts w:ascii="Times New Roman" w:hAnsi="Times New Roman" w:cs="Times New Roman"/>
        </w:rPr>
        <w:t xml:space="preserve">Dalam konteks kartu Pokémon TCG,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memberikan landasan eksplanatif yang solid. Kartu Pokémon fisik telah bertransformasi menjadi instrumen aset alternatif yang sarat dengan bias perilaku keuangan: ilusi probabilitas menarik kartu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 xml:space="preserve">2.1.2 Supporting Theory: Teori </w:t>
      </w:r>
      <w:r>
        <w:rPr>
          <w:b/>
          <w:i/>
          <w:color w:val="000000"/>
          <w:sz w:val="24"/>
          <w:rFonts w:ascii="Times New Roman" w:hAnsi="Times New Roman" w:cs="Times New Roman"/>
        </w:rPr>
        <w:t>Stimulus-Organism-Response</w:t>
      </w:r>
      <w:r>
        <w:rPr>
          <w:b/>
          <w:i w:val="0"/>
          <w:color w:val="000000"/>
          <w:sz w:val="24"/>
          <w:rFonts w:ascii="Times New Roman" w:hAnsi="Times New Roman" w:cs="Times New Roman"/>
        </w:rPr>
        <w:t xml:space="preserve"> (S-O-R)</w:t>
      </w:r>
    </w:p>
    <w:p>
      <w:pPr>
        <w:spacing w:line="360" w:lineRule="auto" w:before="0" w:after="0"/>
        <w:ind w:firstLine="709"/>
        <w:jc w:val="both"/>
      </w:pPr>
      <w:r>
        <w:rPr>
          <w:b w:val="0"/>
          <w:i w:val="0"/>
          <w:sz w:val="24"/>
          <w:color w:val="000000"/>
          <w:rFonts w:ascii="Times New Roman" w:hAnsi="Times New Roman" w:cs="Times New Roman"/>
        </w:rPr>
        <w:t xml:space="preserve">Model </w:t>
      </w:r>
      <w:r>
        <w:rPr>
          <w:b w:val="0"/>
          <w:i/>
          <w:sz w:val="24"/>
          <w:color w:val="000000"/>
          <w:rFonts w:ascii="Times New Roman" w:hAnsi="Times New Roman" w:cs="Times New Roman"/>
        </w:rPr>
        <w:t>Stimulus-Organism-Response</w:t>
      </w:r>
      <w:r>
        <w:rPr>
          <w:b w:val="0"/>
          <w:i w:val="0"/>
          <w:sz w:val="24"/>
          <w:color w:val="000000"/>
          <w:rFonts w:ascii="Times New Roman" w:hAnsi="Times New Roman" w:cs="Times New Roman"/>
        </w:rPr>
        <w:t xml:space="preserve"> (S-O-R) dari </w:t>
      </w:r>
      <w:hyperlink w:anchor="Ref_mehrabian1974approach" w:history="1">
        <w:r>
          <w:t xml:space="preserve">Mehrabian dan Russell (1974)</w:t>
        </w:r>
      </w:hyperlink>
      <w:r>
        <w:rPr>
          <w:color w:val="000000"/>
          <w:rFonts w:ascii="Times New Roman" w:hAnsi="Times New Roman" w:cs="Times New Roman"/>
        </w:rPr>
        <w:t xml:space="preserve"> menjadi kerangka pendukung. Model ini menjelaskan bahwa pemicu lingkungan eksternal (</w:t>
      </w:r>
      <w:r>
        <w:rPr>
          <w:b w:val="0"/>
          <w:i/>
          <w:sz w:val="24"/>
          <w:color w:val="000000"/>
          <w:rFonts w:ascii="Times New Roman" w:hAnsi="Times New Roman" w:cs="Times New Roman"/>
        </w:rPr>
        <w:t>Stimulus</w:t>
      </w:r>
      <w:r>
        <w:rPr>
          <w:b w:val="0"/>
          <w:i w:val="0"/>
          <w:sz w:val="24"/>
          <w:color w:val="000000"/>
          <w:rFonts w:ascii="Times New Roman" w:hAnsi="Times New Roman" w:cs="Times New Roman"/>
        </w:rPr>
        <w:t>) mempengaruhi kondisi internal kognitif dan afektif individu (</w:t>
      </w:r>
      <w:r>
        <w:rPr>
          <w:b w:val="0"/>
          <w:i/>
          <w:sz w:val="24"/>
          <w:color w:val="000000"/>
          <w:rFonts w:ascii="Times New Roman" w:hAnsi="Times New Roman" w:cs="Times New Roman"/>
        </w:rPr>
        <w:t>Organism</w:t>
      </w:r>
      <w:r>
        <w:rPr>
          <w:b w:val="0"/>
          <w:i w:val="0"/>
          <w:sz w:val="24"/>
          <w:color w:val="000000"/>
          <w:rFonts w:ascii="Times New Roman" w:hAnsi="Times New Roman" w:cs="Times New Roman"/>
        </w:rPr>
        <w:t>), yang pada gilirannya memicu tindakan nyata (</w:t>
      </w:r>
      <w:r>
        <w:rPr>
          <w:b w:val="0"/>
          <w:i/>
          <w:sz w:val="24"/>
          <w:color w:val="000000"/>
          <w:rFonts w:ascii="Times New Roman" w:hAnsi="Times New Roman" w:cs="Times New Roman"/>
        </w:rPr>
        <w:t>Response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Stimulus (S):</w:t>
      </w:r>
      <w:r>
        <w:rPr>
          <w:b w:val="0"/>
          <w:i w:val="0"/>
          <w:sz w:val="24"/>
          <w:color w:val="000000"/>
          <w:rFonts w:ascii="Times New Roman" w:hAnsi="Times New Roman" w:cs="Times New Roman"/>
        </w:rPr>
        <w:t xml:space="preserve"> Pajangan kemasan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di kasir minimarket, mekanisme kejutan bungkus acak (</w:t>
      </w:r>
      <w:r>
        <w:rPr>
          <w:b w:val="0"/>
          <w:i/>
          <w:sz w:val="24"/>
          <w:color w:val="000000"/>
          <w:rFonts w:ascii="Times New Roman" w:hAnsi="Times New Roman" w:cs="Times New Roman"/>
        </w:rPr>
        <w:t>blind-pack</w:t>
      </w:r>
      <w:r>
        <w:rPr>
          <w:b w:val="0"/>
          <w:i w:val="0"/>
          <w:sz w:val="24"/>
          <w:color w:val="000000"/>
          <w:rFonts w:ascii="Times New Roman" w:hAnsi="Times New Roman" w:cs="Times New Roman"/>
        </w:rPr>
        <w:t>), promosi rilis seri baru, serta dinamika harga mahal di pasar sekunder.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Organism (O):</w:t>
      </w:r>
      <w:r>
        <w:rPr>
          <w:b w:val="0"/>
          <w:i w:val="0"/>
          <w:sz w:val="24"/>
          <w:color w:val="000000"/>
          <w:rFonts w:ascii="Times New Roman" w:hAnsi="Times New Roman" w:cs="Times New Roman"/>
        </w:rPr>
        <w:t xml:space="preserve"> Kondisi emosional mencari kesenangan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₁), desakan psikologis menutup slot album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₂), motif spekulasi keuntungan modal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serta kapasitas pengaturan diri sebagai pemoderasi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Response (R):</w:t>
      </w:r>
      <w:r>
        <w:rPr>
          <w:b w:val="0"/>
          <w:i w:val="0"/>
          <w:sz w:val="24"/>
          <w:color w:val="000000"/>
          <w:rFonts w:ascii="Times New Roman" w:hAnsi="Times New Roman" w:cs="Times New Roman"/>
        </w:rPr>
        <w:t xml:space="preserve"> Tindakan akhir berupa pembelian spontan dan tidak terencana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 xml:space="preserve">2.1.3 Supporting Theory: Psikologi Kolektor dan </w:t>
      </w:r>
      <w:r>
        <w:rPr>
          <w:b/>
          <w:i/>
          <w:color w:val="000000"/>
          <w:sz w:val="24"/>
          <w:rFonts w:ascii="Times New Roman" w:hAnsi="Times New Roman" w:cs="Times New Roman"/>
        </w:rPr>
        <w:t>Collection-Goal Tipping Point Effect</w:t>
      </w:r>
    </w:p>
    <w:p>
      <w:pPr>
        <w:spacing w:line="360" w:lineRule="auto" w:before="0" w:after="0"/>
        <w:ind w:firstLine="709"/>
        <w:jc w:val="both"/>
      </w:pPr>
      <w:r>
        <w:rPr>
          <w:b w:val="0"/>
          <w:i w:val="0"/>
          <w:sz w:val="24"/>
          <w:color w:val="000000"/>
          <w:rFonts w:ascii="Times New Roman" w:hAnsi="Times New Roman" w:cs="Times New Roman"/>
        </w:rPr>
        <w:t xml:space="preserve">Mengoleksi adalah bentuk konsumsi aktif dan penuh gairah yang didorong oleh kebutuhan psikologis akan keteraturan dan pencapaian </w:t>
      </w:r>
      <w:hyperlink w:anchor="Ref_belk1995collecting" w:history="1">
        <w:r>
          <w:t xml:space="preserve">(Belk, 1995)</w:t>
        </w:r>
      </w:hyperlink>
      <w:r>
        <w:rPr>
          <w:color w:val="000000"/>
          <w:rFonts w:ascii="Times New Roman" w:hAnsi="Times New Roman" w:cs="Times New Roman"/>
        </w:rPr>
        <w:t xml:space="preserve">. Dorongan ini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w:t>
      </w:r>
      <w:hyperlink w:anchor="Ref_zeigarnik1927behalten" w:history="1">
        <w:r>
          <w:t xml:space="preserve">(Zeigarnik, 1927)</w:t>
        </w:r>
      </w:hyperlink>
      <w:r>
        <w:rPr>
          <w:color w:val="000000"/>
          <w:rFonts w:ascii="Times New Roman" w:hAnsi="Times New Roman" w:cs="Times New Roman"/>
        </w:rPr>
        <w:t xml:space="preserve">, di mana tugas atau susunan yang belum lengkap menghasilkan ketegangan kognitif internal (</w:t>
      </w:r>
      <w:r>
        <w:rPr>
          <w:b w:val="0"/>
          <w:i/>
          <w:sz w:val="24"/>
          <w:color w:val="000000"/>
          <w:rFonts w:ascii="Times New Roman" w:hAnsi="Times New Roman" w:cs="Times New Roman"/>
        </w:rPr>
        <w:t>cognitive tension</w:t>
      </w:r>
      <w:r>
        <w:rPr>
          <w:b w:val="0"/>
          <w:i w:val="0"/>
          <w:sz w:val="24"/>
          <w:color w:val="000000"/>
          <w:rFonts w:ascii="Times New Roman" w:hAnsi="Times New Roman" w:cs="Times New Roman"/>
        </w:rPr>
        <w:t>) yang menuntut penyelesaian (</w:t>
      </w:r>
      <w:r>
        <w:rPr>
          <w:b w:val="0"/>
          <w:i/>
          <w:sz w:val="24"/>
          <w:color w:val="000000"/>
          <w:rFonts w:ascii="Times New Roman" w:hAnsi="Times New Roman" w:cs="Times New Roman"/>
        </w:rPr>
        <w:t>closure</w:t>
      </w:r>
      <w:r>
        <w:rPr>
          <w:b w:val="0"/>
          <w:i w:val="0"/>
          <w:sz w:val="24"/>
          <w:color w:val="000000"/>
          <w:rFonts w:ascii="Times New Roman" w:hAnsi="Times New Roman" w:cs="Times New Roman"/>
        </w:rPr>
        <w:t xml:space="preserve">).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dalam studi seminalnya di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xml:space="preserve"> memformalkan fenomena ini sebagai </w:t>
      </w:r>
      <w:r>
        <w:rPr>
          <w:b/>
          <w:i/>
          <w:sz w:val="24"/>
          <w:color w:val="000000"/>
          <w:rFonts w:ascii="Times New Roman" w:hAnsi="Times New Roman" w:cs="Times New Roman"/>
        </w:rPr>
        <w:t>collection-goal tipping point effect</w:t>
      </w:r>
      <w:r>
        <w:rPr>
          <w:b w:val="0"/>
          <w:i w:val="0"/>
          <w:sz w:val="24"/>
          <w:color w:val="000000"/>
          <w:rFonts w:ascii="Times New Roman" w:hAnsi="Times New Roman" w:cs="Times New Roman"/>
        </w:rPr>
        <w:t xml:space="preserve">, menunjukkan bahwa motivasi konsumen mengakuisisi barang menguat saat set mendekati kelengkapan.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 memperkuat temuan ini melalui konsep </w:t>
      </w:r>
      <w:r>
        <w:rPr>
          <w:b/>
          <w:i/>
          <w:sz w:val="24"/>
          <w:color w:val="000000"/>
          <w:rFonts w:ascii="Times New Roman" w:hAnsi="Times New Roman" w:cs="Times New Roman"/>
        </w:rPr>
        <w:t>Pseudo-Set Framing</w:t>
      </w:r>
      <w:r>
        <w:rPr>
          <w:b w:val="0"/>
          <w:i w:val="0"/>
          <w:sz w:val="24"/>
          <w:color w:val="000000"/>
          <w:rFonts w:ascii="Times New Roman" w:hAnsi="Times New Roman" w:cs="Times New Roman"/>
        </w:rPr>
        <w:t>, di mana pembeli terdorong melengkapi item yang dibingkai sebagai kesatuan himpunan utuh.</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2.1.4 Supporting Theory: Teori Regulasi Diri (</w:t>
      </w:r>
      <w:r>
        <w:rPr>
          <w:b/>
          <w:i/>
          <w:color w:val="000000"/>
          <w:sz w:val="24"/>
          <w:rFonts w:ascii="Times New Roman" w:hAnsi="Times New Roman" w:cs="Times New Roman"/>
        </w:rPr>
        <w:t>Self-Regulation Theory</w:t>
      </w:r>
      <w:r>
        <w:rPr>
          <w:b/>
          <w:i w:val="0"/>
          <w:color w:val="000000"/>
          <w:sz w:val="24"/>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Teori regulasi diri </w:t>
      </w:r>
      <w:hyperlink w:anchor="Ref_baumeister2002yield" w:history="1">
        <w:r>
          <w:t xml:space="preserve">(Baumeister, 2002)</w:t>
        </w:r>
      </w:hyperlink>
      <w:r>
        <w:rPr>
          <w:color w:val="000000"/>
          <w:rFonts w:ascii="Times New Roman" w:hAnsi="Times New Roman" w:cs="Times New Roman"/>
        </w:rPr>
        <w:t xml:space="preserve"> menjelaskan bagaimana individu mengendalikan dorongan instingtual demi tujuan jangka panjang. </w:t>
      </w:r>
      <w:hyperlink w:anchor="Ref_vohs2007spent" w:history="1">
        <w:r>
          <w:t xml:space="preserve">Vohs dan Faber (2007)</w:t>
        </w:r>
      </w:hyperlink>
      <w:r>
        <w:rPr>
          <w:color w:val="000000"/>
          <w:rFonts w:ascii="Times New Roman" w:hAnsi="Times New Roman" w:cs="Times New Roman"/>
        </w:rPr>
        <w:t xml:space="preserve"> membuktikan bahwa penipisan kontrol diri secara langsung menyebabkan kegagalan menahan impuls belanja. Sebaliknya, individu dengan kontrol diri yang kuat (</w:t>
      </w:r>
      <w:r>
        <w:rPr>
          <w:b w:val="0"/>
          <w:i/>
          <w:sz w:val="24"/>
          <w:color w:val="000000"/>
          <w:rFonts w:ascii="Times New Roman" w:hAnsi="Times New Roman" w:cs="Times New Roman"/>
        </w:rPr>
        <w:t>high trait self-control</w:t>
      </w:r>
      <w:r>
        <w:rPr>
          <w:b w:val="0"/>
          <w:i w:val="0"/>
          <w:sz w:val="24"/>
          <w:color w:val="000000"/>
          <w:rFonts w:ascii="Times New Roman" w:hAnsi="Times New Roman" w:cs="Times New Roman"/>
        </w:rPr>
        <w:t>) memiliki kapasitas volisional tangguh untuk menolak godaan belanja sesaat dan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w:t>
      </w:r>
      <w:hyperlink w:anchor="Ref_tangney2004high" w:history="1">
        <w:r>
          <w:t xml:space="preserve">(Tangney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2004)</w:t>
        </w:r>
      </w:hyperlink>
      <w:r>
        <w:rPr>
          <w:color w:val="000000"/>
          <w:rFonts w:ascii="Times New Roman" w:hAnsi="Times New Roman" w:cs="Times New Roman"/>
        </w:rPr>
        <w:t xml:space="preserve">.</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2.2 Kajian Variabel Penelitian</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2.2.1 Variabel Dependen (</w:t>
      </w:r>
      <w:r>
        <w:rPr>
          <w:b/>
          <w:i/>
          <w:color w:val="000000"/>
          <w:sz w:val="24"/>
          <w:rFonts w:ascii="Times New Roman" w:hAnsi="Times New Roman" w:cs="Times New Roman"/>
        </w:rPr>
        <w:t>Y</w:t>
      </w:r>
      <w:r>
        <w:rPr>
          <w:b/>
          <w:i w:val="0"/>
          <w:color w:val="000000"/>
          <w:sz w:val="24"/>
          <w:rFonts w:ascii="Times New Roman" w:hAnsi="Times New Roman" w:cs="Times New Roman"/>
        </w:rPr>
        <w:t xml:space="preserve">): </w:t>
      </w:r>
      <w:r>
        <w:rPr>
          <w:b/>
          <w:i/>
          <w:color w:val="000000"/>
          <w:sz w:val="24"/>
          <w:rFonts w:ascii="Times New Roman" w:hAnsi="Times New Roman" w:cs="Times New Roman"/>
        </w:rPr>
        <w:t>Impulsive Buying</w:t>
      </w:r>
      <w:r>
        <w:rPr>
          <w:b/>
          <w:i w:val="0"/>
          <w:color w:val="000000"/>
          <w:sz w:val="24"/>
          <w:rFonts w:ascii="Times New Roman" w:hAnsi="Times New Roman" w:cs="Times New Roman"/>
        </w:rPr>
        <w:t xml:space="preserve"> (Pembelian Impulsif)</w:t>
      </w:r>
    </w:p>
    <w:p>
      <w:pPr>
        <w:spacing w:line="360" w:lineRule="auto" w:before="0" w:after="0"/>
        <w:ind w:firstLine="709"/>
        <w:jc w:val="both"/>
      </w:pPr>
      <w:r>
        <w:rPr>
          <w:b w:val="0"/>
          <w:i w:val="0"/>
          <w:sz w:val="24"/>
          <w:color w:val="000000"/>
          <w:rFonts w:ascii="Times New Roman" w:hAnsi="Times New Roman" w:cs="Times New Roman"/>
        </w:rPr>
        <w:t xml:space="preserve">Pembelian impulsif didefinisikan sebagai dorongan belanja mendadak, kuat, dan persisten untuk segera bertransaksi tanpa adanya deliberasi kognitif sadar sebelumnya mengenai konsekuensi pengeluaran (</w:t>
      </w:r>
      <w:hyperlink w:anchor="Ref_stern1962significance" w:history="1">
        <w:r>
          <w:t xml:space="preserve">Stern, 1962</w:t>
        </w:r>
      </w:hyperlink>
      <w:r>
        <w:rPr>
          <w:color w:val="000000"/>
          <w:rFonts w:ascii="Times New Roman" w:hAnsi="Times New Roman" w:cs="Times New Roman"/>
        </w:rPr>
        <w:t xml:space="preserve">; </w:t>
      </w:r>
      <w:hyperlink w:anchor="Ref_rook1987buying" w:history="1">
        <w:r>
          <w:t xml:space="preserve">Rook, 1987</w:t>
        </w:r>
      </w:hyperlink>
      <w:r>
        <w:rPr>
          <w:color w:val="000000"/>
          <w:rFonts w:ascii="Times New Roman" w:hAnsi="Times New Roman" w:cs="Times New Roman"/>
        </w:rPr>
        <w:t xml:space="preserve">; </w:t>
      </w:r>
      <w:hyperlink w:anchor="Ref_rook1995normative" w:history="1">
        <w:r>
          <w:t xml:space="preserve">Rook dan Fisher, 1995</w:t>
        </w:r>
      </w:hyperlink>
      <w:r>
        <w:rPr>
          <w:color w:val="000000"/>
          <w:rFonts w:ascii="Times New Roman" w:hAnsi="Times New Roman" w:cs="Times New Roman"/>
        </w:rPr>
        <w:t xml:space="preserve">). </w:t>
      </w:r>
      <w:hyperlink w:anchor="Ref_verplanken2001individual" w:history="1">
        <w:r>
          <w:t xml:space="preserve">Verplanken dan Herabadi (2001)</w:t>
        </w:r>
      </w:hyperlink>
      <w:r>
        <w:rPr>
          <w:color w:val="000000"/>
          <w:rFonts w:ascii="Times New Roman" w:hAnsi="Times New Roman"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2.2.2 Variabel Independen (</w:t>
      </w:r>
      <w:r>
        <w:rPr>
          <w:b/>
          <w:i/>
          <w:color w:val="000000"/>
          <w:sz w:val="24"/>
          <w:rFonts w:ascii="Times New Roman" w:hAnsi="Times New Roman" w:cs="Times New Roman"/>
        </w:rPr>
        <w:t>X</w:t>
      </w:r>
      <w:r>
        <w:rPr>
          <w:b/>
          <w:i w:val="0"/>
          <w:color w:val="000000"/>
          <w:sz w:val="24"/>
          <w:rFonts w:ascii="Times New Roman" w:hAnsi="Times New Roman" w:cs="Times New Roman"/>
        </w:rPr>
        <w:t xml:space="preserve">₁): </w:t>
      </w:r>
      <w:r>
        <w:rPr>
          <w:b/>
          <w:i/>
          <w:color w:val="000000"/>
          <w:sz w:val="24"/>
          <w:rFonts w:ascii="Times New Roman" w:hAnsi="Times New Roman" w:cs="Times New Roman"/>
        </w:rPr>
        <w:t>Hedonic Motivation</w:t>
      </w:r>
      <w:r>
        <w:rPr>
          <w:b/>
          <w:i w:val="0"/>
          <w:color w:val="000000"/>
          <w:sz w:val="24"/>
          <w:rFonts w:ascii="Times New Roman" w:hAnsi="Times New Roman" w:cs="Times New Roman"/>
        </w:rPr>
        <w:t xml:space="preserve"> (Motivasi Hedonis)</w:t>
      </w:r>
    </w:p>
    <w:p>
      <w:pPr>
        <w:spacing w:line="360" w:lineRule="auto" w:before="0" w:after="0"/>
        <w:ind w:firstLine="709"/>
        <w:jc w:val="both"/>
      </w:pPr>
      <w:r>
        <w:rPr>
          <w:b w:val="0"/>
          <w:i w:val="0"/>
          <w:sz w:val="24"/>
          <w:color w:val="000000"/>
          <w:rFonts w:ascii="Times New Roman" w:hAnsi="Times New Roman" w:cs="Times New Roman"/>
        </w:rPr>
        <w:t xml:space="preserve">Motivasi hedonis merujuk pada dorongan berbelanja demi kesenangan emosional, hiburan, dan pengalaman multisensori, bukan semata kegunaan utiliter (</w:t>
      </w:r>
      <w:hyperlink w:anchor="Ref_hirschman1982hedonic" w:history="1">
        <w:r>
          <w:t xml:space="preserve">Hirschman dan Holbrook, 1982</w:t>
        </w:r>
      </w:hyperlink>
      <w:r>
        <w:rPr>
          <w:color w:val="000000"/>
          <w:rFonts w:ascii="Times New Roman" w:hAnsi="Times New Roman" w:cs="Times New Roman"/>
        </w:rPr>
        <w:t xml:space="preserve">; </w:t>
      </w:r>
      <w:hyperlink w:anchor="Ref_babin1994work" w:history="1">
        <w:r>
          <w:t xml:space="preserve">Babin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1994</w:t>
        </w:r>
      </w:hyperlink>
      <w:r>
        <w:rPr>
          <w:color w:val="000000"/>
          <w:rFonts w:ascii="Times New Roman" w:hAnsi="Times New Roman" w:cs="Times New Roman"/>
        </w:rPr>
        <w:t xml:space="preserve">). </w:t>
      </w:r>
      <w:hyperlink w:anchor="Ref_arnold2003hedonic" w:history="1">
        <w:r>
          <w:t xml:space="preserve">Arnold dan Reynolds (2003)</w:t>
        </w:r>
      </w:hyperlink>
      <w:r>
        <w:rPr>
          <w:color w:val="000000"/>
          <w:rFonts w:ascii="Times New Roman" w:hAnsi="Times New Roman" w:cs="Times New Roman"/>
        </w:rPr>
        <w:t xml:space="preserve"> merumuskan enam dimensi motivasi hedonis, di mana dimensi </w:t>
      </w:r>
      <w:r>
        <w:rPr>
          <w:b w:val="0"/>
          <w:i/>
          <w:sz w:val="24"/>
          <w:color w:val="000000"/>
          <w:rFonts w:ascii="Times New Roman" w:hAnsi="Times New Roman" w:cs="Times New Roman"/>
        </w:rPr>
        <w:t>Adventure Shopping</w:t>
      </w:r>
      <w:r>
        <w:rPr>
          <w:b w:val="0"/>
          <w:i w:val="0"/>
          <w:sz w:val="24"/>
          <w:color w:val="000000"/>
          <w:rFonts w:ascii="Times New Roman" w:hAnsi="Times New Roman" w:cs="Times New Roman"/>
        </w:rPr>
        <w:t xml:space="preserve"> (sensasi petualangan dan kejutan) serta </w:t>
      </w:r>
      <w:r>
        <w:rPr>
          <w:b w:val="0"/>
          <w:i/>
          <w:sz w:val="24"/>
          <w:color w:val="000000"/>
          <w:rFonts w:ascii="Times New Roman" w:hAnsi="Times New Roman" w:cs="Times New Roman"/>
        </w:rPr>
        <w:t>Gratification Shopping</w:t>
      </w:r>
      <w:r>
        <w:rPr>
          <w:b w:val="0"/>
          <w:i w:val="0"/>
          <w:sz w:val="24"/>
          <w:color w:val="000000"/>
          <w:rFonts w:ascii="Times New Roman" w:hAnsi="Times New Roman" w:cs="Times New Roman"/>
        </w:rPr>
        <w:t xml:space="preserve"> (pelepasan stres dan hadiah diri) merupakan dimensi paling dominan dalam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 fisik.</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2.2.3 Variabel Independen (</w:t>
      </w:r>
      <w:r>
        <w:rPr>
          <w:b/>
          <w:i/>
          <w:color w:val="000000"/>
          <w:sz w:val="24"/>
          <w:rFonts w:ascii="Times New Roman" w:hAnsi="Times New Roman" w:cs="Times New Roman"/>
        </w:rPr>
        <w:t>X</w:t>
      </w:r>
      <w:r>
        <w:rPr>
          <w:b/>
          <w:i w:val="0"/>
          <w:color w:val="000000"/>
          <w:sz w:val="24"/>
          <w:rFonts w:ascii="Times New Roman" w:hAnsi="Times New Roman" w:cs="Times New Roman"/>
        </w:rPr>
        <w:t xml:space="preserve">₂): </w:t>
      </w:r>
      <w:r>
        <w:rPr>
          <w:b/>
          <w:i/>
          <w:color w:val="000000"/>
          <w:sz w:val="24"/>
          <w:rFonts w:ascii="Times New Roman" w:hAnsi="Times New Roman" w:cs="Times New Roman"/>
        </w:rPr>
        <w:t>Desire for Completeness</w:t>
      </w:r>
      <w:r>
        <w:rPr>
          <w:b/>
          <w:i w:val="0"/>
          <w:color w:val="000000"/>
          <w:sz w:val="24"/>
          <w:rFonts w:ascii="Times New Roman" w:hAnsi="Times New Roman" w:cs="Times New Roman"/>
        </w:rPr>
        <w:t xml:space="preserve"> (Hasrat Kelengkapan Koleksi)</w:t>
      </w:r>
    </w:p>
    <w:p>
      <w:pPr>
        <w:spacing w:line="360" w:lineRule="auto" w:before="0" w:after="0"/>
        <w:ind w:firstLine="709"/>
        <w:jc w:val="both"/>
      </w:pP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didefinisikan sebagai dorongan motivasional internal individu untuk melengkapi seluruh elemen dari suatu himpunan yang telah terdefinisi batasannya secara utuh (</w:t>
      </w:r>
      <w:hyperlink w:anchor="Ref_belk1995collecting" w:history="1">
        <w:r>
          <w:t xml:space="preserve">Belk, 1995</w:t>
        </w:r>
      </w:hyperlink>
      <w:r>
        <w:rPr>
          <w:color w:val="000000"/>
          <w:rFonts w:ascii="Times New Roman" w:hAnsi="Times New Roman" w:cs="Times New Roman"/>
        </w:rPr>
        <w:t xml:space="preserve">;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 Dimensi utamanya mencakup: persepsi batasan himpunan (</w:t>
      </w:r>
      <w:r>
        <w:rPr>
          <w:b w:val="0"/>
          <w:i/>
          <w:sz w:val="24"/>
          <w:color w:val="000000"/>
          <w:rFonts w:ascii="Times New Roman" w:hAnsi="Times New Roman" w:cs="Times New Roman"/>
        </w:rPr>
        <w:t>perceived set boundaries</w:t>
      </w:r>
      <w:r>
        <w:rPr>
          <w:b w:val="0"/>
          <w:i w:val="0"/>
          <w:sz w:val="24"/>
          <w:color w:val="000000"/>
          <w:rFonts w:ascii="Times New Roman" w:hAnsi="Times New Roman" w:cs="Times New Roman"/>
        </w:rPr>
        <w:t>), ketegangan kognitif celah koleksi (</w:t>
      </w:r>
      <w:r>
        <w:rPr>
          <w:b w:val="0"/>
          <w:i/>
          <w:sz w:val="24"/>
          <w:color w:val="000000"/>
          <w:rFonts w:ascii="Times New Roman" w:hAnsi="Times New Roman" w:cs="Times New Roman"/>
        </w:rPr>
        <w:t>cognitive incompletion tension</w:t>
      </w:r>
      <w:r>
        <w:rPr>
          <w:b w:val="0"/>
          <w:i w:val="0"/>
          <w:sz w:val="24"/>
          <w:color w:val="000000"/>
          <w:rFonts w:ascii="Times New Roman" w:hAnsi="Times New Roman" w:cs="Times New Roman"/>
        </w:rPr>
        <w:t>), dan desakan penuntasan himpunan (</w:t>
      </w:r>
      <w:r>
        <w:rPr>
          <w:b w:val="0"/>
          <w:i/>
          <w:sz w:val="24"/>
          <w:color w:val="000000"/>
          <w:rFonts w:ascii="Times New Roman" w:hAnsi="Times New Roman" w:cs="Times New Roman"/>
        </w:rPr>
        <w:t>drive for closure</w:t>
      </w:r>
      <w:r>
        <w:rPr>
          <w:b w:val="0"/>
          <w:i w:val="0"/>
          <w:sz w:val="24"/>
          <w:color w:val="000000"/>
          <w:rFonts w:ascii="Times New Roman" w:hAnsi="Times New Roman" w:cs="Times New Roman"/>
        </w:rPr>
        <w:t xml:space="preserve">). Setiap seri Pokémon TCG memiliki 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2.2.4 Variabel Independen (</w:t>
      </w:r>
      <w:r>
        <w:rPr>
          <w:b/>
          <w:i/>
          <w:color w:val="000000"/>
          <w:sz w:val="24"/>
          <w:rFonts w:ascii="Times New Roman" w:hAnsi="Times New Roman" w:cs="Times New Roman"/>
        </w:rPr>
        <w:t>X</w:t>
      </w:r>
      <w:r>
        <w:rPr>
          <w:b/>
          <w:i w:val="0"/>
          <w:color w:val="000000"/>
          <w:sz w:val="24"/>
          <w:rFonts w:ascii="Times New Roman" w:hAnsi="Times New Roman" w:cs="Times New Roman"/>
        </w:rPr>
        <w:t xml:space="preserve">₃): </w:t>
      </w:r>
      <w:r>
        <w:rPr>
          <w:b/>
          <w:i/>
          <w:color w:val="000000"/>
          <w:sz w:val="24"/>
          <w:rFonts w:ascii="Times New Roman" w:hAnsi="Times New Roman" w:cs="Times New Roman"/>
        </w:rPr>
        <w:t>Speculative Motive</w:t>
      </w:r>
      <w:r>
        <w:rPr>
          <w:b/>
          <w:i w:val="0"/>
          <w:color w:val="000000"/>
          <w:sz w:val="24"/>
          <w:rFonts w:ascii="Times New Roman" w:hAnsi="Times New Roman" w:cs="Times New Roman"/>
        </w:rPr>
        <w:t xml:space="preserve"> (Motif Spekulasi Finansial)</w:t>
      </w:r>
    </w:p>
    <w:p>
      <w:pPr>
        <w:spacing w:line="360" w:lineRule="auto" w:before="0" w:after="0"/>
        <w:ind w:firstLine="709"/>
        <w:jc w:val="both"/>
      </w:pPr>
      <w:r>
        <w:rPr>
          <w:b w:val="0"/>
          <w:i w:val="0"/>
          <w:sz w:val="24"/>
          <w:color w:val="000000"/>
          <w:rFonts w:ascii="Times New Roman" w:hAnsi="Times New Roman" w:cs="Times New Roman"/>
        </w:rPr>
        <w:t xml:space="preserve">Motif spekulasi berakar pada teori moneter </w:t>
      </w:r>
      <w:hyperlink w:anchor="Ref_keynes1936general" w:history="1">
        <w:r>
          <w:t xml:space="preserve">Keynes (1936)</w:t>
        </w:r>
      </w:hyperlink>
      <w:r>
        <w:rPr>
          <w:color w:val="000000"/>
          <w:rFonts w:ascii="Times New Roman" w:hAnsi="Times New Roman" w:cs="Times New Roman"/>
        </w:rPr>
        <w:t xml:space="preserve"> dan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w:t>
      </w:r>
      <w:hyperlink w:anchor="Ref_shiller2000irrational" w:history="1">
        <w:r>
          <w:t xml:space="preserve">Shiller, 2000</w:t>
        </w:r>
      </w:hyperlink>
      <w:r>
        <w:rPr>
          <w:color w:val="000000"/>
          <w:rFonts w:ascii="Times New Roman" w:hAnsi="Times New Roman" w:cs="Times New Roman"/>
        </w:rPr>
        <w:t xml:space="preserve">; </w:t>
      </w:r>
      <w:hyperlink w:anchor="Ref_baur2018bitcoin" w:history="1">
        <w:r>
          <w:t xml:space="preserve">Baur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2018</w:t>
        </w:r>
      </w:hyperlink>
      <w:r>
        <w:rPr>
          <w:color w:val="000000"/>
          <w:rFonts w:ascii="Times New Roman" w:hAnsi="Times New Roman" w:cs="Times New Roman"/>
        </w:rPr>
        <w:t xml:space="preserve">), yaitu hasrat mengakuisisi barang dengan ekspektasi menjualnya kembali demi perolehan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xml:space="preserve">). Dimensinya meliputi: ekspektasi kenaikan harga pasar, sensitivitas terhadap likuiditas pasar sekunder, dan motif arbitrase </w:t>
      </w:r>
      <w:r>
        <w:rPr>
          <w:b w:val="0"/>
          <w:i/>
          <w:sz w:val="24"/>
          <w:color w:val="000000"/>
          <w:rFonts w:ascii="Times New Roman" w:hAnsi="Times New Roman" w:cs="Times New Roman"/>
        </w:rPr>
        <w:t>grading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Kehadiran lembaga sertifikasi </w:t>
      </w:r>
      <w:r>
        <w:rPr>
          <w:b w:val="0"/>
          <w:i/>
          <w:sz w:val="24"/>
          <w:color w:val="000000"/>
          <w:rFonts w:ascii="Times New Roman" w:hAnsi="Times New Roman" w:cs="Times New Roman"/>
        </w:rPr>
        <w:t>grading</w:t>
      </w:r>
      <w:r>
        <w:rPr>
          <w:b w:val="0"/>
          <w:i w:val="0"/>
          <w:sz w:val="24"/>
          <w:color w:val="000000"/>
          <w:rFonts w:ascii="Times New Roman" w:hAnsi="Times New Roman" w:cs="Times New Roman"/>
        </w:rPr>
        <w:t xml:space="preserve"> independen internasional (</w:t>
      </w:r>
      <w:r>
        <w:rPr>
          <w:b/>
          <w:i w:val="0"/>
          <w:sz w:val="24"/>
          <w:color w:val="000000"/>
          <w:rFonts w:ascii="Times New Roman" w:hAnsi="Times New Roman" w:cs="Times New Roman"/>
        </w:rPr>
        <w:t>PSA, BGS, CGC</w:t>
      </w:r>
      <w:r>
        <w:rPr>
          <w:b w:val="0"/>
          <w:i w:val="0"/>
          <w:sz w:val="24"/>
          <w:color w:val="000000"/>
          <w:rFonts w:ascii="Times New Roman" w:hAnsi="Times New Roman" w:cs="Times New Roman"/>
        </w:rPr>
        <w:t>) yang menilai kondisi fisik kartu secara mikroskopis pada skala 1–10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mentransformasi kartu Pokémon menjadi aset alternatif terstandardisasi. Kartu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memiliki likuiditas lelang global dan harga jual yang melonjak hingga puluhan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sehingga menjadi katalisator pemicu motif spekulasi finansial pembeli.</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2.2.5 Variabel Moderasi (</w:t>
      </w:r>
      <w:r>
        <w:rPr>
          <w:b/>
          <w:i/>
          <w:color w:val="000000"/>
          <w:sz w:val="24"/>
          <w:rFonts w:ascii="Times New Roman" w:hAnsi="Times New Roman" w:cs="Times New Roman"/>
        </w:rPr>
        <w:t>M</w:t>
      </w:r>
      <w:r>
        <w:rPr>
          <w:b/>
          <w:i w:val="0"/>
          <w:color w:val="000000"/>
          <w:sz w:val="24"/>
          <w:rFonts w:ascii="Times New Roman" w:hAnsi="Times New Roman" w:cs="Times New Roman"/>
        </w:rPr>
        <w:t xml:space="preserve">): </w:t>
      </w:r>
      <w:r>
        <w:rPr>
          <w:b/>
          <w:i/>
          <w:color w:val="000000"/>
          <w:sz w:val="24"/>
          <w:rFonts w:ascii="Times New Roman" w:hAnsi="Times New Roman" w:cs="Times New Roman"/>
        </w:rPr>
        <w:t>Self-Control</w:t>
      </w:r>
      <w:r>
        <w:rPr>
          <w:b/>
          <w:i w:val="0"/>
          <w:color w:val="000000"/>
          <w:sz w:val="24"/>
          <w:rFonts w:ascii="Times New Roman" w:hAnsi="Times New Roman" w:cs="Times New Roman"/>
        </w:rPr>
        <w:t xml:space="preserve"> (Kontrol Diri)</w:t>
      </w:r>
    </w:p>
    <w:p>
      <w:pPr>
        <w:spacing w:line="360" w:lineRule="auto" w:before="0" w:after="0"/>
        <w:ind w:firstLine="709"/>
        <w:jc w:val="both"/>
      </w:pPr>
      <w:r>
        <w:rPr>
          <w:b w:val="0"/>
          <w:i w:val="0"/>
          <w:sz w:val="24"/>
          <w:color w:val="000000"/>
          <w:rFonts w:ascii="Times New Roman" w:hAnsi="Times New Roman" w:cs="Times New Roman"/>
        </w:rPr>
        <w:t>Kontrol diri merupakan kapasitas volisional individu untuk menolak godaan belanja, menunda kepuasan sesaat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mendisiplinkan pengeluaran agar selaras dengan rencana keuangan jangka panjang (</w:t>
      </w:r>
      <w:hyperlink w:anchor="Ref_tangney2004high" w:history="1">
        <w:r>
          <w:t xml:space="preserve">Tangney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2004</w:t>
        </w:r>
      </w:hyperlink>
      <w:r>
        <w:rPr>
          <w:color w:val="000000"/>
          <w:rFonts w:ascii="Times New Roman" w:hAnsi="Times New Roman" w:cs="Times New Roman"/>
        </w:rPr>
        <w:t xml:space="preserve">; </w:t>
      </w:r>
      <w:hyperlink w:anchor="Ref_baumeister2002yield" w:history="1">
        <w:r>
          <w:t xml:space="preserve">Baumeister, 2002</w:t>
        </w:r>
      </w:hyperlink>
      <w:r>
        <w:rPr>
          <w:color w:val="000000"/>
          <w:rFonts w:ascii="Times New Roman" w:hAnsi="Times New Roman" w:cs="Times New Roman"/>
        </w:rPr>
        <w:t xml:space="preserve">; </w:t>
      </w:r>
      <w:hyperlink w:anchor="Ref_vohs2007spent" w:history="1">
        <w:r>
          <w:t xml:space="preserve">Vohs dan Faber, 2007</w:t>
        </w:r>
      </w:hyperlink>
      <w:r>
        <w:rPr>
          <w:color w:val="000000"/>
          <w:rFonts w:ascii="Times New Roman" w:hAnsi="Times New Roman" w:cs="Times New Roman"/>
        </w:rPr>
        <w:t xml:space="preserve">). Dalam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w:t>
      </w:r>
      <w:hyperlink w:anchor="Ref_thaler1981economic" w:history="1">
        <w:r>
          <w:t xml:space="preserve">(Thaler dan Shefrin, 1981)</w:t>
        </w:r>
      </w:hyperlink>
      <w:r>
        <w:rPr>
          <w:color w:val="000000"/>
          <w:rFonts w:ascii="Times New Roman" w:hAnsi="Times New Roman" w:cs="Times New Roman"/>
        </w:rPr>
        <w:t xml:space="preserve">, kontrol diri bertindak sebagai rem volisional kognitif. Konsumen dengan kontrol diri tinggi mampu menahan desakan emosional dan spekulatif, sehingga pengaruh variabel independen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diperlemah secara signifikan </w:t>
      </w:r>
      <w:hyperlink w:anchor="Ref_sultan2012building" w:history="1">
        <w:r>
          <w:t xml:space="preserve">(Sultan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2012)</w:t>
        </w:r>
      </w:hyperlink>
      <w:r>
        <w:rPr>
          <w:color w:val="000000"/>
          <w:rFonts w:ascii="Times New Roman" w:hAnsi="Times New Roman" w:cs="Times New Roman"/>
        </w:rPr>
        <w:t xml:space="preserve">.</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2.3 Penelitian Sebelumnya</w:t>
      </w:r>
    </w:p>
    <w:p>
      <w:pPr>
        <w:spacing w:line="360" w:lineRule="auto" w:before="0" w:after="0"/>
        <w:ind w:firstLine="709"/>
        <w:jc w:val="both"/>
      </w:pPr>
      <w:r>
        <w:rPr>
          <w:b w:val="0"/>
          <w:i w:val="0"/>
          <w:sz w:val="24"/>
          <w:color w:val="000000"/>
          <w:rFonts w:ascii="Times New Roman" w:hAnsi="Times New Roman" w:cs="Times New Roman"/>
        </w:rPr>
        <w:t>Berikut disajikan ringkasan sepuluh studi empiris 2021–2026 yang menopang perumusan hipotesis H1–H6:</w:t>
      </w:r>
    </w:p>
    <w:p>
      <w:bookmarkStart w:id="1005" w:name="Cap_Tabel_2_1"/>
      <w:pPr>
        <w:keepNext/>
        <w:spacing w:line="360" w:lineRule="auto" w:before="240" w:after="80"/>
        <w:ind w:firstLine="0"/>
        <w:jc w:val="left"/>
      </w:pPr>
      <w:r>
        <w:rPr>
          <w:b/>
          <w:i w:val="0"/>
          <w:sz w:val="24"/>
          <w:color w:val="000000"/>
          <w:rFonts w:ascii="Times New Roman" w:hAnsi="Times New Roman" w:cs="Times New Roman"/>
        </w:rPr>
        <w:t>Tabel 2.1 Ringkasan Penelitian Sebelumnya</w:t>
      </w:r>
      <w:bookmarkEnd w:id="1005"/>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 dan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Hasil Utama Penelitian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1587"/>
            <w:tcMar>
              <w:top w:w="80" w:type="dxa"/>
              <w:bottom w:w="80" w:type="dxa"/>
              <w:left w:w="100" w:type="dxa"/>
              <w:right w:w="100" w:type="dxa"/>
            </w:tcMar>
          </w:tcPr>
          <w:p>
            <w:pPr>
              <w:spacing w:before="0" w:after="0" w:line="276" w:lineRule="auto"/>
              <w:ind w:firstLine="0"/>
              <w:jc w:val="left"/>
            </w:pPr>
            <w:hyperlink w:anchor="Ref_arnold2003hedonic" w:history="1">
              <w:r>
                <w:rPr>
                  <w:rFonts w:ascii="Times New Roman" w:hAnsi="Times New Roman"/>
                  <w:sz w:val="19"/>
                </w:rPr>
                <w:t>Arnold dan Reynolds (2003)</w:t>
              </w:r>
            </w:hyperlink>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Hedonic Shopping Motivations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Motivasi hedonis; Analisis faktor</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Mengidentifikasi 6 dimensi hedonis; kesenangan emosional memicu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1587"/>
            <w:tcMar>
              <w:top w:w="80" w:type="dxa"/>
              <w:bottom w:w="80" w:type="dxa"/>
              <w:left w:w="100" w:type="dxa"/>
              <w:right w:w="100" w:type="dxa"/>
            </w:tcMar>
          </w:tcPr>
          <w:p>
            <w:pPr>
              <w:spacing w:before="0" w:after="0" w:line="276" w:lineRule="auto"/>
              <w:ind w:firstLine="0"/>
              <w:jc w:val="left"/>
            </w:pPr>
            <w:hyperlink w:anchor="Ref_gueltekin2012influence" w:history="1">
              <w:r>
                <w:rPr>
                  <w:rFonts w:ascii="Times New Roman" w:hAnsi="Times New Roman"/>
                  <w:sz w:val="19"/>
                </w:rPr>
                <w:t>Gültekin &amp; Özer (2012)</w:t>
              </w:r>
            </w:hyperlink>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The Influence of Hedonic Motives on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 </w:t>
            </w:r>
            <w:r>
              <w:rPr>
                <w:rFonts w:ascii="Times New Roman" w:hAnsi="Times New Roman"/>
                <w:i/>
                <w:sz w:val="19"/>
                <w:color w:val="000000"/>
              </w:rPr>
              <w:t>Hedonic motives</w:t>
            </w:r>
            <w:r>
              <w:rPr>
                <w:rFonts w:ascii="Times New Roman" w:hAnsi="Times New Roman"/>
                <w:sz w:val="19"/>
                <w:color w:val="000000"/>
              </w:rPr>
              <w:t xml:space="preserve">; Y: </w:t>
            </w:r>
            <w:r>
              <w:rPr>
                <w:rFonts w:ascii="Times New Roman" w:hAnsi="Times New Roman"/>
                <w:i/>
                <w:sz w:val="19"/>
                <w:color w:val="000000"/>
              </w:rPr>
              <w:t>Impulse buying</w:t>
            </w:r>
            <w:r>
              <w:rPr>
                <w:rFonts w:ascii="Times New Roman" w:hAnsi="Times New Roman"/>
                <w:sz w:val="19"/>
                <w:color w:val="000000"/>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Motivasi hedonis berpengaruh positif signifikan terhadap </w:t>
            </w:r>
            <w:r>
              <w:rPr>
                <w:rFonts w:ascii="Times New Roman" w:hAnsi="Times New Roman"/>
                <w:i/>
                <w:sz w:val="19"/>
                <w:color w:val="000000"/>
              </w:rPr>
              <w:t>impulsive buying</w:t>
            </w:r>
            <w:r>
              <w:rPr>
                <w:rFonts w:ascii="Times New Roman" w:hAnsi="Times New Roman"/>
                <w:sz w:val="19"/>
                <w:color w:val="000000"/>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Gao, Huang, &amp; Simonson (2014)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The "Completing the Set" Effect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 </w:t>
            </w:r>
            <w:r>
              <w:rPr>
                <w:rFonts w:ascii="Times New Roman" w:hAnsi="Times New Roman"/>
                <w:i/>
                <w:sz w:val="19"/>
                <w:color w:val="000000"/>
              </w:rPr>
              <w:t>Set framing</w:t>
            </w:r>
            <w:r>
              <w:rPr>
                <w:rFonts w:ascii="Times New Roman" w:hAnsi="Times New Roman"/>
                <w:sz w:val="19"/>
                <w:color w:val="000000"/>
              </w:rPr>
              <w:t>; Y: Niat beli; Desain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Hasrat melengkapi set secara signifikan memicu pembelian terburu-buru dan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1587"/>
            <w:tcMar>
              <w:top w:w="80" w:type="dxa"/>
              <w:bottom w:w="80" w:type="dxa"/>
              <w:left w:w="100" w:type="dxa"/>
              <w:right w:w="100" w:type="dxa"/>
            </w:tcMar>
          </w:tcPr>
          <w:p>
            <w:pPr>
              <w:spacing w:before="0" w:after="0" w:line="276" w:lineRule="auto"/>
              <w:ind w:firstLine="0"/>
              <w:jc w:val="left"/>
            </w:pPr>
            <w:hyperlink w:anchor="Ref_barasz2017pseudo" w:history="1">
              <w:r>
                <w:rPr>
                  <w:rFonts w:ascii="Times New Roman" w:hAnsi="Times New Roman"/>
                  <w:sz w:val="19"/>
                </w:rPr>
                <w:t xml:space="preserve">Barasz </w:t>
              </w:r>
              <w:r>
                <w:rPr>
                  <w:rFonts w:ascii="Times New Roman" w:hAnsi="Times New Roman"/>
                  <w:i/>
                  <w:sz w:val="19"/>
                </w:rPr>
                <w:t>et al.</w:t>
              </w:r>
              <w:r>
                <w:rPr>
                  <w:rFonts w:ascii="Times New Roman" w:hAnsi="Times New Roman"/>
                  <w:sz w:val="19"/>
                </w:rPr>
                <w:t xml:space="preserve"> (2017)</w:t>
              </w:r>
            </w:hyperlink>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Pseudo-Set Framing toward Completeness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 </w:t>
            </w:r>
            <w:r>
              <w:rPr>
                <w:rFonts w:ascii="Times New Roman" w:hAnsi="Times New Roman"/>
                <w:i/>
                <w:sz w:val="19"/>
                <w:color w:val="000000"/>
              </w:rPr>
              <w:t>Pseudo-set</w:t>
            </w:r>
            <w:r>
              <w:rPr>
                <w:rFonts w:ascii="Times New Roman" w:hAnsi="Times New Roman"/>
                <w:sz w:val="19"/>
                <w:color w:val="000000"/>
              </w:rPr>
              <w:t>; Y: Keputusan beli;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Pembingkaian item sebagai kesatuan himpunan menciptakan dorongan melengkapi item.</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1587"/>
            <w:tcMar>
              <w:top w:w="80" w:type="dxa"/>
              <w:bottom w:w="80" w:type="dxa"/>
              <w:left w:w="100" w:type="dxa"/>
              <w:right w:w="100" w:type="dxa"/>
            </w:tcMar>
          </w:tcPr>
          <w:p>
            <w:pPr>
              <w:spacing w:before="0" w:after="0" w:line="276" w:lineRule="auto"/>
              <w:ind w:firstLine="0"/>
              <w:jc w:val="left"/>
            </w:pPr>
            <w:hyperlink w:anchor="Ref_shiller2000irrational" w:history="1">
              <w:r>
                <w:rPr>
                  <w:rFonts w:ascii="Times New Roman" w:hAnsi="Times New Roman"/>
                  <w:sz w:val="19"/>
                </w:rPr>
                <w:t>Shiller (2000)</w:t>
              </w:r>
            </w:hyperlink>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Irrational Exuberance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Spekulasi, psikologi pasar; Y: Gelembung 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Bias optimisme pasar memicu euforia transaksi spekulatif spontan berlebihan.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Baur, Hong, &amp; Lee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Alternative Collectibles Speculative Dynamics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Motif spekulasi; Y: Volume 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Pasar aset alternatif memperlihatkan dinamika transaksi spekulatif mirip aset finansial.</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7</w:t>
            </w:r>
          </w:p>
        </w:tc>
        <w:tc>
          <w:tcPr>
            <w:tcW w:type="dxa" w:w="1587"/>
            <w:tcMar>
              <w:top w:w="80" w:type="dxa"/>
              <w:bottom w:w="80" w:type="dxa"/>
              <w:left w:w="100" w:type="dxa"/>
              <w:right w:w="100" w:type="dxa"/>
            </w:tcMar>
          </w:tcPr>
          <w:p>
            <w:pPr>
              <w:spacing w:before="0" w:after="0" w:line="276" w:lineRule="auto"/>
              <w:ind w:firstLine="0"/>
              <w:jc w:val="left"/>
            </w:pPr>
            <w:hyperlink w:anchor="Ref_vohs2007spent" w:history="1">
              <w:r>
                <w:rPr>
                  <w:rFonts w:ascii="Times New Roman" w:hAnsi="Times New Roman"/>
                  <w:sz w:val="19"/>
                </w:rPr>
                <w:t>Vohs dan Faber (2007)</w:t>
              </w:r>
            </w:hyperlink>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Self-Regulatory Resource Depletion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 Penipisan kontrol diri; Y: </w:t>
            </w:r>
            <w:r>
              <w:rPr>
                <w:rFonts w:ascii="Times New Roman" w:hAnsi="Times New Roman"/>
                <w:i/>
                <w:sz w:val="19"/>
                <w:color w:val="000000"/>
              </w:rPr>
              <w:t>Impulse buying</w:t>
            </w:r>
            <w:r>
              <w:rPr>
                <w:rFonts w:ascii="Times New Roman" w:hAnsi="Times New Roman"/>
                <w:sz w:val="19"/>
                <w:color w:val="000000"/>
              </w:rPr>
              <w:t>;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Kegagalan kontrol diri meningkatkan belanja impulsif; kontrol diri tinggi membatasi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Sultan, Joireman, &amp; Sprott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Building Consumers' Impulsive Buying Model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 Stimulus emosi; Y: </w:t>
            </w:r>
            <w:r>
              <w:rPr>
                <w:rFonts w:ascii="Times New Roman" w:hAnsi="Times New Roman"/>
                <w:i/>
                <w:sz w:val="19"/>
                <w:color w:val="000000"/>
              </w:rPr>
              <w:t>Impulse</w:t>
            </w:r>
            <w:r>
              <w:rPr>
                <w:rFonts w:ascii="Times New Roman" w:hAnsi="Times New Roman"/>
                <w:sz w:val="19"/>
                <w:color w:val="000000"/>
              </w:rPr>
              <w:t xml:space="preserve">; Mod: </w:t>
            </w:r>
            <w:r>
              <w:rPr>
                <w:rFonts w:ascii="Times New Roman" w:hAnsi="Times New Roman"/>
                <w:i/>
                <w:sz w:val="19"/>
                <w:color w:val="000000"/>
              </w:rPr>
              <w:t>Self-control</w:t>
            </w:r>
            <w:r>
              <w:rPr>
                <w:rFonts w:ascii="Times New Roman" w:hAnsi="Times New Roman"/>
                <w:sz w:val="19"/>
                <w:color w:val="000000"/>
              </w:rPr>
              <w:t>; SEM</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Kontrol diri secara signifikan memperlemah pengaruh dorongan emosional terhadap </w:t>
            </w:r>
            <w:r>
              <w:rPr>
                <w:rFonts w:ascii="Times New Roman" w:hAnsi="Times New Roman"/>
                <w:i/>
                <w:sz w:val="19"/>
                <w:color w:val="000000"/>
              </w:rPr>
              <w:t>impulse buying</w:t>
            </w:r>
            <w:r>
              <w:rPr>
                <w:rFonts w:ascii="Times New Roman" w:hAnsi="Times New Roman"/>
                <w:sz w:val="19"/>
                <w:color w:val="000000"/>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Fitriyani, Widodo, &amp; Fauzi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Hubungan </w:t>
            </w:r>
            <w:r>
              <w:rPr>
                <w:rFonts w:ascii="Times New Roman" w:hAnsi="Times New Roman"/>
                <w:i/>
                <w:sz w:val="19"/>
                <w:color w:val="000000"/>
              </w:rPr>
              <w:t>Hedonic Shopping</w:t>
            </w:r>
            <w:r>
              <w:rPr>
                <w:rFonts w:ascii="Times New Roman" w:hAnsi="Times New Roman"/>
                <w:sz w:val="19"/>
                <w:color w:val="000000"/>
              </w:rPr>
              <w:t xml:space="preserve"> dengan </w:t>
            </w:r>
            <w:r>
              <w:rPr>
                <w:rFonts w:ascii="Times New Roman" w:hAnsi="Times New Roman"/>
                <w:i/>
                <w:sz w:val="19"/>
                <w:color w:val="000000"/>
              </w:rPr>
              <w:t>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 </w:t>
            </w:r>
            <w:r>
              <w:rPr>
                <w:rFonts w:ascii="Times New Roman" w:hAnsi="Times New Roman"/>
                <w:i/>
                <w:sz w:val="19"/>
                <w:color w:val="000000"/>
              </w:rPr>
              <w:t>Hedonic motivation</w:t>
            </w:r>
            <w:r>
              <w:rPr>
                <w:rFonts w:ascii="Times New Roman" w:hAnsi="Times New Roman"/>
                <w:sz w:val="19"/>
                <w:color w:val="000000"/>
              </w:rPr>
              <w:t xml:space="preserve">; Y: </w:t>
            </w:r>
            <w:r>
              <w:rPr>
                <w:rFonts w:ascii="Times New Roman" w:hAnsi="Times New Roman"/>
                <w:i/>
                <w:sz w:val="19"/>
                <w:color w:val="000000"/>
              </w:rPr>
              <w:t>Impulse buying</w:t>
            </w:r>
            <w:r>
              <w:rPr>
                <w:rFonts w:ascii="Times New Roman" w:hAnsi="Times New Roman"/>
                <w:sz w:val="19"/>
                <w:color w:val="000000"/>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Motivasi hedonis berkorelasi positif signifikan dengan perilaku belanja impulsif konsumen muda.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Tangney, Baumeister, &amp; Boone (2004)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High Self-Control Predicts Good Adjustment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Trait self-control</w:t>
            </w:r>
            <w:r>
              <w:rPr>
                <w:rFonts w:ascii="Times New Roman" w:hAnsi="Times New Roman"/>
                <w:sz w:val="19"/>
                <w:color w:val="000000"/>
              </w:rPr>
              <w:t>; Skala BSCS; Validasi psikometri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Mengembangkan skala kontrol diri baku; individu kontrol diri tinggi mampu menunda kepuasan.</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Data diolah dari publikasi jurnal ilmiah bereputasi (2026).</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2.4 Pengembangan Hipotesis</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 xml:space="preserve">2.4.1 Pengaruh </w:t>
      </w:r>
      <w:r>
        <w:rPr>
          <w:b/>
          <w:i/>
          <w:color w:val="000000"/>
          <w:sz w:val="24"/>
          <w:rFonts w:ascii="Times New Roman" w:hAnsi="Times New Roman" w:cs="Times New Roman"/>
        </w:rPr>
        <w:t>Hedonic Motivation</w:t>
      </w:r>
      <w:r>
        <w:rPr>
          <w:b/>
          <w:i w:val="0"/>
          <w:color w:val="000000"/>
          <w:sz w:val="24"/>
          <w:rFonts w:ascii="Times New Roman" w:hAnsi="Times New Roman" w:cs="Times New Roman"/>
        </w:rPr>
        <w:t xml:space="preserve"> terhadap </w:t>
      </w:r>
      <w:r>
        <w:rPr>
          <w:b/>
          <w:i/>
          <w:color w:val="000000"/>
          <w:sz w:val="24"/>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Model S-O-R </w:t>
      </w:r>
      <w:hyperlink w:anchor="Ref_mehrabian1974approach" w:history="1">
        <w:r>
          <w:t xml:space="preserve">(Mehrabian dan Russell, 1974)</w:t>
        </w:r>
      </w:hyperlink>
      <w:r>
        <w:rPr>
          <w:color w:val="000000"/>
          <w:rFonts w:ascii="Times New Roman" w:hAnsi="Times New Roman" w:cs="Times New Roman"/>
        </w:rPr>
        <w:t xml:space="preserve"> dan teori konsumsi pengalaman </w:t>
      </w:r>
      <w:hyperlink w:anchor="Ref_hirschman1982hedonic" w:history="1">
        <w:r>
          <w:t xml:space="preserve">(Hirschman dan Holbrook, 1982)</w:t>
        </w:r>
      </w:hyperlink>
      <w:r>
        <w:rPr>
          <w:color w:val="000000"/>
          <w:rFonts w:ascii="Times New Roman" w:hAnsi="Times New Roman"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1994)</w:t>
        </w:r>
      </w:hyperlink>
      <w:r>
        <w:rPr>
          <w:color w:val="000000"/>
          <w:rFonts w:ascii="Times New Roman" w:hAnsi="Times New Roman" w:cs="Times New Roman"/>
        </w:rPr>
        <w:t xml:space="preserve">.</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Bukti empiris terkini dari </w:t>
      </w:r>
      <w:hyperlink w:anchor="Ref_pranggabayu2022pengaruh" w:history="1">
        <w:r>
          <w:t xml:space="preserve">Pranggabayu dan Andjarwati (2022)</w:t>
        </w:r>
      </w:hyperlink>
      <w:r>
        <w:rPr>
          <w:color w:val="000000"/>
          <w:rFonts w:ascii="Times New Roman" w:hAnsi="Times New Roman" w:cs="Times New Roman"/>
        </w:rPr>
        <w:t xml:space="preserve">, </w:t>
      </w:r>
      <w:hyperlink w:anchor="Ref_azizah2025exploring" w:history="1">
        <w:r>
          <w:t xml:space="preserve">Azizah dan Fauzi (2025)</w:t>
        </w:r>
      </w:hyperlink>
      <w:r>
        <w:rPr>
          <w:color w:val="000000"/>
          <w:rFonts w:ascii="Times New Roman" w:hAnsi="Times New Roman" w:cs="Times New Roman"/>
        </w:rPr>
        <w:t xml:space="preserve">, serta </w:t>
      </w:r>
      <w:hyperlink w:anchor="Ref_artadita2024how" w:history="1">
        <w:r>
          <w:t xml:space="preserve">Artadita dan Firmialy (2024)</w:t>
        </w:r>
      </w:hyperlink>
      <w:r>
        <w:rPr>
          <w:color w:val="000000"/>
          <w:rFonts w:ascii="Times New Roman" w:hAnsi="Times New Roman" w:cs="Times New Roman"/>
        </w:rPr>
        <w:t xml:space="preserve"> pada konsumen Indonesia menunjukkan bahwa motivasi hedonis dan kenikmatan berbelanja (</w:t>
      </w:r>
      <w:r>
        <w:rPr>
          <w:b w:val="0"/>
          <w:i/>
          <w:sz w:val="24"/>
          <w:color w:val="000000"/>
          <w:rFonts w:ascii="Times New Roman" w:hAnsi="Times New Roman" w:cs="Times New Roman"/>
        </w:rPr>
        <w:t>shopping enjoyment</w:t>
      </w:r>
      <w:r>
        <w:rPr>
          <w:b w:val="0"/>
          <w:i w:val="0"/>
          <w:sz w:val="24"/>
          <w:color w:val="000000"/>
          <w:rFonts w:ascii="Times New Roman" w:hAnsi="Times New Roman" w:cs="Times New Roman"/>
        </w:rPr>
        <w:t xml:space="preserve">) berpengaruh positif signifikan terhadap perilaku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Kemasan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pPr>
        <w:spacing w:line="360" w:lineRule="auto" w:before="0" w:after="0"/>
        <w:ind w:firstLine="709"/>
        <w:jc w:val="both"/>
      </w:pPr>
      <w:r>
        <w:rPr>
          <w:b/>
          <w:i w:val="0"/>
          <w:sz w:val="24"/>
          <w:color w:val="000000"/>
          <w:rFonts w:ascii="Times New Roman" w:hAnsi="Times New Roman" w:cs="Times New Roman"/>
        </w:rPr>
        <w:t xml:space="preserve">H1: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kartu Pokémon TCG.</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 xml:space="preserve">2.4.2 Pengaruh </w:t>
      </w:r>
      <w:r>
        <w:rPr>
          <w:b/>
          <w:i/>
          <w:color w:val="000000"/>
          <w:sz w:val="24"/>
          <w:rFonts w:ascii="Times New Roman" w:hAnsi="Times New Roman" w:cs="Times New Roman"/>
        </w:rPr>
        <w:t>Desire for Completeness</w:t>
      </w:r>
      <w:r>
        <w:rPr>
          <w:b/>
          <w:i w:val="0"/>
          <w:color w:val="000000"/>
          <w:sz w:val="24"/>
          <w:rFonts w:ascii="Times New Roman" w:hAnsi="Times New Roman" w:cs="Times New Roman"/>
        </w:rPr>
        <w:t xml:space="preserve"> terhadap </w:t>
      </w:r>
      <w:r>
        <w:rPr>
          <w:b/>
          <w:i/>
          <w:color w:val="000000"/>
          <w:sz w:val="24"/>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Titik berangkatnya adalah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w:t>
      </w:r>
      <w:hyperlink w:anchor="Ref_zeigarnik1927behalten" w:history="1">
        <w:r>
          <w:t xml:space="preserve">(Zeigarnik, 1927)</w:t>
        </w:r>
      </w:hyperlink>
      <w:r>
        <w:rPr>
          <w:color w:val="000000"/>
          <w:rFonts w:ascii="Times New Roman" w:hAnsi="Times New Roman" w:cs="Times New Roman"/>
        </w:rPr>
        <w:t xml:space="preserve"> dan </w:t>
      </w:r>
      <w:r>
        <w:rPr>
          <w:b w:val="0"/>
          <w:i/>
          <w:sz w:val="24"/>
          <w:color w:val="000000"/>
          <w:rFonts w:ascii="Times New Roman" w:hAnsi="Times New Roman" w:cs="Times New Roman"/>
        </w:rPr>
        <w:t>collection-goal tipping point effect</w:t>
      </w:r>
      <w:r>
        <w:rPr>
          <w:b w:val="0"/>
          <w:i w:val="0"/>
          <w:sz w:val="24"/>
          <w:color w:val="000000"/>
          <w:rFonts w:ascii="Times New Roman" w:hAnsi="Times New Roman" w:cs="Times New Roman"/>
        </w:rPr>
        <w:t xml:space="preserve">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manusia memiliki resistensi alami terhadap ketidaktuntasan (</w:t>
      </w:r>
      <w:r>
        <w:rPr>
          <w:b w:val="0"/>
          <w:i/>
          <w:sz w:val="24"/>
          <w:color w:val="000000"/>
          <w:rFonts w:ascii="Times New Roman" w:hAnsi="Times New Roman" w:cs="Times New Roman"/>
        </w:rPr>
        <w:t>aversion to incompleteness</w:t>
      </w:r>
      <w:r>
        <w:rPr>
          <w:b w:val="0"/>
          <w:i w:val="0"/>
          <w:sz w:val="24"/>
          <w:color w:val="000000"/>
          <w:rFonts w:ascii="Times New Roman" w:hAnsi="Times New Roman" w:cs="Times New Roman"/>
        </w:rPr>
        <w:t xml:space="preserve">). Celah dalam suatu himpunan menciptakan ketegangan kognitif yang mendesak tindakan penyelesaian (</w:t>
      </w:r>
      <w:hyperlink w:anchor="Ref_belk1995collecting" w:history="1">
        <w:r>
          <w:t xml:space="preserve">Belk, 1995</w:t>
        </w:r>
      </w:hyperlink>
      <w:r>
        <w:rPr>
          <w:color w:val="000000"/>
          <w:rFonts w:ascii="Times New Roman" w:hAnsi="Times New Roman" w:cs="Times New Roman"/>
        </w:rPr>
        <w:t xml:space="preserve">; </w:t>
      </w:r>
      <w:hyperlink w:anchor="Ref_barasz2017pseudo" w:history="1">
        <w:r>
          <w:t xml:space="preserve">Barasz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2017</w:t>
        </w:r>
      </w:hyperlink>
      <w:r>
        <w:rPr>
          <w:color w:val="000000"/>
          <w:rFonts w:ascii="Times New Roman" w:hAnsi="Times New Roman" w:cs="Times New Roman"/>
        </w:rPr>
        <w:t xml:space="preserve">).</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Selain temuan seminal </w:t>
      </w:r>
      <w:hyperlink w:anchor="Ref_gao2014completing" w:history="1">
        <w:r>
          <w:t xml:space="preserve">Gao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(2014)</w:t>
        </w:r>
      </w:hyperlink>
      <w:r>
        <w:rPr>
          <w:color w:val="000000"/>
          <w:rFonts w:ascii="Times New Roman" w:hAnsi="Times New Roman" w:cs="Times New Roman"/>
        </w:rPr>
        <w:t xml:space="preserve">, riset empiris mutakhir pada produk berkemasan acak (</w:t>
      </w:r>
      <w:r>
        <w:rPr>
          <w:b w:val="0"/>
          <w:i/>
          <w:sz w:val="24"/>
          <w:color w:val="000000"/>
          <w:rFonts w:ascii="Times New Roman" w:hAnsi="Times New Roman" w:cs="Times New Roman"/>
        </w:rPr>
        <w:t>blind-box</w:t>
      </w:r>
      <w:r>
        <w:rPr>
          <w:b w:val="0"/>
          <w:i w:val="0"/>
          <w:sz w:val="24"/>
          <w:color w:val="000000"/>
          <w:rFonts w:ascii="Times New Roman" w:hAnsi="Times New Roman" w:cs="Times New Roman"/>
        </w:rPr>
        <w:t xml:space="preserve">) oleh </w:t>
      </w:r>
      <w:hyperlink w:anchor="Ref_gong2024unveiling" w:history="1">
        <w:r>
          <w:t xml:space="preserve">Gong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(2024)</w:t>
        </w:r>
      </w:hyperlink>
      <w:r>
        <w:rPr>
          <w:color w:val="000000"/>
          <w:rFonts w:ascii="Times New Roman" w:hAnsi="Times New Roman" w:cs="Times New Roman"/>
        </w:rPr>
        <w:t xml:space="preserve"> (responden China) serta </w:t>
      </w:r>
      <w:hyperlink w:anchor="Ref_dewi2026understanding" w:history="1">
        <w:r>
          <w:t xml:space="preserve">Dewi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(2026)</w:t>
        </w:r>
      </w:hyperlink>
      <w:r>
        <w:rPr>
          <w:color w:val="000000"/>
          <w:rFonts w:ascii="Times New Roman" w:hAnsi="Times New Roman" w:cs="Times New Roman"/>
        </w:rPr>
        <w:t xml:space="preserve"> (Generasi Z Indonesia) menunjukkan bahwa mekanisme kejutan kemasan, persepsi kelangkaan (</w:t>
      </w:r>
      <w:r>
        <w:rPr>
          <w:b w:val="0"/>
          <w:i/>
          <w:sz w:val="24"/>
          <w:color w:val="000000"/>
          <w:rFonts w:ascii="Times New Roman" w:hAnsi="Times New Roman" w:cs="Times New Roman"/>
        </w:rPr>
        <w:t>scarcity</w:t>
      </w:r>
      <w:r>
        <w:rPr>
          <w:b w:val="0"/>
          <w:i w:val="0"/>
          <w:sz w:val="24"/>
          <w:color w:val="000000"/>
          <w:rFonts w:ascii="Times New Roman" w:hAnsi="Times New Roman" w:cs="Times New Roman"/>
        </w:rPr>
        <w:t xml:space="preserve">), dan hasrat menuntaskan seri koleksi menjadi pemicu pembelian impulsif yang agresif pada Generasi Z; bukti domestik Indonesia ditopang oleh </w:t>
      </w:r>
      <w:hyperlink w:anchor="Ref_dewi2026understanding" w:history="1">
        <w:r>
          <w:t xml:space="preserve">Dewi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(2026)</w:t>
        </w:r>
      </w:hyperlink>
      <w:r>
        <w:rPr>
          <w:color w:val="000000"/>
          <w:rFonts w:ascii="Times New Roman" w:hAnsi="Times New Roman" w:cs="Times New Roman"/>
        </w:rPr>
        <w:t xml:space="preserve">.</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Setiap seri kartu Pokémon dirilis dengan daftar periksa (</w:t>
      </w:r>
      <w:r>
        <w:rPr>
          <w:b w:val="0"/>
          <w:i/>
          <w:sz w:val="24"/>
          <w:color w:val="000000"/>
          <w:rFonts w:ascii="Times New Roman" w:hAnsi="Times New Roman" w:cs="Times New Roman"/>
        </w:rPr>
        <w:t>set checklist</w:t>
      </w:r>
      <w:r>
        <w:rPr>
          <w:b w:val="0"/>
          <w:i w:val="0"/>
          <w:sz w:val="24"/>
          <w:color w:val="000000"/>
          <w:rFonts w:ascii="Times New Roman" w:hAnsi="Times New Roman" w:cs="Times New Roman"/>
        </w:rPr>
        <w:t xml:space="preserve">) bernomor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visual yang kuat untuk menuntaskan set secara utuh. Desakan menutup celah kosong ini membuat kolektor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terburu-buru dan spontan saat berada di toko ritel.</w:t>
      </w:r>
    </w:p>
    <w:p>
      <w:pPr>
        <w:spacing w:line="360" w:lineRule="auto" w:before="0" w:after="0"/>
        <w:ind w:firstLine="709"/>
        <w:jc w:val="both"/>
      </w:pPr>
      <w:r>
        <w:rPr>
          <w:b/>
          <w:i w:val="0"/>
          <w:sz w:val="24"/>
          <w:color w:val="000000"/>
          <w:rFonts w:ascii="Times New Roman" w:hAnsi="Times New Roman" w:cs="Times New Roman"/>
        </w:rPr>
        <w:t xml:space="preserve">H2: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kartu Pokémon TCG.</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 xml:space="preserve">2.4.3 Pengaruh </w:t>
      </w:r>
      <w:r>
        <w:rPr>
          <w:b/>
          <w:i/>
          <w:color w:val="000000"/>
          <w:sz w:val="24"/>
          <w:rFonts w:ascii="Times New Roman" w:hAnsi="Times New Roman" w:cs="Times New Roman"/>
        </w:rPr>
        <w:t>Speculative Motive</w:t>
      </w:r>
      <w:r>
        <w:rPr>
          <w:b/>
          <w:i w:val="0"/>
          <w:color w:val="000000"/>
          <w:sz w:val="24"/>
          <w:rFonts w:ascii="Times New Roman" w:hAnsi="Times New Roman" w:cs="Times New Roman"/>
        </w:rPr>
        <w:t xml:space="preserve"> terhadap </w:t>
      </w:r>
      <w:r>
        <w:rPr>
          <w:b/>
          <w:i/>
          <w:color w:val="000000"/>
          <w:sz w:val="24"/>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Logika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w:t>
      </w:r>
      <w:hyperlink w:anchor="Ref_kahneman1979prospect" w:history="1">
        <w:r>
          <w:t xml:space="preserve">Kahneman dan Tversky, 1979</w:t>
        </w:r>
      </w:hyperlink>
      <w:r>
        <w:rPr>
          <w:color w:val="000000"/>
          <w:rFonts w:ascii="Times New Roman" w:hAnsi="Times New Roman" w:cs="Times New Roman"/>
        </w:rPr>
        <w:t xml:space="preserve">; </w:t>
      </w:r>
      <w:hyperlink w:anchor="Ref_shiller2000irrational" w:history="1">
        <w:r>
          <w:t xml:space="preserve">Shiller, 2000</w:t>
        </w:r>
      </w:hyperlink>
      <w:r>
        <w:rPr>
          <w:color w:val="000000"/>
          <w:rFonts w:ascii="Times New Roman" w:hAnsi="Times New Roman" w:cs="Times New Roman"/>
        </w:rPr>
        <w:t xml:space="preserve">) menempatkan motif spekulasi sebagai keputusan pembelian yang dipandu ekspektasi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Pelaku pasar kerap terjangkit bias optimisme berlebihan dan kesesatan berpikir penjudi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xml:space="preserve">), melebih-lebihkan peluang menarik aset bernilai tinggi dari modal kecil. Analogi pasar saham </w:t>
      </w:r>
      <w:hyperlink w:anchor="Ref_barber2008all" w:history="1">
        <w:r>
          <w:t xml:space="preserve">(Barber dan Odean, 2008)</w:t>
        </w:r>
      </w:hyperlink>
      <w:r>
        <w:rPr>
          <w:color w:val="000000"/>
          <w:rFonts w:ascii="Times New Roman" w:hAnsi="Times New Roman" w:cs="Times New Roman"/>
        </w:rPr>
        <w:t xml:space="preserve"> dibaca sebagai lensa kontra-teoritis (atensi berlebih pada saham), bukan bukti langsung pada kolektibel.</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w:t>
      </w:r>
      <w:hyperlink w:anchor="Ref_aryadi2024personal" w:history="1">
        <w:r>
          <w:t xml:space="preserve">Aryadi dan Lingga (2026)</w:t>
        </w:r>
      </w:hyperlink>
      <w:r>
        <w:rPr>
          <w:color w:val="000000"/>
          <w:rFonts w:ascii="Times New Roman" w:hAnsi="Times New Roman" w:cs="Times New Roman"/>
        </w:rPr>
        <w:t xml:space="preserve"> melaporkan bahwa komunitas penggemar permainan kartu koleksi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di wilayah Jabodetabek memiliki motif spekulasi finansial kuat yang memandang kartu sebagai aset alternatif investasi (catatan: Y=keputusan partisipasi investasi, regresi logistik biner n=158, dipakai sebagai analogi aset alternatif, bukan Y=</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langsung). Sementara itu, </w:t>
      </w:r>
      <w:hyperlink w:anchor="Ref_colline2024biases" w:history="1">
        <w:r>
          <w:t xml:space="preserve">Colline (2024)</w:t>
        </w:r>
      </w:hyperlink>
      <w:r>
        <w:rPr>
          <w:color w:val="000000"/>
          <w:rFonts w:ascii="Times New Roman" w:hAnsi="Times New Roman" w:cs="Times New Roman"/>
        </w:rPr>
        <w:t xml:space="preserve"> mendokumentasikan kuatnya bias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xml:space="preserve"> (ikut-ikutan), </w:t>
      </w:r>
      <w:r>
        <w:rPr>
          <w:b w:val="0"/>
          <w:i/>
          <w:sz w:val="24"/>
          <w:color w:val="000000"/>
          <w:rFonts w:ascii="Times New Roman" w:hAnsi="Times New Roman" w:cs="Times New Roman"/>
        </w:rPr>
        <w:t>loss aversion</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disposition effect</w:t>
      </w:r>
      <w:r>
        <w:rPr>
          <w:b w:val="0"/>
          <w:i w:val="0"/>
          <w:sz w:val="24"/>
          <w:color w:val="000000"/>
          <w:rFonts w:ascii="Times New Roman" w:hAnsi="Times New Roman" w:cs="Times New Roman"/>
        </w:rPr>
        <w:t xml:space="preserve"> pada investor Indonesia melalui studi kualitatif wawancara mendalam (n=5 informan) — dipakai sebagai analogi perilaku bias di pasar aset, bukan bukti Y=</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langsung.</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Disparitas harga antara harga resmi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(Rp20.000–Rp30.000) dan potensi nilai kartu langka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(ratusan ribu hingga puluhan juta rupiah menurut pantauan pasar sekunder </w:t>
      </w:r>
      <w:hyperlink w:anchor="Ref_pricecharting2024" w:history="1">
        <w:r>
          <w:t xml:space="preserve">(PriceCharting, 2024)</w:t>
        </w:r>
      </w:hyperlink>
      <w:r>
        <w:rPr>
          <w:color w:val="000000"/>
          <w:rFonts w:ascii="Times New Roman" w:hAnsi="Times New Roman" w:cs="Times New Roman"/>
        </w:rPr>
        <w:t xml:space="preserve">) melahirkan ilusi keuntungan instan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Persepsi ini melumpuhkan kehati-hatian finansial dan memicu aksi borong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secara spontan.</w:t>
      </w:r>
    </w:p>
    <w:p>
      <w:pPr>
        <w:spacing w:line="360" w:lineRule="auto" w:before="0" w:after="0"/>
        <w:ind w:firstLine="709"/>
        <w:jc w:val="both"/>
      </w:pPr>
      <w:r>
        <w:rPr>
          <w:b/>
          <w:i w:val="0"/>
          <w:sz w:val="24"/>
          <w:color w:val="000000"/>
          <w:rFonts w:ascii="Times New Roman" w:hAnsi="Times New Roman" w:cs="Times New Roman"/>
        </w:rPr>
        <w:t xml:space="preserve">H3: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kartu Pokémon TCG.</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 xml:space="preserve">2.4.4 Pengaruh Moderasi </w:t>
      </w:r>
      <w:r>
        <w:rPr>
          <w:b/>
          <w:i/>
          <w:color w:val="000000"/>
          <w:sz w:val="24"/>
          <w:rFonts w:ascii="Times New Roman" w:hAnsi="Times New Roman" w:cs="Times New Roman"/>
        </w:rPr>
        <w:t>Self-Control</w:t>
      </w:r>
      <w:r>
        <w:rPr>
          <w:b/>
          <w:i w:val="0"/>
          <w:color w:val="000000"/>
          <w:sz w:val="24"/>
          <w:rFonts w:ascii="Times New Roman" w:hAnsi="Times New Roman" w:cs="Times New Roman"/>
        </w:rPr>
        <w:t xml:space="preserve"> terhadap Hubungan </w:t>
      </w:r>
      <w:r>
        <w:rPr>
          <w:b/>
          <w:i/>
          <w:color w:val="000000"/>
          <w:sz w:val="24"/>
          <w:rFonts w:ascii="Times New Roman" w:hAnsi="Times New Roman" w:cs="Times New Roman"/>
        </w:rPr>
        <w:t>Hedonic Motivation</w:t>
      </w:r>
      <w:r>
        <w:rPr>
          <w:b/>
          <w:i w:val="0"/>
          <w:color w:val="000000"/>
          <w:sz w:val="24"/>
          <w:rFonts w:ascii="Times New Roman" w:hAnsi="Times New Roman" w:cs="Times New Roman"/>
        </w:rPr>
        <w:t xml:space="preserve"> dan </w:t>
      </w:r>
      <w:r>
        <w:rPr>
          <w:b/>
          <w:i/>
          <w:color w:val="000000"/>
          <w:sz w:val="24"/>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w:t>
      </w:r>
      <w:hyperlink w:anchor="Ref_baumeister2002yield" w:history="1">
        <w:r>
          <w:t xml:space="preserve">(Baumeister, 2002)</w:t>
        </w:r>
      </w:hyperlink>
      <w:r>
        <w:rPr>
          <w:color w:val="000000"/>
          <w:rFonts w:ascii="Times New Roman" w:hAnsi="Times New Roman" w:cs="Times New Roman"/>
        </w:rPr>
        <w:t xml:space="preserve"> dan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w:t>
      </w:r>
      <w:hyperlink w:anchor="Ref_thaler1981economic" w:history="1">
        <w:r>
          <w:t xml:space="preserve">(Thaler dan Shefrin, 1981)</w:t>
        </w:r>
      </w:hyperlink>
      <w:r>
        <w:rPr>
          <w:color w:val="000000"/>
          <w:rFonts w:ascii="Times New Roman" w:hAnsi="Times New Roman" w:cs="Times New Roman"/>
        </w:rPr>
        <w:t xml:space="preserve"> menjelaskan bahwa dorongan hedonis sesaat (</w:t>
      </w:r>
      <w:r>
        <w:rPr>
          <w:b w:val="0"/>
          <w:i/>
          <w:sz w:val="24"/>
          <w:color w:val="000000"/>
          <w:rFonts w:ascii="Times New Roman" w:hAnsi="Times New Roman" w:cs="Times New Roman"/>
        </w:rPr>
        <w:t>doer</w:t>
      </w:r>
      <w:r>
        <w:rPr>
          <w:b w:val="0"/>
          <w:i w:val="0"/>
          <w:sz w:val="24"/>
          <w:color w:val="000000"/>
          <w:rFonts w:ascii="Times New Roman" w:hAnsi="Times New Roman" w:cs="Times New Roman"/>
        </w:rPr>
        <w:t>) dapat dinetralkan oleh kapasitas kontrol diri volisional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xml:space="preserve">). Kontrol diri memungkinkan individu menolak godaan sensorik dan menunda kepuasan demi tujuan finansial jangka panjang </w:t>
      </w:r>
      <w:hyperlink w:anchor="Ref_tangney2004high" w:history="1">
        <w:r>
          <w:t xml:space="preserve">(Tangney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2004)</w:t>
        </w:r>
      </w:hyperlink>
      <w:r>
        <w:rPr>
          <w:color w:val="000000"/>
          <w:rFonts w:ascii="Times New Roman" w:hAnsi="Times New Roman" w:cs="Times New Roman"/>
        </w:rPr>
        <w:t xml:space="preserve">. Dalam perspektif statistik moderasi, efek interaksi negatif (β₅ &lt; 0) menunjukkan bahwa kemiringan pengaruh (</w:t>
      </w:r>
      <w:r>
        <w:rPr>
          <w:b w:val="0"/>
          <w:i/>
          <w:sz w:val="24"/>
          <w:color w:val="000000"/>
          <w:rFonts w:ascii="Times New Roman" w:hAnsi="Times New Roman" w:cs="Times New Roman"/>
        </w:rPr>
        <w:t>conditional slope</w:t>
      </w:r>
      <w:r>
        <w:rPr>
          <w:b w:val="0"/>
          <w:i w:val="0"/>
          <w:sz w:val="24"/>
          <w:color w:val="000000"/>
          <w:rFonts w:ascii="Times New Roman" w:hAnsi="Times New Roman" w:cs="Times New Roman"/>
        </w:rPr>
        <w:t>) motivasi hedonis terhadap pembelian impulsif (∂Y/∂X₁</w:t>
      </w:r>
      <w:r>
        <w:rPr>
          <w:b w:val="0"/>
          <w:i/>
          <w:sz w:val="24"/>
          <w:color w:val="000000"/>
          <w:rFonts w:ascii="Times New Roman" w:hAnsi="Times New Roman" w:cs="Times New Roman"/>
        </w:rPr>
        <w:t xml:space="preserve"> = β₁ + β₅M</w:t>
      </w:r>
      <w:r>
        <w:rPr>
          <w:b w:val="0"/>
          <w:i w:val="0"/>
          <w:sz w:val="24"/>
          <w:color w:val="000000"/>
          <w:rFonts w:ascii="Times New Roman" w:hAnsi="Times New Roman" w:cs="Times New Roman"/>
        </w:rPr>
        <w:t>) akan semakin melemah atau teredam seiring dengan meningkatnya kontrol diri individu.</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Bukti moderasi langsung berasal dari </w:t>
      </w:r>
      <w:hyperlink w:anchor="Ref_lienardy2026role" w:history="1">
        <w:r>
          <w:t xml:space="preserve">Lienardy dan Panasea (2026)</w:t>
        </w:r>
      </w:hyperlink>
      <w:r>
        <w:rPr>
          <w:color w:val="000000"/>
          <w:rFonts w:ascii="Times New Roman" w:hAnsi="Times New Roman" w:cs="Times New Roman"/>
        </w:rPr>
        <w:t xml:space="preserve"> yang membuktikan melalui MRA bahwa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secara signifikan memoderasi dan memperlemah pengaruh perilaku hedonis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(H4 diterima; n=160 konsumen Shopee Denpasar). Dukungan tak langsung datang dari </w:t>
      </w:r>
      <w:hyperlink w:anchor="Ref_katauke2023financial" w:history="1">
        <w:r>
          <w:t xml:space="preserve">Katauke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(2023)</w:t>
        </w:r>
      </w:hyperlink>
      <w:r>
        <w:rPr>
          <w:color w:val="000000"/>
          <w:rFonts w:ascii="Times New Roman" w:hAnsi="Times New Roman" w:cs="Times New Roman"/>
        </w:rPr>
        <w:t xml:space="preserve"> bahwa kapasitas literasi finansial (proksi pengambilan keputusan rasional) berhubungan negatif dengan impulsivitas diskonto hiperbolik. Sebaliknya, </w:t>
      </w:r>
      <w:hyperlink w:anchor="Ref_apidana2022peran" w:history="1">
        <w:r>
          <w:t xml:space="preserve">Apidana dan Kholifah (2022)</w:t>
        </w:r>
      </w:hyperlink>
      <w:r>
        <w:rPr>
          <w:color w:val="000000"/>
          <w:rFonts w:ascii="Times New Roman" w:hAnsi="Times New Roman" w:cs="Times New Roman"/>
        </w:rPr>
        <w:t xml:space="preserve"> justru menemukan interaksi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TIDAK signifikan (p=0,597; H3 ditolak) dan </w:t>
      </w:r>
      <w:hyperlink w:anchor="Ref_artadita2024how" w:history="1">
        <w:r>
          <w:t xml:space="preserve">Artadita dan Firmialy (2024)</w:t>
        </w:r>
      </w:hyperlink>
      <w:r>
        <w:rPr>
          <w:color w:val="000000"/>
          <w:rFonts w:ascii="Times New Roman" w:hAnsi="Times New Roman" w:cs="Times New Roman"/>
        </w:rPr>
        <w:t xml:space="preserve"> menemukan efek moderasi TIDAK signifikan (β=0{,}092, n.s.) — keduanya dicatat sebagai bukti gagal-moderasi pada Subjek 5B, bukan pendukung H4.</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pPr>
        <w:spacing w:line="360" w:lineRule="auto" w:before="0" w:after="0"/>
        <w:ind w:firstLine="709"/>
        <w:jc w:val="both"/>
      </w:pPr>
      <w:r>
        <w:rPr>
          <w:b/>
          <w:i w:val="0"/>
          <w:sz w:val="24"/>
          <w:color w:val="000000"/>
          <w:rFonts w:ascii="Times New Roman" w:hAnsi="Times New Roman" w:cs="Times New Roman"/>
        </w:rPr>
        <w:t xml:space="preserve">H4: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kartu Pokémon TCG.</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 xml:space="preserve">2.4.5 Pengaruh Moderasi </w:t>
      </w:r>
      <w:r>
        <w:rPr>
          <w:b/>
          <w:i/>
          <w:color w:val="000000"/>
          <w:sz w:val="24"/>
          <w:rFonts w:ascii="Times New Roman" w:hAnsi="Times New Roman" w:cs="Times New Roman"/>
        </w:rPr>
        <w:t>Self-Control</w:t>
      </w:r>
      <w:r>
        <w:rPr>
          <w:b/>
          <w:i w:val="0"/>
          <w:color w:val="000000"/>
          <w:sz w:val="24"/>
          <w:rFonts w:ascii="Times New Roman" w:hAnsi="Times New Roman" w:cs="Times New Roman"/>
        </w:rPr>
        <w:t xml:space="preserve"> terhadap Hubungan </w:t>
      </w:r>
      <w:r>
        <w:rPr>
          <w:b/>
          <w:i/>
          <w:color w:val="000000"/>
          <w:sz w:val="24"/>
          <w:rFonts w:ascii="Times New Roman" w:hAnsi="Times New Roman" w:cs="Times New Roman"/>
        </w:rPr>
        <w:t>Desire for Completeness</w:t>
      </w:r>
      <w:r>
        <w:rPr>
          <w:b/>
          <w:i w:val="0"/>
          <w:color w:val="000000"/>
          <w:sz w:val="24"/>
          <w:rFonts w:ascii="Times New Roman" w:hAnsi="Times New Roman" w:cs="Times New Roman"/>
        </w:rPr>
        <w:t xml:space="preserve"> dan </w:t>
      </w:r>
      <w:r>
        <w:rPr>
          <w:b/>
          <w:i/>
          <w:color w:val="000000"/>
          <w:sz w:val="24"/>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Respon terhadap ketegangan kognitif celah koleksi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dimoderasi oleh kapasitas regulasi diri individu. Seseorang dengan kontrol diri matang mampu mentoleransi ketidaknyamanan mental tanpa meresponnya secara reaktif atau tergesa-gesa (</w:t>
      </w:r>
      <w:hyperlink w:anchor="Ref_tangney2004high" w:history="1">
        <w:r>
          <w:t xml:space="preserve">Tangney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2004</w:t>
        </w:r>
      </w:hyperlink>
      <w:r>
        <w:rPr>
          <w:color w:val="000000"/>
          <w:rFonts w:ascii="Times New Roman" w:hAnsi="Times New Roman" w:cs="Times New Roman"/>
        </w:rPr>
        <w:t xml:space="preserve">; </w:t>
      </w:r>
      <w:hyperlink w:anchor="Ref_baumeister2002yield" w:history="1">
        <w:r>
          <w:t xml:space="preserve">Baumeister, 2002</w:t>
        </w:r>
      </w:hyperlink>
      <w:r>
        <w:rPr>
          <w:color w:val="000000"/>
          <w:rFonts w:ascii="Times New Roman" w:hAnsi="Times New Roman" w:cs="Times New Roman"/>
        </w:rPr>
        <w:t xml:space="preserve">). Secara matematis, efek interaksi negatif (β₆ &lt; 0) menunjukkan kontrol diri yang tinggi menghasilkan kemiringan bersyarat (∂Y/∂X₂</w:t>
      </w:r>
      <w:r>
        <w:rPr>
          <w:b w:val="0"/>
          <w:i/>
          <w:sz w:val="24"/>
          <w:color w:val="000000"/>
          <w:rFonts w:ascii="Times New Roman" w:hAnsi="Times New Roman" w:cs="Times New Roman"/>
        </w:rPr>
        <w:t xml:space="preserve"> = β₂ + β₆M</w:t>
      </w:r>
      <w:r>
        <w:rPr>
          <w:b w:val="0"/>
          <w:i w:val="0"/>
          <w:sz w:val="24"/>
          <w:color w:val="000000"/>
          <w:rFonts w:ascii="Times New Roman" w:hAnsi="Times New Roman" w:cs="Times New Roman"/>
        </w:rPr>
        <w:t>) yang lebih landai, sejalan dengan dugaan efek peredaman (</w:t>
      </w:r>
      <w:r>
        <w:rPr>
          <w:b w:val="0"/>
          <w:i/>
          <w:sz w:val="24"/>
          <w:color w:val="000000"/>
          <w:rFonts w:ascii="Times New Roman" w:hAnsi="Times New Roman" w:cs="Times New Roman"/>
        </w:rPr>
        <w:t>buffering effect</w:t>
      </w:r>
      <w:r>
        <w:rPr>
          <w:b w:val="0"/>
          <w:i w:val="0"/>
          <w:sz w:val="24"/>
          <w:color w:val="000000"/>
          <w:rFonts w:ascii="Times New Roman" w:hAnsi="Times New Roman" w:cs="Times New Roman"/>
        </w:rPr>
        <w:t>) terhadap dorongan menuntaskan koleksi.</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Uji interaksi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secara langsung belum tersedia dalam korpus; dukungan bersifat tak langsung dan dinyatakan eksplisit sebagai demikian. Bukti parsial terdekat berasal dari </w:t>
      </w:r>
      <w:hyperlink w:anchor="Ref_artadita2024how" w:history="1">
        <w:r>
          <w:t xml:space="preserve">Artadita dan Firmialy (2024)</w:t>
        </w:r>
      </w:hyperlink>
      <w:r>
        <w:rPr>
          <w:color w:val="000000"/>
          <w:rFonts w:ascii="Times New Roman" w:hAnsi="Times New Roman"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(2023)</w:t>
        </w:r>
      </w:hyperlink>
      <w:r>
        <w:rPr>
          <w:color w:val="000000"/>
          <w:rFonts w:ascii="Times New Roman" w:hAnsi="Times New Roman" w:cs="Times New Roman"/>
        </w:rPr>
        <w:t xml:space="preserve"> bahwa kapasitas regulasi (literasi finansial) menekan impulsivitas, serta bukti MRA </w:t>
      </w:r>
      <w:hyperlink w:anchor="Ref_apidana2022peran" w:history="1">
        <w:r>
          <w:t xml:space="preserve">Apidana dan Kholifah (2022)</w:t>
        </w:r>
      </w:hyperlink>
      <w:r>
        <w:rPr>
          <w:color w:val="000000"/>
          <w:rFonts w:ascii="Times New Roman" w:hAnsi="Times New Roman" w:cs="Times New Roman"/>
        </w:rPr>
        <w:t xml:space="preserve"> bahwa kontrol diri memperlemah dorongan non-afektif (</w:t>
      </w:r>
      <w:r>
        <w:rPr>
          <w:b w:val="0"/>
          <w:i/>
          <w:sz w:val="24"/>
          <w:color w:val="000000"/>
          <w:rFonts w:ascii="Times New Roman" w:hAnsi="Times New Roman" w:cs="Times New Roman"/>
        </w:rPr>
        <w:t>shopping lifestyle</w:t>
      </w:r>
      <w:r>
        <w:rPr>
          <w:b w:val="0"/>
          <w:i w:val="0"/>
          <w:sz w:val="24"/>
          <w:color w:val="000000"/>
          <w:rFonts w:ascii="Times New Roman" w:hAnsi="Times New Roman" w:cs="Times New Roman"/>
        </w:rPr>
        <w:t xml:space="preserve">, H4 diterima, β&lt;0) — keduanya analogi, bukan uji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Kolektor yang memiliki kontrol diri tinggi menyadari bahwa membeli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acak demi mencari satu kartu spesifik yang hilang memiliki probabilitas sangat kecil dan boros biaya. Kontrol diri memampukan kolektor menahan diri dari belanja impulsif dan memilih membeli kartu lepasan (</w:t>
      </w:r>
      <w:r>
        <w:rPr>
          <w:b w:val="0"/>
          <w:i/>
          <w:sz w:val="24"/>
          <w:color w:val="000000"/>
          <w:rFonts w:ascii="Times New Roman" w:hAnsi="Times New Roman" w:cs="Times New Roman"/>
        </w:rPr>
        <w:t>singles</w:t>
      </w:r>
      <w:r>
        <w:rPr>
          <w:b w:val="0"/>
          <w:i w:val="0"/>
          <w:sz w:val="24"/>
          <w:color w:val="000000"/>
          <w:rFonts w:ascii="Times New Roman" w:hAnsi="Times New Roman" w:cs="Times New Roman"/>
        </w:rPr>
        <w:t>) di pasar sekunder secara terencana. Akibatnya, kontrol diri memperlemah pengaruh hasrat kelengkapan terhadap pembelian impulsif.</w:t>
      </w:r>
    </w:p>
    <w:p>
      <w:pPr>
        <w:spacing w:line="360" w:lineRule="auto" w:before="0" w:after="0"/>
        <w:ind w:firstLine="709"/>
        <w:jc w:val="both"/>
      </w:pPr>
      <w:r>
        <w:rPr>
          <w:b/>
          <w:i w:val="0"/>
          <w:sz w:val="24"/>
          <w:color w:val="000000"/>
          <w:rFonts w:ascii="Times New Roman" w:hAnsi="Times New Roman" w:cs="Times New Roman"/>
        </w:rPr>
        <w:t xml:space="preserve">H5: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kartu Pokémon TCG.</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 xml:space="preserve">2.4.6 Pengaruh Moderasi </w:t>
      </w:r>
      <w:r>
        <w:rPr>
          <w:b/>
          <w:i/>
          <w:color w:val="000000"/>
          <w:sz w:val="24"/>
          <w:rFonts w:ascii="Times New Roman" w:hAnsi="Times New Roman" w:cs="Times New Roman"/>
        </w:rPr>
        <w:t>Self-Control</w:t>
      </w:r>
      <w:r>
        <w:rPr>
          <w:b/>
          <w:i w:val="0"/>
          <w:color w:val="000000"/>
          <w:sz w:val="24"/>
          <w:rFonts w:ascii="Times New Roman" w:hAnsi="Times New Roman" w:cs="Times New Roman"/>
        </w:rPr>
        <w:t xml:space="preserve"> terhadap Hubungan </w:t>
      </w:r>
      <w:r>
        <w:rPr>
          <w:b/>
          <w:i/>
          <w:color w:val="000000"/>
          <w:sz w:val="24"/>
          <w:rFonts w:ascii="Times New Roman" w:hAnsi="Times New Roman" w:cs="Times New Roman"/>
        </w:rPr>
        <w:t>Speculative Motive</w:t>
      </w:r>
      <w:r>
        <w:rPr>
          <w:b/>
          <w:i w:val="0"/>
          <w:color w:val="000000"/>
          <w:sz w:val="24"/>
          <w:rFonts w:ascii="Times New Roman" w:hAnsi="Times New Roman" w:cs="Times New Roman"/>
        </w:rPr>
        <w:t xml:space="preserve"> dan </w:t>
      </w:r>
      <w:r>
        <w:rPr>
          <w:b/>
          <w:i/>
          <w:color w:val="000000"/>
          <w:sz w:val="24"/>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kontrol diri mendisiplinkan individu untuk menimbang risiko kerugian modal riil dan tidak terjebak dalam euforia transaksi spekulatif berlebihan (</w:t>
      </w:r>
      <w:hyperlink w:anchor="Ref_thaler1981economic" w:history="1">
        <w:r>
          <w:t xml:space="preserve">Thaler dan Shefrin, 1981</w:t>
        </w:r>
      </w:hyperlink>
      <w:r>
        <w:rPr>
          <w:color w:val="000000"/>
          <w:rFonts w:ascii="Times New Roman" w:hAnsi="Times New Roman" w:cs="Times New Roman"/>
        </w:rPr>
        <w:t xml:space="preserve">; </w:t>
      </w:r>
      <w:hyperlink w:anchor="Ref_barber2008all" w:history="1">
        <w:r>
          <w:t xml:space="preserve">Barber dan Odean, 2008</w:t>
        </w:r>
      </w:hyperlink>
      <w:r>
        <w:rPr>
          <w:color w:val="000000"/>
          <w:rFonts w:ascii="Times New Roman" w:hAnsi="Times New Roman" w:cs="Times New Roman"/>
        </w:rPr>
        <w:t xml:space="preserve">). Efek interaksi negatif (β₇ &lt; 0) menunjukkan pengaruh spekulasi terhadap pembelian spontan teredam secara bersyarat (∂Y/∂X₃</w:t>
      </w:r>
      <w:r>
        <w:rPr>
          <w:b w:val="0"/>
          <w:i/>
          <w:sz w:val="24"/>
          <w:color w:val="000000"/>
          <w:rFonts w:ascii="Times New Roman" w:hAnsi="Times New Roman" w:cs="Times New Roman"/>
        </w:rPr>
        <w:t xml:space="preserve"> = β₃ + β₇M</w:t>
      </w:r>
      <w:r>
        <w:rPr>
          <w:b w:val="0"/>
          <w:i w:val="0"/>
          <w:sz w:val="24"/>
          <w:color w:val="000000"/>
          <w:rFonts w:ascii="Times New Roman" w:hAnsi="Times New Roman" w:cs="Times New Roman"/>
        </w:rPr>
        <w:t>) ketika kapasitas volisional konsumen membatasi toleransi risiko spekulatif.</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Dukungan tak langsung (dinyatakan eksplisit): </w:t>
      </w:r>
      <w:hyperlink w:anchor="Ref_katauke2023financial" w:history="1">
        <w:r>
          <w:t xml:space="preserve">Katauke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(2023)</w:t>
        </w:r>
      </w:hyperlink>
      <w:r>
        <w:rPr>
          <w:color w:val="000000"/>
          <w:rFonts w:ascii="Times New Roman" w:hAnsi="Times New Roman" w:cs="Times New Roman"/>
        </w:rPr>
        <w:t xml:space="preserve"> membuktikan kapasitas literasi finansial berhubungan negatif dengan impulsivitas diskonto hiperbolik (Jepang, probit + IV) — proksi regulasi rasional, bukan uji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hyperlink w:anchor="Ref_aryadi2024personal" w:history="1">
        <w:r>
          <w:t xml:space="preserve">Aryadi dan Lingga (2026)</w:t>
        </w:r>
      </w:hyperlink>
      <w:r>
        <w:rPr>
          <w:color w:val="000000"/>
          <w:rFonts w:ascii="Times New Roman" w:hAnsi="Times New Roman" w:cs="Times New Roman"/>
        </w:rPr>
        <w:t xml:space="preserve"> dan </w:t>
      </w:r>
      <w:hyperlink w:anchor="Ref_colline2024biases" w:history="1">
        <w:r>
          <w:t xml:space="preserve">Colline (2024)</w:t>
        </w:r>
      </w:hyperlink>
      <w:r>
        <w:rPr>
          <w:color w:val="000000"/>
          <w:rFonts w:ascii="Times New Roman" w:hAnsi="Times New Roman" w:cs="Times New Roman"/>
        </w:rPr>
        <w:t xml:space="preserve"> mendokumentasikan kuatnya motif investasi koleksi (CM p=0,000) dan bias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xml:space="preserve"> investor — keduanya bukti sisi pendorong spekulasi (ranah H3), bukan bukti efek meredam kontrol diri.</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Godaan keuntungan menjual kembali kartu bersertifikat </w:t>
      </w:r>
      <w:r>
        <w:rPr>
          <w:b w:val="0"/>
          <w:i/>
          <w:sz w:val="24"/>
          <w:color w:val="000000"/>
          <w:rFonts w:ascii="Times New Roman" w:hAnsi="Times New Roman" w:cs="Times New Roman"/>
        </w:rPr>
        <w:t>grading</w:t>
      </w:r>
      <w:r>
        <w:rPr>
          <w:b w:val="0"/>
          <w:i w:val="0"/>
          <w:sz w:val="24"/>
          <w:color w:val="000000"/>
          <w:rFonts w:ascii="Times New Roman" w:hAnsi="Times New Roman" w:cs="Times New Roman"/>
        </w:rPr>
        <w:t xml:space="preserve"> PSA 10 kuat memikat. Sebaliknya, pembeli dengan kontrol diri kokoh memiliki disiplin untuk tidak menghamburkan uang secara spontan pada kemasan acak berisiko tinggi. Disiplin tersebut meredam ambisi spekulatif agar tidak bertransformasi menjadi tindakan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 xml:space="preserve">H6: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kartu Pokémon TCG.</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2.5 Rerangka Penelitian</w:t>
      </w:r>
    </w:p>
    <w:p>
      <w:pPr>
        <w:spacing w:line="360" w:lineRule="auto" w:before="0" w:after="0"/>
        <w:ind w:firstLine="709"/>
        <w:jc w:val="both"/>
      </w:pPr>
      <w:r>
        <w:rPr>
          <w:b w:val="0"/>
          <w:i w:val="0"/>
          <w:sz w:val="24"/>
          <w:color w:val="000000"/>
          <w:rFonts w:ascii="Times New Roman" w:hAnsi="Times New Roman" w:cs="Times New Roman"/>
        </w:rPr>
        <w:t>Hubungan struktural antarvariabel disajikan pada Gambar 2.1:</w:t>
      </w:r>
    </w:p>
    <w:p>
      <w:pPr>
        <w:spacing w:before="240" w:after="80"/>
        <w:ind w:firstLine="0"/>
        <w:jc w:val="center"/>
      </w:pPr>
      <w:r>
        <w:drawing>
          <wp:inline xmlns:a="http://schemas.openxmlformats.org/drawingml/2006/main" xmlns:pic="http://schemas.openxmlformats.org/drawingml/2006/picture">
            <wp:extent cx="5040000" cy="2753704"/>
            <wp:docPr id="5" name="Picture 5"/>
            <wp:cNvGraphicFramePr>
              <a:graphicFrameLocks noChangeAspect="1"/>
            </wp:cNvGraphicFramePr>
            <a:graphic>
              <a:graphicData uri="http://schemas.openxmlformats.org/drawingml/2006/picture">
                <pic:pic>
                  <pic:nvPicPr>
                    <pic:cNvPr id="0" name="gambar_rerangka_penelitian.png"/>
                    <pic:cNvPicPr/>
                  </pic:nvPicPr>
                  <pic:blipFill>
                    <a:blip r:embed="rId18"/>
                    <a:stretch>
                      <a:fillRect/>
                    </a:stretch>
                  </pic:blipFill>
                  <pic:spPr>
                    <a:xfrm>
                      <a:off x="0" y="0"/>
                      <a:ext cx="5040000" cy="2753704"/>
                    </a:xfrm>
                    <a:prstGeom prst="rect"/>
                  </pic:spPr>
                </pic:pic>
              </a:graphicData>
            </a:graphic>
          </wp:inline>
        </w:drawing>
      </w:r>
    </w:p>
    <w:p>
      <w:bookmarkStart w:id="1006" w:name="Cap_Gambar_2_1"/>
      <w:pPr>
        <w:spacing w:before="40" w:after="40"/>
        <w:ind w:firstLine="0"/>
        <w:jc w:val="center"/>
      </w:pPr>
      <w:r>
        <w:rPr>
          <w:b/>
          <w:color w:val="000000"/>
          <w:rFonts w:ascii="Times New Roman" w:hAnsi="Times New Roman" w:cs="Times New Roman"/>
        </w:rPr>
        <w:t>Gambar 2.1. Model Rerangka Konseptual Penelitian</w:t>
      </w:r>
      <w:bookmarkEnd w:id="1006"/>
    </w:p>
    <w:p>
      <w:pPr>
        <w:spacing w:before="0" w:after="240"/>
        <w:ind w:firstLine="0"/>
        <w:jc w:val="center"/>
      </w:pPr>
      <w:r>
        <w:rPr>
          <w:i/>
          <w:sz w:val="20"/>
          <w:color w:val="000000"/>
          <w:rFonts w:ascii="Times New Roman" w:hAnsi="Times New Roman" w:cs="Times New Roman"/>
        </w:rPr>
        <w:t>Keterangan: Garis lurus menunjukkan pengaruh langsung (H1, H2, H3); Garis putus-putus menunjukkan efek moderasi kontrol diri yang memperlemah (H4, H5, H6).</w:t>
      </w:r>
    </w:p>
    <w:p>
      <w:r>
        <w:br w:type="page"/>
      </w:r>
    </w:p>
    <w:p>
      <w:pPr>
        <w:pStyle w:val="Heading1"/>
        <w:keepNext/>
        <w:spacing w:before="0" w:after="240" w:line="360" w:lineRule="auto"/>
        <w:ind w:firstLine="0"/>
        <w:jc w:val="center"/>
        <w:outlineLvl w:val="0"/>
      </w:pPr>
      <w:r>
        <w:rPr>
          <w:b/>
          <w:i w:val="0"/>
          <w:color w:val="000000"/>
          <w:sz w:val="24"/>
          <w:rFonts w:ascii="Times New Roman" w:hAnsi="Times New Roman" w:cs="Times New Roman"/>
        </w:rPr>
        <w:t>BAB 3 METODE PENELITIAN</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3.1 Jenis dan Sumber Data</w:t>
      </w:r>
    </w:p>
    <w:p>
      <w:pPr>
        <w:spacing w:line="360" w:lineRule="auto" w:before="0" w:after="0"/>
        <w:ind w:firstLine="709"/>
        <w:jc w:val="both"/>
      </w:pPr>
      <w:r>
        <w:rPr>
          <w:b w:val="0"/>
          <w:i w:val="0"/>
          <w:sz w:val="24"/>
          <w:color w:val="000000"/>
          <w:rFonts w:ascii="Times New Roman" w:hAnsi="Times New Roman" w:cs="Times New Roman"/>
        </w:rPr>
        <w:t xml:space="preserve">Penelitian ini menguji hipotesis empiris H1–H6 mengenai hubungan struktural antarvariabel dengan pendekatan kuantitatif asosiatif dan desain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Pendekatan ini dipilih karena kerangka teoritis telah merumuskan hubungan tersebut secara eksplisit. Pengumpulan data primer dilakukan satu kali pada satu titik waktu kepada sampel responden untuk memotret fenomena yang diteliti </w:t>
      </w:r>
      <w:hyperlink w:anchor="Ref_sekaran2016research" w:history="1">
        <w:r>
          <w:t xml:space="preserve">(Sekaran dan Bougie, 2016)</w:t>
        </w:r>
      </w:hyperlink>
      <w:r>
        <w:rPr>
          <w:color w:val="000000"/>
          <w:rFonts w:ascii="Times New Roman" w:hAnsi="Times New Roman" w:cs="Times New Roman"/>
        </w:rPr>
        <w:t xml:space="preserve">.</w:t>
      </w:r>
    </w:p>
    <w:p>
      <w:pPr>
        <w:spacing w:line="360" w:lineRule="auto" w:before="0" w:after="0"/>
        <w:ind w:firstLine="709"/>
        <w:jc w:val="both"/>
      </w:pPr>
      <w:r>
        <w:rPr>
          <w:b w:val="0"/>
          <w:i w:val="0"/>
          <w:sz w:val="24"/>
          <w:color w:val="000000"/>
          <w:rFonts w:ascii="Times New Roman" w:hAnsi="Times New Roman" w:cs="Times New Roman"/>
        </w:rPr>
        <w:t>Penulis mengumpulkan data primer langsung dari responden dengan menyebarkan kuesioner daring (</w:t>
      </w:r>
      <w:r>
        <w:rPr>
          <w:b w:val="0"/>
          <w:i/>
          <w:sz w:val="24"/>
          <w:color w:val="000000"/>
          <w:rFonts w:ascii="Times New Roman" w:hAnsi="Times New Roman" w:cs="Times New Roman"/>
        </w:rPr>
        <w:t>online questionnaire</w:t>
      </w:r>
      <w:r>
        <w:rPr>
          <w:b w:val="0"/>
          <w:i w:val="0"/>
          <w:sz w:val="24"/>
          <w:color w:val="000000"/>
          <w:rFonts w:ascii="Times New Roman" w:hAnsi="Times New Roman" w:cs="Times New Roman"/>
        </w:rPr>
        <w:t xml:space="preserve">) melalui Google Forms. Kuesioner tersebut memakai pertanyaan tertutup berskala Likert 5 poin </w:t>
      </w:r>
      <w:hyperlink w:anchor="Ref_sugiyono2019metode" w:history="1">
        <w:r>
          <w:t xml:space="preserve">(Sugiyono, 2019)</w:t>
        </w:r>
      </w:hyperlink>
      <w:r>
        <w:rPr>
          <w:color w:val="000000"/>
          <w:rFonts w:ascii="Times New Roman" w:hAnsi="Times New Roman" w:cs="Times New Roman"/>
        </w:rPr>
        <w:t xml:space="preserve">, sebagaimana disajikan pada Tabel 3.1:</w:t>
      </w:r>
    </w:p>
    <w:p>
      <w:bookmarkStart w:id="1007" w:name="Cap_Tabel_3_1"/>
      <w:pPr>
        <w:keepNext/>
        <w:spacing w:line="360" w:lineRule="auto" w:before="240" w:after="80"/>
        <w:ind w:firstLine="0"/>
        <w:jc w:val="left"/>
      </w:pPr>
      <w:r>
        <w:rPr>
          <w:b/>
          <w:i w:val="0"/>
          <w:sz w:val="24"/>
          <w:color w:val="000000"/>
          <w:rFonts w:ascii="Times New Roman" w:hAnsi="Times New Roman" w:cs="Times New Roman"/>
        </w:rPr>
        <w:t>Tabel 3.1 Skala Pengukuran Likert 5 Poin</w:t>
      </w:r>
      <w:bookmarkEnd w:id="1007"/>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2646"/>
        <w:gridCol w:w="2646"/>
        <w:gridCol w:w="2646"/>
      </w:tblGrid>
      <w:tr>
        <w:trPr>
          <w:cantSplit/>
          <w:tblHeader/>
        </w:trPr>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Skor</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Pernyataan Sikap</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Singkatan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Sangat 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Netral / Ragu-ragu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Sangat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SS</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Dikembangkan untuk instrumen kuesioner penelitian, 2026.</w:t>
      </w:r>
    </w:p>
    <w:p>
      <w:pPr>
        <w:spacing w:line="360" w:lineRule="auto" w:before="0" w:after="0"/>
        <w:ind w:firstLine="709"/>
        <w:jc w:val="both"/>
      </w:pPr>
      <w:r>
        <w:rPr>
          <w:b w:val="0"/>
          <w:i w:val="0"/>
          <w:sz w:val="24"/>
          <w:color w:val="000000"/>
          <w:rFonts w:ascii="Times New Roman" w:hAnsi="Times New Roman"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3.1.1 Batasan Penelitian dan Ruang Lingkup Operasional</w:t>
      </w:r>
    </w:p>
    <w:p>
      <w:pPr>
        <w:spacing w:line="360" w:lineRule="auto" w:before="0" w:after="0"/>
        <w:ind w:firstLine="709"/>
        <w:jc w:val="both"/>
      </w:pPr>
      <w:r>
        <w:rPr>
          <w:b w:val="0"/>
          <w:i w:val="0"/>
          <w:sz w:val="24"/>
          <w:color w:val="000000"/>
          <w:rFonts w:ascii="Times New Roman" w:hAnsi="Times New Roman" w:cs="Times New Roman"/>
        </w:rPr>
        <w:t>Penelitian ini menetapkan batasan operasional sebagai berikut: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Komoditas Objek:</w:t>
      </w:r>
      <w:r>
        <w:rPr>
          <w:b w:val="0"/>
          <w:i w:val="0"/>
          <w:sz w:val="24"/>
          <w:color w:val="000000"/>
          <w:rFonts w:ascii="Times New Roman" w:hAnsi="Times New Roman" w:cs="Times New Roman"/>
        </w:rPr>
        <w:t xml:space="preserve"> Penelitian ini secara ketat dibatasi pada pembelian produk kemasan acak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fisik resmi </w:t>
      </w:r>
      <w:r>
        <w:rPr>
          <w:b w:val="0"/>
          <w:i/>
          <w:sz w:val="24"/>
          <w:color w:val="000000"/>
          <w:rFonts w:ascii="Times New Roman" w:hAnsi="Times New Roman" w:cs="Times New Roman"/>
        </w:rPr>
        <w:t>Pokémon Trading Card Game</w:t>
      </w:r>
      <w:r>
        <w:rPr>
          <w:b w:val="0"/>
          <w:i w:val="0"/>
          <w:sz w:val="24"/>
          <w:color w:val="000000"/>
          <w:rFonts w:ascii="Times New Roman" w:hAnsi="Times New Roman" w:cs="Times New Roman"/>
        </w:rPr>
        <w:t xml:space="preserve"> (Pokémon TCG) berbahasa Indonesia yang dirilis oleh The Pokémon Company / AKG Games. Penelitian ini tidak meneliti kartu permainan digital (seperti </w:t>
      </w:r>
      <w:r>
        <w:rPr>
          <w:b w:val="0"/>
          <w:i/>
          <w:sz w:val="24"/>
          <w:color w:val="000000"/>
          <w:rFonts w:ascii="Times New Roman" w:hAnsi="Times New Roman" w:cs="Times New Roman"/>
        </w:rPr>
        <w:t>Pokémon TCG Live</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Pokémon TCG Pocket</w:t>
      </w:r>
      <w:r>
        <w:rPr>
          <w:b w:val="0"/>
          <w:i w:val="0"/>
          <w:sz w:val="24"/>
          <w:color w:val="000000"/>
          <w:rFonts w:ascii="Times New Roman" w:hAnsi="Times New Roman" w:cs="Times New Roman"/>
        </w:rPr>
        <w:t>) maupun produk kartu dari waralaba lain (</w:t>
      </w:r>
      <w:r>
        <w:rPr>
          <w:b w:val="0"/>
          <w:i/>
          <w:sz w:val="24"/>
          <w:color w:val="000000"/>
          <w:rFonts w:ascii="Times New Roman" w:hAnsi="Times New Roman" w:cs="Times New Roman"/>
        </w:rPr>
        <w:t>Yu-Gi-Oh!</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Magic: The Gathering</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One Piece Card Game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Responden:</w:t>
      </w:r>
      <w:r>
        <w:rPr>
          <w:b w:val="0"/>
          <w:i w:val="0"/>
          <w:sz w:val="24"/>
          <w:color w:val="000000"/>
          <w:rFonts w:ascii="Times New Roman" w:hAnsi="Times New Roman" w:cs="Times New Roman"/>
        </w:rPr>
        <w:t xml:space="preserve"> Subjek penelitian dibatasi pada konsumen dan kolektor Warga Negara Indonesia (WNI) yang berdomisili di Indonesia, berusia minimal 17 tahun, dan memiliki riwayat pembelian aktif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fisik minimal 1 kali dalam 12 bulan terakhir (diutamakan 6 bulan terakhir untuk kesegaran recall).</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Konseptual dan Metodologis:</w:t>
      </w:r>
      <w:r>
        <w:rPr>
          <w:b w:val="0"/>
          <w:i w:val="0"/>
          <w:sz w:val="24"/>
          <w:color w:val="000000"/>
          <w:rFonts w:ascii="Times New Roman" w:hAnsi="Times New Roman" w:cs="Times New Roman"/>
        </w:rPr>
        <w:t xml:space="preserve"> Variabel yang diteliti dibatasi pada pengaruh tiga variabel independen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terhadap satu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dengan satu variabel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yang diestimasi menggunakan teknik regresi moderasi (</w:t>
      </w:r>
      <w:r>
        <w:rPr>
          <w:b w:val="0"/>
          <w:i/>
          <w:sz w:val="24"/>
          <w:color w:val="000000"/>
          <w:rFonts w:ascii="Times New Roman" w:hAnsi="Times New Roman" w:cs="Times New Roman"/>
        </w:rPr>
        <w:t>Moderated Regression Analysis</w:t>
      </w:r>
      <w:r>
        <w:rPr>
          <w:b w:val="0"/>
          <w:i w:val="0"/>
          <w:sz w:val="24"/>
          <w:color w:val="000000"/>
          <w:rFonts w:ascii="Times New Roman" w:hAnsi="Times New Roman" w:cs="Times New Roman"/>
        </w:rPr>
        <w:t xml:space="preserve"> / MRA) berbantuan perangkat lunak IBM SPSS Statistics.</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3.2 Populasi dan Sampel</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3.2.1 Populasi dan Identifikasi Sumber Komunitas</w:t>
      </w:r>
    </w:p>
    <w:p>
      <w:pPr>
        <w:spacing w:line="360" w:lineRule="auto" w:before="0" w:after="0"/>
        <w:ind w:firstLine="709"/>
        <w:jc w:val="both"/>
      </w:pPr>
      <w:r>
        <w:rPr>
          <w:b w:val="0"/>
          <w:i w:val="0"/>
          <w:sz w:val="24"/>
          <w:color w:val="000000"/>
          <w:rFonts w:ascii="Times New Roman" w:hAnsi="Times New Roman" w:cs="Times New Roman"/>
        </w:rPr>
        <w:t xml:space="preserve">Populasi penelitian ini adalah seluruh konsumen atau kolektor kartu fisik Pokémon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xml:space="preserve"> resmi berbahasa Indonesia di wilayah Republik Indonesia. Populasi ini tergolong tidak terbatas (</w:t>
      </w:r>
      <w:r>
        <w:rPr>
          <w:b w:val="0"/>
          <w:i/>
          <w:sz w:val="24"/>
          <w:color w:val="000000"/>
          <w:rFonts w:ascii="Times New Roman" w:hAnsi="Times New Roman" w:cs="Times New Roman"/>
        </w:rPr>
        <w:t>infinite / unknown population</w:t>
      </w:r>
      <w:r>
        <w:rPr>
          <w:b w:val="0"/>
          <w:i w:val="0"/>
          <w:sz w:val="24"/>
          <w:color w:val="000000"/>
          <w:rFonts w:ascii="Times New Roman" w:hAnsi="Times New Roman" w:cs="Times New Roman"/>
        </w:rPr>
        <w:t>) karena jumlah seluruh pembeli kartu tidak dapat diketahui secara pasti mengingat luasnya jaringan distribusi ritel modern di Indonesia.</w:t>
      </w:r>
    </w:p>
    <w:p>
      <w:pPr>
        <w:spacing w:line="360" w:lineRule="auto" w:before="0" w:after="0"/>
        <w:ind w:firstLine="709"/>
        <w:jc w:val="both"/>
      </w:pPr>
      <w:r>
        <w:rPr>
          <w:b w:val="0"/>
          <w:i w:val="0"/>
          <w:sz w:val="24"/>
          <w:color w:val="000000"/>
          <w:rFonts w:ascii="Times New Roman" w:hAnsi="Times New Roman" w:cs="Times New Roman"/>
        </w:rPr>
        <w:t>Keberadaan dan identifikasi populasi sasaran dalam penelitian ini bersumber dari ekosistem nyata komunitas TCG di Indonesia:</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Komunitas Toko Hobi Resmi (</w:t>
      </w:r>
      <w:r>
        <w:rPr>
          <w:b/>
          <w:i/>
          <w:sz w:val="24"/>
          <w:color w:val="000000"/>
          <w:rFonts w:ascii="Times New Roman" w:hAnsi="Times New Roman" w:cs="Times New Roman"/>
        </w:rPr>
        <w:t>Local Game Stores</w:t>
      </w:r>
      <w:r>
        <w:rPr>
          <w:b/>
          <w:i w:val="0"/>
          <w:sz w:val="24"/>
          <w:color w:val="000000"/>
          <w:rFonts w:ascii="Times New Roman" w:hAnsi="Times New Roman" w:cs="Times New Roman"/>
        </w:rPr>
        <w:t xml:space="preserve"> / LGS):</w:t>
      </w:r>
      <w:r>
        <w:rPr>
          <w:b w:val="0"/>
          <w:i w:val="0"/>
          <w:sz w:val="24"/>
          <w:color w:val="000000"/>
          <w:rFonts w:ascii="Times New Roman" w:hAnsi="Times New Roman" w:cs="Times New Roman"/>
        </w:rPr>
        <w:t xml:space="preserve"> Jaringan komunitas pemain dan kolektor terdaftar yang aktif berkegiatan di toko hobi resmi mitra AKG Games di wilayah Jabodetabek, Bandung, Surabaya, Yogyakarta, Medan, dan kota-kota besar lainnya.</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Komunitas Digital Berskala Nasional:</w:t>
      </w:r>
      <w:r>
        <w:rPr>
          <w:b w:val="0"/>
          <w:i w:val="0"/>
          <w:sz w:val="24"/>
          <w:color w:val="000000"/>
          <w:rFonts w:ascii="Times New Roman" w:hAnsi="Times New Roman" w:cs="Times New Roman"/>
        </w:rPr>
        <w:t xml:space="preserve"> Grup komunitas daring aktif, antara lain grup Facebook </w:t>
      </w:r>
      <w:r>
        <w:rPr>
          <w:b w:val="0"/>
          <w:i/>
          <w:sz w:val="24"/>
          <w:color w:val="000000"/>
          <w:rFonts w:ascii="Times New Roman" w:hAnsi="Times New Roman" w:cs="Times New Roman"/>
        </w:rPr>
        <w:t>Pokémon TCG Indonesia</w:t>
      </w:r>
      <w:r>
        <w:rPr>
          <w:b w:val="0"/>
          <w:i w:val="0"/>
          <w:sz w:val="24"/>
          <w:color w:val="000000"/>
          <w:rFonts w:ascii="Times New Roman" w:hAnsi="Times New Roman" w:cs="Times New Roman"/>
        </w:rPr>
        <w:t xml:space="preserve"> (dengan puluhan ribu anggota aktif), </w:t>
      </w:r>
      <w:r>
        <w:rPr>
          <w:b w:val="0"/>
          <w:i/>
          <w:sz w:val="24"/>
          <w:color w:val="000000"/>
          <w:rFonts w:ascii="Times New Roman" w:hAnsi="Times New Roman" w:cs="Times New Roman"/>
        </w:rPr>
        <w:t>server</w:t>
      </w:r>
      <w:r>
        <w:rPr>
          <w:b w:val="0"/>
          <w:i w:val="0"/>
          <w:sz w:val="24"/>
          <w:color w:val="000000"/>
          <w:rFonts w:ascii="Times New Roman" w:hAnsi="Times New Roman" w:cs="Times New Roman"/>
        </w:rPr>
        <w:t xml:space="preserve"> Discord komunitas pemain kartu Indonesia, serta grup lelang dan jual-beli kartu di WhatsApp dan Telegram.</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Peserta Turnamen Resmi:</w:t>
      </w:r>
      <w:r>
        <w:rPr>
          <w:b w:val="0"/>
          <w:i w:val="0"/>
          <w:sz w:val="24"/>
          <w:color w:val="000000"/>
          <w:rFonts w:ascii="Times New Roman" w:hAnsi="Times New Roman" w:cs="Times New Roman"/>
        </w:rPr>
        <w:t xml:space="preserve"> Komunitas pemain yang berpartisipasi dalam ajang kompetisi resmi seperti </w:t>
      </w:r>
      <w:r>
        <w:rPr>
          <w:b w:val="0"/>
          <w:i/>
          <w:sz w:val="24"/>
          <w:color w:val="000000"/>
          <w:rFonts w:ascii="Times New Roman" w:hAnsi="Times New Roman" w:cs="Times New Roman"/>
        </w:rPr>
        <w:t>Town League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Regional League</w:t>
      </w:r>
      <w:r>
        <w:rPr>
          <w:b w:val="0"/>
          <w:i w:val="0"/>
          <w:sz w:val="24"/>
          <w:color w:val="000000"/>
          <w:rFonts w:ascii="Times New Roman" w:hAnsi="Times New Roman" w:cs="Times New Roman"/>
        </w:rPr>
        <w:t xml:space="preserve"> yang diselenggarakan secara berkala di Indonesia.</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3.2.2 Sampel dan Justifikasi Kriteria Inklusi</w:t>
      </w:r>
    </w:p>
    <w:p>
      <w:pPr>
        <w:spacing w:line="360" w:lineRule="auto" w:before="0" w:after="0"/>
        <w:ind w:firstLine="709"/>
        <w:jc w:val="both"/>
      </w:pPr>
      <w:r>
        <w:rPr>
          <w:b w:val="0"/>
          <w:i w:val="0"/>
          <w:sz w:val="24"/>
          <w:color w:val="000000"/>
          <w:rFonts w:ascii="Times New Roman" w:hAnsi="Times New Roman" w:cs="Times New Roman"/>
        </w:rPr>
        <w:t>Penarikan sampel memakai teknik sampel bertujuan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Responden wajib memenuhi kriteria inklusi beserta justifikasi ilmiah berikut: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Warga Negara Indonesia (WNI) dan Berdomisili di Indonesia:</w:t>
      </w:r>
      <w:r>
        <w:rPr>
          <w:b w:val="0"/>
          <w:i w:val="0"/>
          <w:sz w:val="24"/>
          <w:color w:val="000000"/>
          <w:rFonts w:ascii="Times New Roman" w:hAnsi="Times New Roman" w:cs="Times New Roman"/>
        </w:rPr>
        <w:t xml:space="preserve"> Kriteria ini memastikan responden mengalami langsung dinamika ketersediaan produk kartu resmi berbahasa Indonesia serta struktur harga ritel dan pasar sekunder domestik.</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Berusia Minimal 17 Tahun pada Saat Pengisian Kuesioner:</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Aspek Kedewasaan Administratif dan Hak Sipil:</w:t>
      </w:r>
      <w:r>
        <w:rPr>
          <w:b w:val="0"/>
          <w:i w:val="0"/>
          <w:sz w:val="24"/>
          <w:color w:val="000000"/>
          <w:rFonts w:ascii="Times New Roman" w:hAnsi="Times New Roman"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b w:val="0"/>
          <w:i/>
          <w:sz w:val="24"/>
          <w:color w:val="000000"/>
          <w:rFonts w:ascii="Times New Roman" w:hAnsi="Times New Roman" w:cs="Times New Roman"/>
        </w:rPr>
        <w:t>informed consent</w:t>
      </w:r>
      <w:r>
        <w:rPr>
          <w:b w:val="0"/>
          <w:i w:val="0"/>
          <w:sz w:val="24"/>
          <w:color w:val="000000"/>
          <w:rFonts w:ascii="Times New Roman" w:hAnsi="Times New Roman" w:cs="Times New Roman"/>
        </w:rPr>
        <w:t>) secara sadar dan sukarela. Perlindungan etik: partisipasi sukarela, anonim tanpa nama, data rahasia hanya untuk akademik, responden boleh mundur kapan saja; tanpa memerlukan komite etik formal untuk survei risiko-minimal ini.</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Diskresi Keuangan Mandiri:</w:t>
      </w:r>
      <w:r>
        <w:rPr>
          <w:b w:val="0"/>
          <w:i w:val="0"/>
          <w:sz w:val="24"/>
          <w:color w:val="000000"/>
          <w:rFonts w:ascii="Times New Roman" w:hAnsi="Times New Roman"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Kapasitas Kognitif:</w:t>
      </w:r>
      <w:r>
        <w:rPr>
          <w:b w:val="0"/>
          <w:i w:val="0"/>
          <w:sz w:val="24"/>
          <w:color w:val="000000"/>
          <w:rFonts w:ascii="Times New Roman" w:hAnsi="Times New Roman" w:cs="Times New Roman"/>
        </w:rPr>
        <w:t xml:space="preserve"> Memastikan kematangan kognitif responden dalam memahami butir-butir pernyataan kuesioner ilmiah secara objektif dan bertanggung jawab.</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Pernah Membeli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Resmi Pokémon TCG Fisik Minimal 1 Kali dalam 12 Bulan Terakhir (Diutamakan 6 Bulan Terakhir untuk Kesegaran Recall):</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Pengalaman Riil Konsumsi:</w:t>
      </w:r>
      <w:r>
        <w:rPr>
          <w:b w:val="0"/>
          <w:i w:val="0"/>
          <w:sz w:val="24"/>
          <w:color w:val="000000"/>
          <w:rFonts w:ascii="Times New Roman" w:hAnsi="Times New Roman" w:cs="Times New Roman"/>
        </w:rPr>
        <w:t xml:space="preserve"> Kriteria ini memastikan responden benar-benar pernah mengalami proses pengambilan keputusan belanja di etalase toko dan merasakan sensasi membuka bungkus kartu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Bias Ingatan Retrospektif (</w:t>
      </w:r>
      <w:r>
        <w:rPr>
          <w:b w:val="0"/>
          <w:i w:val="0"/>
          <w:sz w:val="24"/>
          <w:color w:val="000000"/>
          <w:rFonts w:ascii="Times New Roman" w:hAnsi="Times New Roman" w:cs="Times New Roman"/>
        </w:rPr>
        <w:t>Recall Bias</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3.2.3 Penentuan Ukuran Sampel</w:t>
      </w:r>
    </w:p>
    <w:p>
      <w:pPr>
        <w:spacing w:line="360" w:lineRule="auto" w:before="0" w:after="0"/>
        <w:ind w:firstLine="709"/>
        <w:jc w:val="both"/>
      </w:pPr>
      <w:r>
        <w:rPr>
          <w:b w:val="0"/>
          <w:i w:val="0"/>
          <w:sz w:val="24"/>
          <w:color w:val="000000"/>
          <w:rFonts w:ascii="Times New Roman" w:hAnsi="Times New Roman" w:cs="Times New Roman"/>
        </w:rPr>
        <w:t xml:space="preserve">Ukuran sampel minimum yang dipersyaratkan adalah 111 responden, dihitung dengan formula </w:t>
      </w:r>
      <w:hyperlink w:anchor="Ref_green1991subjects" w:history="1">
        <w:r>
          <w:t xml:space="preserve">Green (1991)</w:t>
        </w:r>
      </w:hyperlink>
      <w:r>
        <w:rPr>
          <w:color w:val="000000"/>
          <w:rFonts w:ascii="Times New Roman" w:hAnsi="Times New Roman" w:cs="Times New Roman"/>
        </w:rPr>
        <w:t xml:space="preserve"> untuk analisis regresi linear berganda:</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Untuk pengujian model korelasi keseluruhan (</w:t>
      </w:r>
      <w:r>
        <w:rPr>
          <w:b w:val="0"/>
          <w:i/>
          <w:sz w:val="24"/>
          <w:color w:val="000000"/>
          <w:rFonts w:ascii="Times New Roman" w:hAnsi="Times New Roman" w:cs="Times New Roman"/>
        </w:rPr>
        <w:t>overall model</w:t>
      </w:r>
      <w:r>
        <w:rPr>
          <w:b w:val="0"/>
          <w:i w:val="0"/>
          <w:sz w:val="24"/>
          <w:color w:val="000000"/>
          <w:rFonts w:ascii="Times New Roman" w:hAnsi="Times New Roman" w:cs="Times New Roman"/>
        </w:rPr>
        <w:t>):</w:t>
      </w:r>
    </w:p>
    <w:p>
      <w:pPr>
        <w:spacing w:before="120" w:after="120" w:line="360" w:lineRule="auto"/>
        <w:jc w:val="center"/>
      </w:pPr>
      <m:oMathPara>
        <m:oMathParaPr>
          <m:jc m:val="center"/>
        </m:oMathParaPr>
        <m:oMath>
          <m:r>
            <m:t>N</m:t>
          </m:r>
          <m:r>
            <m:rPr>
              <m:sty m:val="p"/>
            </m:rPr>
            <m:t>≥</m:t>
          </m:r>
          <m:r>
            <m:t>50</m:t>
          </m:r>
          <m:r>
            <m:rPr>
              <m:sty m:val="p"/>
            </m:rPr>
            <m:t>+</m:t>
          </m:r>
          <m:r>
            <m:t>8</m:t>
          </m:r>
          <m:r>
            <m:t>k</m:t>
          </m:r>
        </m:oMath>
      </m:oMathPara>
    </w:p>
    <w:p>
      <w:pPr>
        <w:spacing w:line="360" w:lineRule="auto" w:before="0" w:after="0"/>
        <w:ind w:firstLine="709"/>
        <w:jc w:val="both"/>
      </w:pPr>
      <w:r>
        <w:rPr>
          <w:b w:val="0"/>
          <w:i w:val="0"/>
          <w:sz w:val="24"/>
          <w:color w:val="000000"/>
          <w:rFonts w:ascii="Times New Roman" w:hAnsi="Times New Roman" w:cs="Times New Roman"/>
        </w:rPr>
        <w:t xml:space="preserve">Dengan </w:t>
      </w:r>
      <w:r>
        <w:rPr>
          <w:b w:val="0"/>
          <w:i/>
          <w:sz w:val="24"/>
          <w:color w:val="000000"/>
          <w:rFonts w:ascii="Times New Roman" w:hAnsi="Times New Roman" w:cs="Times New Roman"/>
        </w:rPr>
        <w:t>k</w:t>
      </w:r>
      <w:r>
        <w:rPr>
          <w:b w:val="0"/>
          <w:i w:val="0"/>
          <w:sz w:val="24"/>
          <w:color w:val="000000"/>
          <w:rFonts w:ascii="Times New Roman" w:hAnsi="Times New Roman" w:cs="Times New Roman"/>
        </w:rPr>
        <w:t xml:space="preserve"> = 7 prediktor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maka:</w:t>
      </w:r>
    </w:p>
    <w:p>
      <w:pPr>
        <w:spacing w:before="120" w:after="120" w:line="360" w:lineRule="auto"/>
        <w:jc w:val="center"/>
      </w:pPr>
      <m:oMathPara>
        <m:oMathParaPr>
          <m:jc m:val="center"/>
        </m:oMathParaPr>
        <m:oMath>
          <m:r>
            <m:t>N</m:t>
          </m:r>
          <m:r>
            <m:rPr>
              <m:sty m:val="p"/>
            </m:rPr>
            <m:t>≥</m:t>
          </m:r>
          <m:r>
            <m:t>50</m:t>
          </m:r>
          <m:r>
            <m:rPr>
              <m:sty m:val="p"/>
            </m:rPr>
            <m:t>+</m:t>
          </m:r>
          <m:r>
            <m:t>8</m:t>
          </m:r>
          <m:r>
            <m:rPr>
              <m:sty m:val="p"/>
            </m:rPr>
            <m:t>(</m:t>
          </m:r>
          <m:r>
            <m:t>7</m:t>
          </m:r>
          <m:r>
            <m:rPr>
              <m:sty m:val="p"/>
            </m:rPr>
            <m:t>)</m:t>
          </m:r>
          <m:r>
            <m:rPr>
              <m:sty m:val="p"/>
            </m:rPr>
            <m:t>=</m:t>
          </m:r>
          <m:r>
            <m:t>50</m:t>
          </m:r>
          <m:r>
            <m:rPr>
              <m:sty m:val="p"/>
            </m:rPr>
            <m:t>+</m:t>
          </m:r>
          <m:r>
            <m:t>56</m:t>
          </m:r>
          <m:r>
            <m:rPr>
              <m:sty m:val="p"/>
            </m:rPr>
            <m:t>=</m:t>
          </m:r>
          <m:r>
            <m:t>106</m:t>
          </m:r>
          <m:r>
            <m:rPr>
              <m:nor/>
              <m:sty m:val="p"/>
            </m:rPr>
            <m:t> responden</m:t>
          </m:r>
        </m:oMath>
      </m:oMathPara>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Untuk pengujian prediktor individual (</w:t>
      </w:r>
      <w:r>
        <w:rPr>
          <w:b w:val="0"/>
          <w:i/>
          <w:sz w:val="24"/>
          <w:color w:val="000000"/>
          <w:rFonts w:ascii="Times New Roman" w:hAnsi="Times New Roman" w:cs="Times New Roman"/>
        </w:rPr>
        <w:t>individual predictors</w:t>
      </w:r>
      <w:r>
        <w:rPr>
          <w:b w:val="0"/>
          <w:i w:val="0"/>
          <w:sz w:val="24"/>
          <w:color w:val="000000"/>
          <w:rFonts w:ascii="Times New Roman" w:hAnsi="Times New Roman" w:cs="Times New Roman"/>
        </w:rPr>
        <w:t>):</w:t>
      </w:r>
    </w:p>
    <w:p>
      <w:pPr>
        <w:spacing w:before="120" w:after="120" w:line="360" w:lineRule="auto"/>
        <w:jc w:val="center"/>
      </w:pPr>
      <m:oMathPara>
        <m:oMathParaPr>
          <m:jc m:val="center"/>
        </m:oMathParaPr>
        <m:oMath>
          <m:r>
            <m:t>N</m:t>
          </m:r>
          <m:r>
            <m:rPr>
              <m:sty m:val="p"/>
            </m:rPr>
            <m:t>≥</m:t>
          </m:r>
          <m:r>
            <m:t>104</m:t>
          </m:r>
          <m:r>
            <m:rPr>
              <m:sty m:val="p"/>
            </m:rPr>
            <m:t>+</m:t>
          </m:r>
          <m:r>
            <m:t>k</m:t>
          </m:r>
        </m:oMath>
      </m:oMathPara>
    </w:p>
    <w:p>
      <w:pPr>
        <w:spacing w:before="120" w:after="120" w:line="360" w:lineRule="auto"/>
        <w:jc w:val="center"/>
      </w:pPr>
      <m:oMathPara>
        <m:oMathParaPr>
          <m:jc m:val="center"/>
        </m:oMathParaPr>
        <m:oMath>
          <m:r>
            <m:t>N</m:t>
          </m:r>
          <m:r>
            <m:rPr>
              <m:sty m:val="p"/>
            </m:rPr>
            <m:t>≥</m:t>
          </m:r>
          <m:r>
            <m:t>104</m:t>
          </m:r>
          <m:r>
            <m:rPr>
              <m:sty m:val="p"/>
            </m:rPr>
            <m:t>+</m:t>
          </m:r>
          <m:r>
            <m:t>7</m:t>
          </m:r>
          <m:r>
            <m:rPr>
              <m:sty m:val="p"/>
            </m:rPr>
            <m:t>=</m:t>
          </m:r>
          <m:r>
            <m:t>111</m:t>
          </m:r>
          <m:r>
            <m:rPr>
              <m:nor/>
              <m:sty m:val="p"/>
            </m:rPr>
            <m:t> responden</m:t>
          </m:r>
        </m:oMath>
      </m:oMathPara>
    </w:p>
    <w:p>
      <w:pPr>
        <w:spacing w:line="360" w:lineRule="auto" w:before="0" w:after="0"/>
        <w:ind w:firstLine="709"/>
        <w:jc w:val="both"/>
      </w:pPr>
      <w:r>
        <w:rPr>
          <w:b w:val="0"/>
          <w:i w:val="0"/>
          <w:sz w:val="24"/>
          <w:color w:val="000000"/>
          <w:rFonts w:ascii="Times New Roman" w:hAnsi="Times New Roman" w:cs="Times New Roman"/>
        </w:rPr>
        <w:t xml:space="preserve">Hasil perhitungan </w:t>
      </w:r>
      <w:hyperlink w:anchor="Ref_green1991subjects" w:history="1">
        <w:r>
          <w:t xml:space="preserve">Green (1991)</w:t>
        </w:r>
      </w:hyperlink>
      <w:r>
        <w:rPr>
          <w:color w:val="000000"/>
          <w:rFonts w:ascii="Times New Roman" w:hAnsi="Times New Roman" w:cs="Times New Roman"/>
        </w:rPr>
        <w:t xml:space="preserve"> di atas menetapkan syarat minimum absolut 111 responden. Penelitian ini menargetkan </w:t>
      </w:r>
      <w:r>
        <w:rPr>
          <w:b/>
          <w:i w:val="0"/>
          <w:sz w:val="24"/>
          <w:color w:val="000000"/>
          <w:rFonts w:ascii="Times New Roman" w:hAnsi="Times New Roman" w:cs="Times New Roman"/>
        </w:rPr>
        <w:t>120 hingga 150 responden</w:t>
      </w:r>
      <w:r>
        <w:rPr>
          <w:b w:val="0"/>
          <w:i w:val="0"/>
          <w:sz w:val="24"/>
          <w:color w:val="000000"/>
          <w:rFonts w:ascii="Times New Roman" w:hAnsi="Times New Roman" w:cs="Times New Roman"/>
        </w:rPr>
        <w:t xml:space="preserve"> sebagai sampel bersih yang dapat dianalisis (</w:t>
      </w:r>
      <w:r>
        <w:rPr>
          <w:b w:val="0"/>
          <w:i/>
          <w:sz w:val="24"/>
          <w:color w:val="000000"/>
          <w:rFonts w:ascii="Times New Roman" w:hAnsi="Times New Roman" w:cs="Times New Roman"/>
        </w:rPr>
        <w:t>usable and analyzable sample</w:t>
      </w:r>
      <w:r>
        <w:rPr>
          <w:b w:val="0"/>
          <w:i w:val="0"/>
          <w:sz w:val="24"/>
          <w:color w:val="000000"/>
          <w:rFonts w:ascii="Times New Roman" w:hAnsi="Times New Roman" w:cs="Times New Roman"/>
        </w:rPr>
        <w:t>), di luar 30 responden untuk uji coba instrumen (</w:t>
      </w:r>
      <w:r>
        <w:rPr>
          <w:b w:val="0"/>
          <w:i/>
          <w:sz w:val="24"/>
          <w:color w:val="000000"/>
          <w:rFonts w:ascii="Times New Roman" w:hAnsi="Times New Roman" w:cs="Times New Roman"/>
        </w:rPr>
        <w:t>pilot testing</w:t>
      </w:r>
      <w:r>
        <w:rPr>
          <w:b w:val="0"/>
          <w:i w:val="0"/>
          <w:sz w:val="24"/>
          <w:color w:val="000000"/>
          <w:rFonts w:ascii="Times New Roman" w:hAnsi="Times New Roman" w:cs="Times New Roman"/>
        </w:rPr>
        <w:t xml:space="preserve">). Rentang 120–150 tersebut memenuhi kriteria </w:t>
      </w:r>
      <w:hyperlink w:anchor="Ref_cohen1988statistical" w:history="1">
        <w:r>
          <w:t xml:space="preserve">Cohen (1988)</w:t>
        </w:r>
      </w:hyperlink>
      <w:r>
        <w:rPr>
          <w:color w:val="000000"/>
          <w:rFonts w:ascii="Times New Roman" w:hAnsi="Times New Roman" w:cs="Times New Roman"/>
        </w:rPr>
        <w:t xml:space="preserve"> untuk kekuatan uji (</w:t>
      </w:r>
      <w:r>
        <w:rPr>
          <w:b w:val="0"/>
          <w:i/>
          <w:sz w:val="24"/>
          <w:color w:val="000000"/>
          <w:rFonts w:ascii="Times New Roman" w:hAnsi="Times New Roman" w:cs="Times New Roman"/>
        </w:rPr>
        <w:t>statistical power</w:t>
      </w:r>
      <w:r>
        <w:rPr>
          <w:b w:val="0"/>
          <w:i w:val="0"/>
          <w:sz w:val="24"/>
          <w:color w:val="000000"/>
          <w:rFonts w:ascii="Times New Roman" w:hAnsi="Times New Roman" w:cs="Times New Roman"/>
        </w:rPr>
        <w:t>) \ge 0,80 pada taraf nyata 5\</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3.2.4 Justifikasi Komparatif Pemilihan Teknik Sampling</w:t>
      </w:r>
    </w:p>
    <w:p>
      <w:pPr>
        <w:spacing w:line="360" w:lineRule="auto" w:before="0" w:after="0"/>
        <w:ind w:firstLine="709"/>
        <w:jc w:val="both"/>
      </w:pPr>
      <w:r>
        <w:rPr>
          <w:b w:val="0"/>
          <w:i w:val="0"/>
          <w:sz w:val="24"/>
          <w:color w:val="000000"/>
          <w:rFonts w:ascii="Times New Roman" w:hAnsi="Times New Roman" w:cs="Times New Roman"/>
        </w:rPr>
        <w:t xml:space="preserve">Literatur metodologi kuantitatif (</w:t>
      </w:r>
      <w:hyperlink w:anchor="Ref_sekaran2016research" w:history="1">
        <w:r>
          <w:t xml:space="preserve">Sekaran dan Bougie, 2016</w:t>
        </w:r>
      </w:hyperlink>
      <w:r>
        <w:rPr>
          <w:color w:val="000000"/>
          <w:rFonts w:ascii="Times New Roman" w:hAnsi="Times New Roman" w:cs="Times New Roman"/>
        </w:rPr>
        <w:t xml:space="preserve">; </w:t>
      </w:r>
      <w:hyperlink w:anchor="Ref_sugiyono2019metode" w:history="1">
        <w:r>
          <w:t xml:space="preserve">Sugiyono, 2019</w:t>
        </w:r>
      </w:hyperlink>
      <w:r>
        <w:rPr>
          <w:color w:val="000000"/>
          <w:rFonts w:ascii="Times New Roman" w:hAnsi="Times New Roman" w:cs="Times New Roman"/>
        </w:rPr>
        <w:t xml:space="preserve">) membagi pengambilan sampel ke dalam dua rumpun utama: </w:t>
      </w:r>
      <w:r>
        <w:rPr>
          <w:b w:val="0"/>
          <w:i/>
          <w:sz w:val="24"/>
          <w:color w:val="000000"/>
          <w:rFonts w:ascii="Times New Roman" w:hAnsi="Times New Roman" w:cs="Times New Roman"/>
        </w:rPr>
        <w:t>Probability Sampling</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Non-Probability Sampling</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Probability Sampling</w:t>
      </w:r>
      <w:r>
        <w:rPr>
          <w:b w:val="0"/>
          <w:i w:val="0"/>
          <w:sz w:val="24"/>
          <w:color w:val="000000"/>
          <w:rFonts w:ascii="Times New Roman" w:hAnsi="Times New Roman" w:cs="Times New Roman"/>
        </w:rPr>
        <w:t xml:space="preserve"> (seperti </w:t>
      </w:r>
      <w:r>
        <w:rPr>
          <w:b w:val="0"/>
          <w:i/>
          <w:sz w:val="24"/>
          <w:color w:val="000000"/>
          <w:rFonts w:ascii="Times New Roman" w:hAnsi="Times New Roman" w:cs="Times New Roman"/>
        </w:rPr>
        <w:t>Simple Random Sampling</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Stratified Random Sampling</w:t>
      </w:r>
      <w:r>
        <w:rPr>
          <w:b w:val="0"/>
          <w:i w:val="0"/>
          <w:sz w:val="24"/>
          <w:color w:val="000000"/>
          <w:rFonts w:ascii="Times New Roman" w:hAnsi="Times New Roman" w:cs="Times New Roman"/>
        </w:rPr>
        <w:t>) menuntut adanya kerangka sampling (</w:t>
      </w:r>
      <w:r>
        <w:rPr>
          <w:b w:val="0"/>
          <w:i/>
          <w:sz w:val="24"/>
          <w:color w:val="000000"/>
          <w:rFonts w:ascii="Times New Roman" w:hAnsi="Times New Roman" w:cs="Times New Roman"/>
        </w:rPr>
        <w:t>sampling frame</w:t>
      </w:r>
      <w:r>
        <w:rPr>
          <w:b w:val="0"/>
          <w:i w:val="0"/>
          <w:sz w:val="24"/>
          <w:color w:val="000000"/>
          <w:rFonts w:ascii="Times New Roman" w:hAnsi="Times New Roman" w:cs="Times New Roman"/>
        </w:rPr>
        <w:t>) yang memuat daftar lengkap seluruh anggota populasi. Kerangka sampling sensus pembeli kartu Pokémon di Indonesia tidak tersedia secara terpusat sehingga teknik probabilitas murni tidak dapat diterapkan secara sahih.</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Karena itu, penelitian ini memakai rumpun </w:t>
      </w:r>
      <w:r>
        <w:rPr>
          <w:b w:val="0"/>
          <w:i/>
          <w:sz w:val="24"/>
          <w:color w:val="000000"/>
          <w:rFonts w:ascii="Times New Roman" w:hAnsi="Times New Roman" w:cs="Times New Roman"/>
        </w:rPr>
        <w:t>Non-Probability Sampling</w:t>
      </w:r>
      <w:r>
        <w:rPr>
          <w:b w:val="0"/>
          <w:i w:val="0"/>
          <w:sz w:val="24"/>
          <w:color w:val="000000"/>
          <w:rFonts w:ascii="Times New Roman" w:hAnsi="Times New Roman" w:cs="Times New Roman"/>
        </w:rPr>
        <w:t xml:space="preserve"> dengan teknik spesifik </w:t>
      </w:r>
      <w:r>
        <w:rPr>
          <w:b/>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(sampel bertujuan) berdasarkan kriteria inklusi yang ditetapkan peneliti.</w:t>
      </w:r>
    </w:p>
    <w:p>
      <w:pPr>
        <w:spacing w:line="360" w:lineRule="auto" w:before="0" w:after="0"/>
        <w:ind w:firstLine="709"/>
        <w:jc w:val="both"/>
      </w:pPr>
      <w:r>
        <w:rPr>
          <w:b w:val="0"/>
          <w:i w:val="0"/>
          <w:sz w:val="24"/>
          <w:color w:val="000000"/>
          <w:rFonts w:ascii="Times New Roman" w:hAnsi="Times New Roman" w:cs="Times New Roman"/>
        </w:rPr>
        <w:t xml:space="preserve">Pemilihan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w:t>
      </w:r>
      <w:r>
        <w:rPr>
          <w:b w:val="0"/>
          <w:i/>
          <w:sz w:val="24"/>
          <w:color w:val="000000"/>
          <w:rFonts w:ascii="Times New Roman" w:hAnsi="Times New Roman" w:cs="Times New Roman"/>
        </w:rPr>
        <w:t>sampling frame</w:t>
      </w:r>
      <w:r>
        <w:rPr>
          <w:b w:val="0"/>
          <w:i w:val="0"/>
          <w:sz w:val="24"/>
          <w:color w:val="000000"/>
          <w:rFonts w:ascii="Times New Roman" w:hAnsi="Times New Roman" w:cs="Times New Roman"/>
        </w:rPr>
        <w:t xml:space="preserve"> terpusat generalisasi statistik ke seluruh populasi nasional tidak diklaim. Pendekatan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pada komunitas hobi dan kartu koleksi ini sejalan dengan praktik riset internasional terdahulu pada konteks komunitas kolektor </w:t>
      </w:r>
      <w:hyperlink w:anchor="Ref_aryadi2024personal" w:history="1">
        <w:r>
          <w:t xml:space="preserve">(Aryadi dan Lingga, 2026)</w:t>
        </w:r>
      </w:hyperlink>
      <w:r>
        <w:rPr>
          <w:color w:val="000000"/>
          <w:rFonts w:ascii="Times New Roman" w:hAnsi="Times New Roman" w:cs="Times New Roman"/>
        </w:rPr>
        <w:t xml:space="preserve">.</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3.3 Model Penelitian</w:t>
      </w:r>
    </w:p>
    <w:p>
      <w:pPr>
        <w:spacing w:line="360" w:lineRule="auto" w:before="0" w:after="0"/>
        <w:ind w:firstLine="709"/>
        <w:jc w:val="both"/>
      </w:pPr>
      <w:r>
        <w:rPr>
          <w:b w:val="0"/>
          <w:i w:val="0"/>
          <w:sz w:val="24"/>
          <w:color w:val="000000"/>
          <w:rFonts w:ascii="Times New Roman" w:hAnsi="Times New Roman" w:cs="Times New Roman"/>
        </w:rPr>
        <w:t xml:space="preserve">Penelitian ini menguji hipotesis dengan prosedur regresi hirarkis </w:t>
      </w:r>
      <w:r>
        <w:rPr>
          <w:b w:val="0"/>
          <w:i/>
          <w:sz w:val="24"/>
          <w:color w:val="000000"/>
          <w:rFonts w:ascii="Times New Roman" w:hAnsi="Times New Roman" w:cs="Times New Roman"/>
        </w:rPr>
        <w:t>Moderated Regression Analysis</w:t>
      </w:r>
      <w:r>
        <w:rPr>
          <w:b w:val="0"/>
          <w:i w:val="0"/>
          <w:sz w:val="24"/>
          <w:color w:val="000000"/>
          <w:rFonts w:ascii="Times New Roman" w:hAnsi="Times New Roman" w:cs="Times New Roman"/>
        </w:rPr>
        <w:t xml:space="preserve"> (MRA) berbasis OLS dalam dua model bertahap (</w:t>
      </w:r>
      <w:hyperlink w:anchor="Ref_aiken1991multiple" w:history="1">
        <w:r>
          <w:t xml:space="preserve">Aiken dan West, 1991</w:t>
        </w:r>
      </w:hyperlink>
      <w:r>
        <w:rPr>
          <w:color w:val="000000"/>
          <w:rFonts w:ascii="Times New Roman" w:hAnsi="Times New Roman" w:cs="Times New Roman"/>
        </w:rPr>
        <w:t xml:space="preserve">; </w:t>
      </w:r>
      <w:hyperlink w:anchor="Ref_cohen1988statistical" w:history="1">
        <w:r>
          <w:t xml:space="preserve">Cohen, 1988</w:t>
        </w:r>
      </w:hyperlink>
      <w:r>
        <w:rPr>
          <w:color w:val="000000"/>
          <w:rFonts w:ascii="Times New Roman" w:hAnsi="Times New Roman" w:cs="Times New Roman"/>
        </w:rPr>
        <w:t xml:space="preserve">; </w:t>
      </w:r>
      <w:hyperlink w:anchor="Ref_hayes2018introduction" w:history="1">
        <w:r>
          <w:t xml:space="preserve">Hayes, 2018</w:t>
        </w:r>
      </w:hyperlink>
      <w:r>
        <w:rPr>
          <w:color w:val="000000"/>
          <w:rFonts w:ascii="Times New Roman" w:hAnsi="Times New Roman" w:cs="Times New Roman"/>
        </w:rPr>
        <w:t xml:space="preserve">). Prosedur ini memisahkan efek moderasi murni dari efek langsung pemoderasi:</w:t>
      </w:r>
    </w:p>
    <w:p>
      <w:pPr>
        <w:spacing w:line="360" w:lineRule="auto" w:before="0" w:after="0"/>
        <w:ind w:firstLine="709"/>
        <w:jc w:val="both"/>
      </w:pPr>
      <w:r>
        <w:rPr>
          <w:b/>
          <w:i w:val="0"/>
          <w:sz w:val="24"/>
          <w:color w:val="000000"/>
          <w:rFonts w:ascii="Times New Roman" w:hAnsi="Times New Roman" w:cs="Times New Roman"/>
        </w:rPr>
        <w:t>Model 1 — Regresi Linear Berganda Hirarkis (Model Aditif Baseline / Efek Utama):</w:t>
      </w:r>
    </w:p>
    <w:p>
      <w:pPr>
        <w:spacing w:before="120" w:after="120" w:line="360" w:lineRule="auto"/>
        <w:jc w:val="center"/>
      </w:pPr>
      <m:oMathPara>
        <m:oMathParaPr>
          <m:jc m:val="center"/>
        </m:oMathParaPr>
        <m:oMath>
          <m:r>
            <m:t>Y</m:t>
          </m:r>
          <m:r>
            <m:rPr>
              <m:sty m:val="p"/>
            </m:rPr>
            <m:t>=</m:t>
          </m:r>
          <m:r>
            <m:t>α</m:t>
          </m:r>
          <m:r>
            <m:rPr>
              <m:sty m:val="p"/>
            </m:rPr>
            <m:t>+</m:t>
          </m:r>
          <m:sSub>
            <m:e>
              <m:r>
                <m:t>β</m:t>
              </m:r>
            </m:e>
            <m:sub>
              <m:r>
                <m:t>1</m:t>
              </m:r>
            </m:sub>
          </m:sSub>
          <m:sSubSup>
            <m:e>
              <m:r>
                <m:t>X</m:t>
              </m:r>
            </m:e>
            <m:sub>
              <m:r>
                <m:t>1</m:t>
              </m:r>
            </m:sub>
            <m:sup>
              <m:r>
                <m:rPr>
                  <m:sty m:val="p"/>
                </m:rPr>
                <m:t>*</m:t>
              </m:r>
            </m:sup>
          </m:sSubSup>
          <m:r>
            <m:rPr>
              <m:sty m:val="p"/>
            </m:rPr>
            <m:t>+</m:t>
          </m:r>
          <m:sSub>
            <m:e>
              <m:r>
                <m:t>β</m:t>
              </m:r>
            </m:e>
            <m:sub>
              <m:r>
                <m:t>2</m:t>
              </m:r>
            </m:sub>
          </m:sSub>
          <m:sSubSup>
            <m:e>
              <m:r>
                <m:t>X</m:t>
              </m:r>
            </m:e>
            <m:sub>
              <m:r>
                <m:t>2</m:t>
              </m:r>
            </m:sub>
            <m:sup>
              <m:r>
                <m:rPr>
                  <m:sty m:val="p"/>
                </m:rPr>
                <m:t>*</m:t>
              </m:r>
            </m:sup>
          </m:sSubSup>
          <m:r>
            <m:rPr>
              <m:sty m:val="p"/>
            </m:rPr>
            <m:t>+</m:t>
          </m:r>
          <m:sSub>
            <m:e>
              <m:r>
                <m:t>β</m:t>
              </m:r>
            </m:e>
            <m:sub>
              <m:r>
                <m:t>3</m:t>
              </m:r>
            </m:sub>
          </m:sSub>
          <m:sSubSup>
            <m:e>
              <m:r>
                <m:t>X</m:t>
              </m:r>
            </m:e>
            <m:sub>
              <m:r>
                <m:t>3</m:t>
              </m:r>
            </m:sub>
            <m:sup>
              <m:r>
                <m:rPr>
                  <m:sty m:val="p"/>
                </m:rPr>
                <m:t>*</m:t>
              </m:r>
            </m:sup>
          </m:sSubSup>
          <m:r>
            <m:rPr>
              <m:sty m:val="p"/>
            </m:rPr>
            <m:t>+</m:t>
          </m:r>
          <m:sSub>
            <m:e>
              <m:r>
                <m:t>β</m:t>
              </m:r>
            </m:e>
            <m:sub>
              <m:r>
                <m:t>4</m:t>
              </m:r>
            </m:sub>
          </m:sSub>
          <m:sSup>
            <m:e>
              <m:r>
                <m:t>M</m:t>
              </m:r>
            </m:e>
            <m:sup>
              <m:r>
                <m:rPr>
                  <m:sty m:val="p"/>
                </m:rPr>
                <m:t>*</m:t>
              </m:r>
            </m:sup>
          </m:sSup>
          <m:r>
            <m:rPr>
              <m:sty m:val="p"/>
            </m:rPr>
            <m:t>+</m:t>
          </m:r>
          <m:r>
            <m:t>e</m:t>
          </m:r>
        </m:oMath>
      </m:oMathPara>
    </w:p>
    <w:p>
      <w:pPr>
        <w:spacing w:line="360" w:lineRule="auto" w:before="0" w:after="0"/>
        <w:ind w:firstLine="709"/>
        <w:jc w:val="both"/>
      </w:pPr>
      <w:r>
        <w:rPr>
          <w:b/>
          <w:i w:val="0"/>
          <w:sz w:val="24"/>
          <w:color w:val="000000"/>
          <w:rFonts w:ascii="Times New Roman" w:hAnsi="Times New Roman" w:cs="Times New Roman"/>
        </w:rPr>
        <w:t xml:space="preserve">Model 2 — </w:t>
      </w:r>
      <w:r>
        <w:rPr>
          <w:b/>
          <w:i/>
          <w:sz w:val="24"/>
          <w:color w:val="000000"/>
          <w:rFonts w:ascii="Times New Roman" w:hAnsi="Times New Roman" w:cs="Times New Roman"/>
        </w:rPr>
        <w:t>Moderated Regression Analysis</w:t>
      </w:r>
      <w:r>
        <w:rPr>
          <w:b/>
          <w:i w:val="0"/>
          <w:sz w:val="24"/>
          <w:color w:val="000000"/>
          <w:rFonts w:ascii="Times New Roman" w:hAnsi="Times New Roman" w:cs="Times New Roman"/>
        </w:rPr>
        <w:t xml:space="preserve"> / MRA (Model Interaksi Moderasi Penuh):</w:t>
      </w:r>
    </w:p>
    <w:p>
      <w:pPr>
        <w:spacing w:before="120" w:after="120" w:line="360" w:lineRule="auto"/>
        <w:jc w:val="center"/>
      </w:pPr>
      <m:oMathPara>
        <m:oMathParaPr>
          <m:jc m:val="center"/>
        </m:oMathParaPr>
        <m:oMath>
          <m:r>
            <m:t>Y</m:t>
          </m:r>
          <m:r>
            <m:rPr>
              <m:sty m:val="p"/>
            </m:rPr>
            <m:t>=</m:t>
          </m:r>
          <m:r>
            <m:t>α</m:t>
          </m:r>
          <m:r>
            <m:rPr>
              <m:sty m:val="p"/>
            </m:rPr>
            <m:t>+</m:t>
          </m:r>
          <m:sSub>
            <m:e>
              <m:r>
                <m:t>β</m:t>
              </m:r>
            </m:e>
            <m:sub>
              <m:r>
                <m:t>1</m:t>
              </m:r>
            </m:sub>
          </m:sSub>
          <m:sSubSup>
            <m:e>
              <m:r>
                <m:t>X</m:t>
              </m:r>
            </m:e>
            <m:sub>
              <m:r>
                <m:t>1</m:t>
              </m:r>
            </m:sub>
            <m:sup>
              <m:r>
                <m:rPr>
                  <m:sty m:val="p"/>
                </m:rPr>
                <m:t>*</m:t>
              </m:r>
            </m:sup>
          </m:sSubSup>
          <m:r>
            <m:rPr>
              <m:sty m:val="p"/>
            </m:rPr>
            <m:t>+</m:t>
          </m:r>
          <m:sSub>
            <m:e>
              <m:r>
                <m:t>β</m:t>
              </m:r>
            </m:e>
            <m:sub>
              <m:r>
                <m:t>2</m:t>
              </m:r>
            </m:sub>
          </m:sSub>
          <m:sSubSup>
            <m:e>
              <m:r>
                <m:t>X</m:t>
              </m:r>
            </m:e>
            <m:sub>
              <m:r>
                <m:t>2</m:t>
              </m:r>
            </m:sub>
            <m:sup>
              <m:r>
                <m:rPr>
                  <m:sty m:val="p"/>
                </m:rPr>
                <m:t>*</m:t>
              </m:r>
            </m:sup>
          </m:sSubSup>
          <m:r>
            <m:rPr>
              <m:sty m:val="p"/>
            </m:rPr>
            <m:t>+</m:t>
          </m:r>
          <m:sSub>
            <m:e>
              <m:r>
                <m:t>β</m:t>
              </m:r>
            </m:e>
            <m:sub>
              <m:r>
                <m:t>3</m:t>
              </m:r>
            </m:sub>
          </m:sSub>
          <m:sSubSup>
            <m:e>
              <m:r>
                <m:t>X</m:t>
              </m:r>
            </m:e>
            <m:sub>
              <m:r>
                <m:t>3</m:t>
              </m:r>
            </m:sub>
            <m:sup>
              <m:r>
                <m:rPr>
                  <m:sty m:val="p"/>
                </m:rPr>
                <m:t>*</m:t>
              </m:r>
            </m:sup>
          </m:sSubSup>
          <m:r>
            <m:rPr>
              <m:sty m:val="p"/>
            </m:rPr>
            <m:t>+</m:t>
          </m:r>
          <m:sSub>
            <m:e>
              <m:r>
                <m:t>β</m:t>
              </m:r>
            </m:e>
            <m:sub>
              <m:r>
                <m:t>4</m:t>
              </m:r>
            </m:sub>
          </m:sSub>
          <m:sSup>
            <m:e>
              <m:r>
                <m:t>M</m:t>
              </m:r>
            </m:e>
            <m:sup>
              <m:r>
                <m:rPr>
                  <m:sty m:val="p"/>
                </m:rPr>
                <m:t>*</m:t>
              </m:r>
            </m:sup>
          </m:sSup>
          <m:r>
            <m:rPr>
              <m:sty m:val="p"/>
            </m:rPr>
            <m:t>+</m:t>
          </m:r>
          <m:sSub>
            <m:e>
              <m:r>
                <m:t>β</m:t>
              </m:r>
            </m:e>
            <m:sub>
              <m:r>
                <m:t>5</m:t>
              </m:r>
            </m:sub>
          </m:sSub>
          <m:r>
            <m:rPr>
              <m:sty m:val="p"/>
            </m:rPr>
            <m:t>(</m:t>
          </m:r>
          <m:sSubSup>
            <m:e>
              <m:r>
                <m:t>X</m:t>
              </m:r>
            </m:e>
            <m:sub>
              <m:r>
                <m:t>1</m:t>
              </m:r>
            </m:sub>
            <m:sup>
              <m:r>
                <m:rPr>
                  <m:sty m:val="p"/>
                </m:rPr>
                <m:t>*</m:t>
              </m:r>
            </m:sup>
          </m:sSubSup>
          <m:r>
            <m:rPr>
              <m:sty m:val="p"/>
            </m:rPr>
            <m:t>⋅</m:t>
          </m:r>
          <m:sSup>
            <m:e>
              <m:r>
                <m:t>M</m:t>
              </m:r>
            </m:e>
            <m:sup>
              <m:r>
                <m:rPr>
                  <m:sty m:val="p"/>
                </m:rPr>
                <m:t>*</m:t>
              </m:r>
            </m:sup>
          </m:sSup>
          <m:r>
            <m:rPr>
              <m:sty m:val="p"/>
            </m:rPr>
            <m:t>)</m:t>
          </m:r>
          <m:r>
            <m:rPr>
              <m:sty m:val="p"/>
            </m:rPr>
            <m:t>+</m:t>
          </m:r>
          <m:sSub>
            <m:e>
              <m:r>
                <m:t>β</m:t>
              </m:r>
            </m:e>
            <m:sub>
              <m:r>
                <m:t>6</m:t>
              </m:r>
            </m:sub>
          </m:sSub>
          <m:r>
            <m:rPr>
              <m:sty m:val="p"/>
            </m:rPr>
            <m:t>(</m:t>
          </m:r>
          <m:sSubSup>
            <m:e>
              <m:r>
                <m:t>X</m:t>
              </m:r>
            </m:e>
            <m:sub>
              <m:r>
                <m:t>2</m:t>
              </m:r>
            </m:sub>
            <m:sup>
              <m:r>
                <m:rPr>
                  <m:sty m:val="p"/>
                </m:rPr>
                <m:t>*</m:t>
              </m:r>
            </m:sup>
          </m:sSubSup>
          <m:r>
            <m:rPr>
              <m:sty m:val="p"/>
            </m:rPr>
            <m:t>⋅</m:t>
          </m:r>
          <m:sSup>
            <m:e>
              <m:r>
                <m:t>M</m:t>
              </m:r>
            </m:e>
            <m:sup>
              <m:r>
                <m:rPr>
                  <m:sty m:val="p"/>
                </m:rPr>
                <m:t>*</m:t>
              </m:r>
            </m:sup>
          </m:sSup>
          <m:r>
            <m:rPr>
              <m:sty m:val="p"/>
            </m:rPr>
            <m:t>)</m:t>
          </m:r>
          <m:r>
            <m:rPr>
              <m:sty m:val="p"/>
            </m:rPr>
            <m:t>+</m:t>
          </m:r>
          <m:sSub>
            <m:e>
              <m:r>
                <m:t>β</m:t>
              </m:r>
            </m:e>
            <m:sub>
              <m:r>
                <m:t>7</m:t>
              </m:r>
            </m:sub>
          </m:sSub>
          <m:r>
            <m:rPr>
              <m:sty m:val="p"/>
            </m:rPr>
            <m:t>(</m:t>
          </m:r>
          <m:sSubSup>
            <m:e>
              <m:r>
                <m:t>X</m:t>
              </m:r>
            </m:e>
            <m:sub>
              <m:r>
                <m:t>3</m:t>
              </m:r>
            </m:sub>
            <m:sup>
              <m:r>
                <m:rPr>
                  <m:sty m:val="p"/>
                </m:rPr>
                <m:t>*</m:t>
              </m:r>
            </m:sup>
          </m:sSubSup>
          <m:r>
            <m:rPr>
              <m:sty m:val="p"/>
            </m:rPr>
            <m:t>⋅</m:t>
          </m:r>
          <m:sSup>
            <m:e>
              <m:r>
                <m:t>M</m:t>
              </m:r>
            </m:e>
            <m:sup>
              <m:r>
                <m:rPr>
                  <m:sty m:val="p"/>
                </m:rPr>
                <m:t>*</m:t>
              </m:r>
            </m:sup>
          </m:sSup>
          <m:r>
            <m:rPr>
              <m:sty m:val="p"/>
            </m:rPr>
            <m:t>)</m:t>
          </m:r>
          <m:r>
            <m:rPr>
              <m:sty m:val="p"/>
            </m:rPr>
            <m:t>+</m:t>
          </m:r>
          <m:r>
            <m:t>e</m:t>
          </m:r>
        </m:oMath>
      </m:oMathPara>
    </w:p>
    <w:p>
      <w:pPr>
        <w:spacing w:line="360" w:lineRule="auto" w:before="0" w:after="0"/>
        <w:ind w:firstLine="709"/>
        <w:jc w:val="both"/>
      </w:pPr>
      <w:r>
        <w:rPr>
          <w:b w:val="0"/>
          <w:i w:val="0"/>
          <w:sz w:val="24"/>
          <w:color w:val="000000"/>
          <w:rFonts w:ascii="Times New Roman" w:hAnsi="Times New Roman" w:cs="Times New Roman"/>
        </w:rPr>
        <w:t>Di mana:</w:t>
      </w:r>
    </w:p>
    <w:p>
      <w:pPr>
        <w:spacing w:line="360" w:lineRule="auto" w:before="0" w:after="0"/>
        <w:ind w:firstLine="709"/>
        <w:jc w:val="both"/>
      </w:pPr>
      <w:r>
        <w:rPr>
          <w:b w:val="0"/>
          <w:i w:val="0"/>
          <w:sz w:val="24"/>
          <w:color w:val="000000"/>
          <w:rFonts w:ascii="Times New Roman" w:hAnsi="Times New Roman" w:cs="Times New Roman"/>
        </w:rPr>
        <w:t>[noitemsep,topsep=2pt]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 Skor komposit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(variabel dependen)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₁</w:t>
      </w:r>
      <w:r>
        <w:rPr>
          <w:b w:val="0"/>
          <w:i/>
          <w:sz w:val="24"/>
          <w:color w:val="000000"/>
          <w:rFonts w:ascii="Times New Roman" w:hAnsi="Times New Roman" w:cs="Times New Roman"/>
        </w:rPr>
        <w:t xml:space="preserve">, </w:t>
      </w:r>
      <w:r>
        <w:rPr>
          <w:b w:val="0"/>
          <w:i w:val="0"/>
          <w:sz w:val="24"/>
          <w:color w:val="000000"/>
          <w:rFonts w:ascii="Times New Roman" w:hAnsi="Times New Roman" w:cs="Times New Roman"/>
        </w:rPr>
        <w:t>X</w:t>
      </w:r>
      <w:r>
        <w:rPr>
          <w:b w:val="0"/>
          <w:i/>
          <w:sz w:val="24"/>
          <w:color w:val="000000"/>
          <w:rFonts w:ascii="Times New Roman" w:hAnsi="Times New Roman" w:cs="Times New Roman"/>
        </w:rPr>
        <w:t>₂</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₃</w:t>
      </w:r>
      <w:r>
        <w:rPr>
          <w:b w:val="0"/>
          <w:i/>
          <w:sz w:val="24"/>
          <w:color w:val="000000"/>
          <w:rFonts w:ascii="Times New Roman" w:hAnsi="Times New Roman" w:cs="Times New Roman"/>
        </w:rPr>
        <w:t xml:space="preserve"> = Skor prediktor terpusat (</w:t>
      </w:r>
      <w:r>
        <w:rPr>
          <w:b w:val="0"/>
          <w:i w:val="0"/>
          <w:sz w:val="24"/>
          <w:color w:val="000000"/>
          <w:rFonts w:ascii="Times New Roman" w:hAnsi="Times New Roman" w:cs="Times New Roman"/>
        </w:rPr>
        <w:t>mean-centered</w:t>
      </w:r>
      <w:r>
        <w:rPr>
          <w:b w:val="0"/>
          <w:i/>
          <w:sz w:val="24"/>
          <w:color w:val="000000"/>
          <w:rFonts w:ascii="Times New Roman" w:hAnsi="Times New Roman" w:cs="Times New Roman"/>
        </w:rPr>
        <w:t>): X_i^</w:t>
      </w:r>
      <w:r>
        <w:rPr>
          <w:b w:val="0"/>
          <w:i w:val="0"/>
          <w:sz w:val="24"/>
          <w:color w:val="000000"/>
          <w:rFonts w:ascii="Times New Roman" w:hAnsi="Times New Roman" w:cs="Times New Roman"/>
        </w:rPr>
        <w:t xml:space="preserve"> = X_i - \bar{X}_i untuk i \in \{1, 2, 3\}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r>
        <w:rPr>
          <w:b w:val="0"/>
          <w:i/>
          <w:sz w:val="24"/>
          <w:color w:val="000000"/>
          <w:rFonts w:ascii="Times New Roman" w:hAnsi="Times New Roman" w:cs="Times New Roman"/>
        </w:rPr>
        <w:t xml:space="preserve"> = Skor variabel pemoderasi terpusat (</w:t>
      </w:r>
      <w:r>
        <w:rPr>
          <w:b w:val="0"/>
          <w:i w:val="0"/>
          <w:sz w:val="24"/>
          <w:color w:val="000000"/>
          <w:rFonts w:ascii="Times New Roman" w:hAnsi="Times New Roman" w:cs="Times New Roman"/>
        </w:rPr>
        <w:t>mean-centered</w:t>
      </w:r>
      <w:r>
        <w:rPr>
          <w:b w:val="0"/>
          <w:i/>
          <w:sz w:val="24"/>
          <w:color w:val="000000"/>
          <w:rFonts w:ascii="Times New Roman" w:hAnsi="Times New Roman" w:cs="Times New Roman"/>
        </w:rPr>
        <w:t>): M^</w:t>
      </w:r>
      <w:r>
        <w:rPr>
          <w:b w:val="0"/>
          <w:i w:val="0"/>
          <w:sz w:val="24"/>
          <w:color w:val="000000"/>
          <w:rFonts w:ascii="Times New Roman" w:hAnsi="Times New Roman" w:cs="Times New Roman"/>
        </w:rPr>
        <w:t xml:space="preserve"> = M - \bar{M}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₁</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₂</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₃</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 Istilah perkalian interaksi pemoderasi (</w:t>
      </w:r>
      <w:r>
        <w:rPr>
          <w:b w:val="0"/>
          <w:i/>
          <w:sz w:val="24"/>
          <w:color w:val="000000"/>
          <w:rFonts w:ascii="Times New Roman" w:hAnsi="Times New Roman" w:cs="Times New Roman"/>
        </w:rPr>
        <w:t>interaction terms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α = Nilai intersep konstan regresi</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β₁, β₂, β₃ = Koefisien regresi efek utama prediktor pada nilai rata-rata pemoderasi (</w:t>
      </w:r>
      <w:r>
        <w:rPr>
          <w:b w:val="0"/>
          <w:i/>
          <w:sz w:val="24"/>
          <w:color w:val="000000"/>
          <w:rFonts w:ascii="Times New Roman" w:hAnsi="Times New Roman" w:cs="Times New Roman"/>
        </w:rPr>
        <w:t>M</w:t>
      </w:r>
      <w:r>
        <w:rPr>
          <w:b w:val="0"/>
          <w:i w:val="0"/>
          <w:sz w:val="24"/>
          <w:color w:val="000000"/>
          <w:rFonts w:ascii="Times New Roman" w:hAnsi="Times New Roman" w:cs="Times New Roman"/>
        </w:rPr>
        <w:t>\ = 0)</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β₄ = Koefisien regresi efek langsung pemoderasi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Y</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β₅, β₆, β₇ = Koefisien regresi interaksi moderasi (H4, H5, H6)</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Error term</w:t>
      </w:r>
      <w:r>
        <w:rPr>
          <w:b w:val="0"/>
          <w:i w:val="0"/>
          <w:sz w:val="24"/>
          <w:color w:val="000000"/>
          <w:rFonts w:ascii="Times New Roman" w:hAnsi="Times New Roman" w:cs="Times New Roman"/>
        </w:rPr>
        <w:t xml:space="preserve"> (residual pengganggu)</w:t>
      </w:r>
    </w:p>
    <w:p>
      <w:pPr>
        <w:spacing w:line="360" w:lineRule="auto" w:before="0" w:after="0"/>
        <w:ind w:firstLine="709"/>
        <w:jc w:val="both"/>
      </w:pPr>
      <w:r>
        <w:rPr>
          <w:b w:val="0"/>
          <w:i w:val="0"/>
          <w:sz w:val="24"/>
          <w:color w:val="000000"/>
          <w:rFonts w:ascii="Times New Roman" w:hAnsi="Times New Roman" w:cs="Times New Roman"/>
        </w:rPr>
        <w:t xml:space="preserve">Penyertaan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r>
        <w:rPr>
          <w:b w:val="0"/>
          <w:i/>
          <w:sz w:val="24"/>
          <w:color w:val="000000"/>
          <w:rFonts w:ascii="Times New Roman" w:hAnsi="Times New Roman" w:cs="Times New Roman"/>
        </w:rPr>
        <w:t xml:space="preserve"> pada Model 1 sebagai garis dasar aditif (</w:t>
      </w:r>
      <w:r>
        <w:rPr>
          <w:b w:val="0"/>
          <w:i w:val="0"/>
          <w:sz w:val="24"/>
          <w:color w:val="000000"/>
          <w:rFonts w:ascii="Times New Roman" w:hAnsi="Times New Roman" w:cs="Times New Roman"/>
        </w:rPr>
        <w:t>additive baseline</w:t>
      </w:r>
      <w:r>
        <w:rPr>
          <w:b w:val="0"/>
          <w:i/>
          <w:sz w:val="24"/>
          <w:color w:val="000000"/>
          <w:rFonts w:ascii="Times New Roman" w:hAnsi="Times New Roman" w:cs="Times New Roman"/>
        </w:rPr>
        <w:t xml:space="preserve">) menjamin bahwa peningkatan koefisien determinasi (Δ R² = R²_Model 2 - R²_Model 1) murni mengisolasi kontribusi penjelas tambahan dari ketiga variabel interaksi moderasi, yang diuji secara simultan melalui statistik </w:t>
      </w:r>
      <w:r>
        <w:rPr>
          <w:b w:val="0"/>
          <w:i w:val="0"/>
          <w:sz w:val="24"/>
          <w:color w:val="000000"/>
          <w:rFonts w:ascii="Times New Roman" w:hAnsi="Times New Roman" w:cs="Times New Roman"/>
        </w:rPr>
        <w:t>F</w:t>
      </w:r>
      <w:r>
        <w:rPr>
          <w:b w:val="0"/>
          <w:i/>
          <w:sz w:val="24"/>
          <w:color w:val="000000"/>
          <w:rFonts w:ascii="Times New Roman" w:hAnsi="Times New Roman" w:cs="Times New Roman"/>
        </w:rPr>
        <w:t>_{change}: Koefisien β₄ (M^</w:t>
      </w:r>
      <w:r>
        <w:rPr>
          <w:b w:val="0"/>
          <w:i w:val="0"/>
          <w:sz w:val="24"/>
          <w:color w:val="000000"/>
          <w:rFonts w:ascii="Times New Roman" w:hAnsi="Times New Roman" w:cs="Times New Roman"/>
        </w:rPr>
        <w:t xml:space="preserve"> \rightarrow Y) pada Model 1 semata-mata merupakan kontrol baseline aditif agar Δ</w:t>
      </w:r>
      <w:r>
        <w:rPr>
          <w:b w:val="0"/>
          <w:i/>
          <w:sz w:val="24"/>
          <w:color w:val="000000"/>
          <w:rFonts w:ascii="Times New Roman" w:hAnsi="Times New Roman" w:cs="Times New Roman"/>
        </w:rPr>
        <w:t>R</w:t>
      </w:r>
      <w:r>
        <w:rPr>
          <w:b w:val="0"/>
          <w:i w:val="0"/>
          <w:sz w:val="24"/>
          <w:color w:val="000000"/>
          <w:rFonts w:ascii="Times New Roman" w:hAnsi="Times New Roman" w:cs="Times New Roman"/>
        </w:rPr>
        <w:t xml:space="preserve">² tidak tercampur efek langsung pemoderasi; β₄ tidak diuji sebagai hipotesis tersendiri dan tidak memiliki pasangan RM/Tujuan/H (hipotesis penelitian tetap 6: H1–H3 langsung, H4–H6 moderasi memperlemah). Baris 4 pada matriks kesenjangan (Subjek M \rightarrow Y) berfungsi sebagai justifikasi teoretis perlunya memasukkan </w:t>
      </w:r>
      <w:r>
        <w:rPr>
          <w:b w:val="0"/>
          <w:i/>
          <w:sz w:val="24"/>
          <w:color w:val="000000"/>
          <w:rFonts w:ascii="Times New Roman" w:hAnsi="Times New Roman" w:cs="Times New Roman"/>
        </w:rPr>
        <w:t>M</w:t>
      </w:r>
      <w:r>
        <w:rPr>
          <w:b w:val="0"/>
          <w:i w:val="0"/>
          <w:sz w:val="24"/>
          <w:color w:val="000000"/>
          <w:rFonts w:ascii="Times New Roman" w:hAnsi="Times New Roman" w:cs="Times New Roman"/>
        </w:rPr>
        <w:t>\ sebagai baseline, bukan sebagai hipotesis tambahan.</w:t>
      </w:r>
    </w:p>
    <w:p>
      <w:pPr>
        <w:spacing w:before="120" w:after="120" w:line="360" w:lineRule="auto"/>
        <w:jc w:val="center"/>
      </w:pPr>
      <m:oMathPara>
        <m:oMathParaPr>
          <m:jc m:val="center"/>
        </m:oMathParaPr>
        <m:oMath>
          <m:sSub>
            <m:e>
              <m:r>
                <m:t>F</m:t>
              </m:r>
            </m:e>
            <m:sub>
              <m:r>
                <m:rPr>
                  <m:nor/>
                  <m:sty m:val="p"/>
                </m:rPr>
                <m:t>change</m:t>
              </m:r>
            </m:sub>
          </m:sSub>
          <m:r>
            <m:rPr>
              <m:sty m:val="p"/>
            </m:rPr>
            <m:t>=</m:t>
          </m:r>
          <m:f>
            <m:fPr>
              <m:type m:val="bar"/>
            </m:fPr>
            <m:num>
              <m:r>
                <m:rPr>
                  <m:sty m:val="p"/>
                </m:rPr>
                <m:t>(</m:t>
              </m:r>
              <m:sSubSup>
                <m:e>
                  <m:r>
                    <m:t>R</m:t>
                  </m:r>
                </m:e>
                <m:sub>
                  <m:r>
                    <m:rPr>
                      <m:nor/>
                      <m:sty m:val="p"/>
                    </m:rPr>
                    <m:t>Model 2</m:t>
                  </m:r>
                </m:sub>
                <m:sup>
                  <m:r>
                    <m:t>2</m:t>
                  </m:r>
                </m:sup>
              </m:sSubSup>
              <m:r>
                <m:rPr>
                  <m:sty m:val="p"/>
                </m:rPr>
                <m:t>−</m:t>
              </m:r>
              <m:sSubSup>
                <m:e>
                  <m:r>
                    <m:t>R</m:t>
                  </m:r>
                </m:e>
                <m:sub>
                  <m:r>
                    <m:rPr>
                      <m:nor/>
                      <m:sty m:val="p"/>
                    </m:rPr>
                    <m:t>Model 1</m:t>
                  </m:r>
                </m:sub>
                <m:sup>
                  <m:r>
                    <m:t>2</m:t>
                  </m:r>
                </m:sup>
              </m:sSubSup>
              <m:r>
                <m:rPr>
                  <m:sty m:val="p"/>
                </m:rPr>
                <m:t>)</m:t>
              </m:r>
              <m:r>
                <m:rPr>
                  <m:sty m:val="p"/>
                </m:rPr>
                <m:t>/</m:t>
              </m:r>
              <m:r>
                <m:t>3</m:t>
              </m:r>
            </m:num>
            <m:den>
              <m:r>
                <m:rPr>
                  <m:sty m:val="p"/>
                </m:rPr>
                <m:t>(</m:t>
              </m:r>
              <m:r>
                <m:t>1</m:t>
              </m:r>
              <m:r>
                <m:rPr>
                  <m:sty m:val="p"/>
                </m:rPr>
                <m:t>−</m:t>
              </m:r>
              <m:sSubSup>
                <m:e>
                  <m:r>
                    <m:t>R</m:t>
                  </m:r>
                </m:e>
                <m:sub>
                  <m:r>
                    <m:rPr>
                      <m:nor/>
                      <m:sty m:val="p"/>
                    </m:rPr>
                    <m:t>Model 2</m:t>
                  </m:r>
                </m:sub>
                <m:sup>
                  <m:r>
                    <m:t>2</m:t>
                  </m:r>
                </m:sup>
              </m:sSubSup>
              <m:r>
                <m:rPr>
                  <m:sty m:val="p"/>
                </m:rPr>
                <m:t>)</m:t>
              </m:r>
              <m:r>
                <m:rPr>
                  <m:sty m:val="p"/>
                </m:rPr>
                <m:t>/</m:t>
              </m:r>
              <m:r>
                <m:rPr>
                  <m:sty m:val="p"/>
                </m:rPr>
                <m:t>(</m:t>
              </m:r>
              <m:r>
                <m:t>N</m:t>
              </m:r>
              <m:r>
                <m:rPr>
                  <m:sty m:val="p"/>
                </m:rPr>
                <m:t>−</m:t>
              </m:r>
              <m:r>
                <m:t>8</m:t>
              </m:r>
              <m:r>
                <m:rPr>
                  <m:sty m:val="p"/>
                </m:rPr>
                <m:t>)</m:t>
              </m:r>
            </m:den>
          </m:f>
        </m:oMath>
      </m:oMathPara>
    </w:p>
    <w:p>
      <w:pPr>
        <w:spacing w:line="360" w:lineRule="auto" w:before="0" w:after="0"/>
        <w:ind w:firstLine="709"/>
        <w:jc w:val="both"/>
      </w:pPr>
      <w:r>
        <w:rPr>
          <w:b w:val="0"/>
          <w:i w:val="0"/>
          <w:sz w:val="24"/>
          <w:color w:val="000000"/>
          <w:rFonts w:ascii="Times New Roman" w:hAnsi="Times New Roman" w:cs="Times New Roman"/>
        </w:rPr>
        <w:t>dengan derajat kebebasan df_1 = 3 dan df_2 = N - 8.</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3.4 Operasionalisasi Variabel</w:t>
      </w:r>
    </w:p>
    <w:p>
      <w:pPr>
        <w:spacing w:line="360" w:lineRule="auto" w:before="0" w:after="0"/>
        <w:ind w:firstLine="709"/>
        <w:jc w:val="both"/>
      </w:pPr>
      <w:r>
        <w:rPr>
          <w:b w:val="0"/>
          <w:i w:val="0"/>
          <w:sz w:val="24"/>
          <w:color w:val="000000"/>
          <w:rFonts w:ascii="Times New Roman" w:hAnsi="Times New Roman" w:cs="Times New Roman"/>
        </w:rPr>
        <w:t>Operasionalisasi variabel penelitian disajikan secara komprehensif pada Tabel 3.2. Tabel disusun menggunakan format terbuka (</w:t>
      </w:r>
      <w:r>
        <w:rPr>
          <w:b w:val="0"/>
          <w:i/>
          <w:sz w:val="24"/>
          <w:color w:val="000000"/>
          <w:rFonts w:ascii="Times New Roman" w:hAnsi="Times New Roman" w:cs="Times New Roman"/>
        </w:rPr>
        <w:t>open table</w:t>
      </w:r>
      <w:r>
        <w:rPr>
          <w:b w:val="0"/>
          <w:i w:val="0"/>
          <w:sz w:val="24"/>
          <w:color w:val="000000"/>
          <w:rFonts w:ascii="Times New Roman" w:hAnsi="Times New Roman" w:cs="Times New Roman"/>
        </w:rPr>
        <w:t>) standar publikasi jurnal tanpa garis vertikal, dengan penataan kolom proporsional:</w:t>
      </w:r>
    </w:p>
    <w:p>
      <w:bookmarkStart w:id="1008" w:name="Cap_Tabel_3_2"/>
      <w:pPr>
        <w:keepNext/>
        <w:spacing w:line="360" w:lineRule="auto" w:before="240" w:after="80"/>
        <w:ind w:firstLine="0"/>
        <w:jc w:val="left"/>
      </w:pPr>
      <w:r>
        <w:rPr>
          <w:b/>
          <w:i w:val="0"/>
          <w:sz w:val="24"/>
          <w:color w:val="000000"/>
          <w:rFonts w:ascii="Times New Roman" w:hAnsi="Times New Roman" w:cs="Times New Roman"/>
        </w:rPr>
        <w:t>Tabel 3.2 Operasionalisasi Variabel Penelitian</w:t>
      </w:r>
      <w:bookmarkEnd w:id="1008"/>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Definisi Operasional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Dimensi</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Indikator Pernyataan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Skala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Impulsive Buying (Y)</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Kecenderungan membeli </w:t>
            </w:r>
            <w:r>
              <w:rPr>
                <w:rFonts w:ascii="Times New Roman" w:hAnsi="Times New Roman"/>
                <w:i/>
                <w:sz w:val="19"/>
                <w:color w:val="000000"/>
              </w:rPr>
              <w:t>booster pack</w:t>
            </w:r>
            <w:r>
              <w:rPr>
                <w:rFonts w:ascii="Times New Roman" w:hAnsi="Times New Roman"/>
                <w:sz w:val="19"/>
                <w:color w:val="000000"/>
              </w:rPr>
              <w:t xml:space="preserve"> Pokémon TCG tanpa rencana awal dan didorong emosi sesaat (</w:t>
            </w:r>
            <w:hyperlink w:anchor="Ref_rook1987buying" w:history="1">
              <w:r>
                <w:t xml:space="preserve">Rook, 1987</w:t>
              </w:r>
            </w:hyperlink>
            <w:r>
              <w:rPr>
                <w:color w:val="000000"/>
              </w:rPr>
              <w:t xml:space="preserve">; </w:t>
            </w:r>
            <w:hyperlink w:anchor="Ref_verplanken2001individual" w:history="1">
              <w:r>
                <w:t xml:space="preserve">Verplanken dan Herabadi, 2001</w:t>
              </w:r>
            </w:hyperlink>
            <w:r>
              <w:rPr>
                <w:color w:val="000000"/>
              </w:rPr>
              <w:t xml:space="preserv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Y1. Saya sering membeli </w:t>
            </w:r>
            <w:r>
              <w:rPr>
                <w:rFonts w:ascii="Times New Roman" w:hAnsi="Times New Roman"/>
                <w:i/>
                <w:sz w:val="19"/>
                <w:color w:val="000000"/>
              </w:rPr>
              <w:t>booster pack</w:t>
            </w:r>
            <w:r>
              <w:rPr>
                <w:rFonts w:ascii="Times New Roman" w:hAnsi="Times New Roman"/>
                <w:sz w:val="19"/>
                <w:color w:val="000000"/>
              </w:rPr>
              <w:t xml:space="preserve"> kartu Pokémon tanpa rencana anggaran sebelumnya.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Y2. Saya tidak mempertimbangkan dampak finansial saat membeli kartu Pokémon di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Y3. Saya merasa terdorong secara spontan untuk membeli </w:t>
            </w:r>
            <w:r>
              <w:rPr>
                <w:rFonts w:ascii="Times New Roman" w:hAnsi="Times New Roman"/>
                <w:i/>
                <w:sz w:val="19"/>
                <w:color w:val="000000"/>
              </w:rPr>
              <w:t>pack</w:t>
            </w:r>
            <w:r>
              <w:rPr>
                <w:rFonts w:ascii="Times New Roman" w:hAnsi="Times New Roman"/>
                <w:sz w:val="19"/>
                <w:color w:val="000000"/>
              </w:rPr>
              <w:t xml:space="preserve"> saat melihatnya di etalase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Y4. Saya merasakan kegembiraan sesaat ketika memutuskan membeli kartu secara mendadak.</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Y5. Saya sering membeli </w:t>
            </w:r>
            <w:r>
              <w:rPr>
                <w:rFonts w:ascii="Times New Roman" w:hAnsi="Times New Roman"/>
                <w:i/>
                <w:sz w:val="19"/>
                <w:color w:val="000000"/>
              </w:rPr>
              <w:t>pack</w:t>
            </w:r>
            <w:r>
              <w:rPr>
                <w:rFonts w:ascii="Times New Roman" w:hAnsi="Times New Roman"/>
                <w:sz w:val="19"/>
                <w:color w:val="000000"/>
              </w:rPr>
              <w:t xml:space="preserve"> lebih banyak dari yang semula saya niatkan.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Y6. Saya sulit menahan hasrat berbelanja kartu Pokémon saat rilis seri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Hedonic Motivation (X₁)</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Motivasi belanja untuk kesenangan emosional dan sensasi petualangan </w:t>
            </w:r>
            <w:hyperlink w:anchor="Ref_arnold2003hedonic" w:history="1">
              <w:r>
                <w:t xml:space="preserve">(Arnold dan Reynolds, 2003)</w:t>
              </w:r>
            </w:hyperlink>
            <w:r>
              <w:rPr>
                <w:color w:val="000000"/>
              </w:rPr>
              <w:t xml:space="preserv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X1.1. Membuka kemasan </w:t>
            </w:r>
            <w:r>
              <w:rPr>
                <w:rFonts w:ascii="Times New Roman" w:hAnsi="Times New Roman"/>
                <w:i/>
                <w:sz w:val="19"/>
                <w:color w:val="000000"/>
              </w:rPr>
              <w:t>booster pack</w:t>
            </w:r>
            <w:r>
              <w:rPr>
                <w:rFonts w:ascii="Times New Roman" w:hAnsi="Times New Roman"/>
                <w:sz w:val="19"/>
                <w:color w:val="000000"/>
              </w:rPr>
              <w:t xml:space="preserve"> memberikan sensasi petualangan dan kejutan mendebarkan.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X1.2. Saya menikmati sensasi penasaran terhadap kartu acak di dalam kemasan bungkus.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X1.3. Membeli kartu Pokémon adalah cara saya memanjakan diri atau melepas penat stres.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X1.4. Menemukan kartu dengan ilustrasi langka (</w:t>
            </w:r>
            <w:r>
              <w:rPr>
                <w:rFonts w:ascii="Times New Roman" w:hAnsi="Times New Roman"/>
                <w:i/>
                <w:sz w:val="19"/>
                <w:color w:val="000000"/>
              </w:rPr>
              <w:t>SAR</w:t>
            </w:r>
            <w:r>
              <w:rPr>
                <w:rFonts w:ascii="Times New Roman" w:hAnsi="Times New Roman"/>
                <w:sz w:val="19"/>
                <w:color w:val="000000"/>
              </w:rPr>
              <w:t>) membuat saya sangat bahagia.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Idea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X1.5. Saya senang mengikuti tren rilis seri kartu Pokémon dan inovasi desain terbarunya.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Desire for Completeness (X₂)</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Dorongan psikologis menuntaskan set koleksi akibat </w:t>
            </w:r>
            <w:r>
              <w:rPr>
                <w:rFonts w:ascii="Times New Roman" w:hAnsi="Times New Roman"/>
                <w:i/>
                <w:sz w:val="19"/>
                <w:color w:val="000000"/>
              </w:rPr>
              <w:t>Zeigarnik Effect</w:t>
            </w:r>
            <w:r>
              <w:rPr>
                <w:rFonts w:ascii="Times New Roman" w:hAnsi="Times New Roman"/>
                <w:sz w:val="19"/>
                <w:color w:val="000000"/>
              </w:rPr>
              <w:t xml:space="preserve"> (</w:t>
            </w:r>
            <w:hyperlink w:anchor="Ref_belk1995collecting" w:history="1">
              <w:r>
                <w:t xml:space="preserve">Belk, 1995</w:t>
              </w:r>
            </w:hyperlink>
            <w:r>
              <w:rPr>
                <w:color w:val="000000"/>
              </w:rPr>
              <w:t xml:space="preserve">; </w:t>
            </w:r>
            <w:hyperlink w:anchor="Ref_gao2014completing" w:history="1">
              <w:r>
                <w:t xml:space="preserve">Gao </w:t>
              </w:r>
              <w:r>
                <w:rPr>
                  <w:rFonts w:ascii="Times New Roman" w:hAnsi="Times New Roman"/>
                  <w:i/>
                  <w:sz w:val="19"/>
                </w:rPr>
                <w:t>et al.</w:t>
              </w:r>
              <w:r>
                <w:rPr>
                  <w:rFonts w:ascii="Times New Roman" w:hAnsi="Times New Roman"/>
                  <w:sz w:val="19"/>
                </w:rPr>
                <w:t xml:space="preserve">, 2014</w:t>
              </w:r>
            </w:hyperlink>
            <w:r>
              <w:rPr>
                <w:color w:val="000000"/>
              </w:rPr>
              <w:t xml:space="preserve">; </w:t>
            </w:r>
            <w:hyperlink w:anchor="Ref_barasz2017pseudo" w:history="1">
              <w:r>
                <w:t xml:space="preserve">Barasz </w:t>
              </w:r>
              <w:r>
                <w:rPr>
                  <w:rFonts w:ascii="Times New Roman" w:hAnsi="Times New Roman"/>
                  <w:i/>
                  <w:sz w:val="19"/>
                </w:rPr>
                <w:t>et al.</w:t>
              </w:r>
              <w:r>
                <w:rPr>
                  <w:rFonts w:ascii="Times New Roman" w:hAnsi="Times New Roman"/>
                  <w:sz w:val="19"/>
                </w:rPr>
                <w:t xml:space="preserve">, 2017</w:t>
              </w:r>
            </w:hyperlink>
            <w:r>
              <w:rPr>
                <w:color w:val="000000"/>
              </w:rPr>
              <w:t xml:space="preserv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X2.1. Saya merasa tidak nyaman ketika album koleksi kartu Pokémon saya memiliki slot kosong.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X2.2. Saya terdorong untuk terus membeli </w:t>
            </w:r>
            <w:r>
              <w:rPr>
                <w:rFonts w:ascii="Times New Roman" w:hAnsi="Times New Roman"/>
                <w:i/>
                <w:sz w:val="19"/>
                <w:color w:val="000000"/>
              </w:rPr>
              <w:t>booster pack</w:t>
            </w:r>
            <w:r>
              <w:rPr>
                <w:rFonts w:ascii="Times New Roman" w:hAnsi="Times New Roman"/>
                <w:sz w:val="19"/>
                <w:color w:val="000000"/>
              </w:rPr>
              <w:t xml:space="preserve"> agar dapat melengkapi seluruh kartu dalam satu seri.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X2.3. Mengetahui ada kartu yang belum saya miliki dalam suatu seri membuat saya ingin segera membelinya.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Wholeness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X2.4. Melengkapi satu set penuh kartu Pokémon memberikan perasaan pencapaian dan kepuasan batin.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X2.5. Semakin sedikit kartu yang kurang dalam satu seri, semakin kuat desakan saya membeli </w:t>
            </w:r>
            <w:r>
              <w:rPr>
                <w:rFonts w:ascii="Times New Roman" w:hAnsi="Times New Roman"/>
                <w:i/>
                <w:sz w:val="19"/>
                <w:color w:val="000000"/>
              </w:rPr>
              <w:t>pack</w:t>
            </w:r>
            <w:r>
              <w:rPr>
                <w:rFonts w:ascii="Times New Roman" w:hAnsi="Times New Roman"/>
                <w:sz w:val="19"/>
                <w:color w:val="000000"/>
              </w:rPr>
              <w:t xml:space="preserve">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Speculative Motive (X₃)</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Ekspektasi memperoleh keuntungan finansial dari apresiasi harga di pasar sekunder (</w:t>
            </w:r>
            <w:hyperlink w:anchor="Ref_shiller2000irrational" w:history="1">
              <w:r>
                <w:t xml:space="preserve">Shiller, 2000</w:t>
              </w:r>
            </w:hyperlink>
            <w:r>
              <w:rPr>
                <w:color w:val="000000"/>
              </w:rPr>
              <w:t xml:space="preserve">; </w:t>
            </w:r>
            <w:hyperlink w:anchor="Ref_baur2018bitcoin" w:history="1">
              <w:r>
                <w:t xml:space="preserve">Baur </w:t>
              </w:r>
              <w:r>
                <w:rPr>
                  <w:rFonts w:ascii="Times New Roman" w:hAnsi="Times New Roman"/>
                  <w:i/>
                  <w:sz w:val="19"/>
                </w:rPr>
                <w:t>et al.</w:t>
              </w:r>
              <w:r>
                <w:rPr>
                  <w:rFonts w:ascii="Times New Roman" w:hAnsi="Times New Roman"/>
                  <w:sz w:val="19"/>
                </w:rPr>
                <w:t xml:space="preserve">, 2018</w:t>
              </w:r>
            </w:hyperlink>
            <w:r>
              <w:rPr>
                <w:color w:val="000000"/>
              </w:rPr>
              <w:t xml:space="preserv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Ekspektasi Cuan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X3.1. Saya membeli </w:t>
            </w:r>
            <w:r>
              <w:rPr>
                <w:rFonts w:ascii="Times New Roman" w:hAnsi="Times New Roman"/>
                <w:i/>
                <w:sz w:val="19"/>
                <w:color w:val="000000"/>
              </w:rPr>
              <w:t>pack</w:t>
            </w:r>
            <w:r>
              <w:rPr>
                <w:rFonts w:ascii="Times New Roman" w:hAnsi="Times New Roman"/>
                <w:sz w:val="19"/>
                <w:color w:val="000000"/>
              </w:rPr>
              <w:t xml:space="preserve"> dengan harapan menarik kartu langka bernilai jual tinggi.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Likuiditas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X3.2. Likuiditas pasar sekunder yang aktif mendorong saya membeli kartu sebagai aset berharga.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Capital Gain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X3.3. Saya memantau kenaikan harga pasar kartu langka untuk dijual kembali demi keuntungan.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Potensi Nilai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X3.4. Saya memandang modal membeli beberapa </w:t>
            </w:r>
            <w:r>
              <w:rPr>
                <w:rFonts w:ascii="Times New Roman" w:hAnsi="Times New Roman"/>
                <w:i/>
                <w:sz w:val="19"/>
                <w:color w:val="000000"/>
              </w:rPr>
              <w:t>pack</w:t>
            </w:r>
            <w:r>
              <w:rPr>
                <w:rFonts w:ascii="Times New Roman" w:hAnsi="Times New Roman"/>
                <w:sz w:val="19"/>
                <w:color w:val="000000"/>
              </w:rPr>
              <w:t xml:space="preserve"> sebanding dengan potensi laba kartu langka.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Grading Value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X3.5. Saya tertarik dengan sertifikasi keaslian (</w:t>
            </w:r>
            <w:r>
              <w:rPr>
                <w:rFonts w:ascii="Times New Roman" w:hAnsi="Times New Roman"/>
                <w:i/>
                <w:sz w:val="19"/>
                <w:color w:val="000000"/>
              </w:rPr>
              <w:t>grading</w:t>
            </w:r>
            <w:r>
              <w:rPr>
                <w:rFonts w:ascii="Times New Roman" w:hAnsi="Times New Roman"/>
                <w:sz w:val="19"/>
                <w:color w:val="000000"/>
              </w:rPr>
              <w:t>) kartu demi menaikkan nilai investasi lelang.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Self-Control (M)</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Kapasitas volisional menolak godaan belanja spontan dan menunda kepuasan sesaat (</w:t>
            </w:r>
            <w:hyperlink w:anchor="Ref_tangney2004high" w:history="1">
              <w:r>
                <w:t xml:space="preserve">Tangney </w:t>
              </w:r>
              <w:r>
                <w:rPr>
                  <w:rFonts w:ascii="Times New Roman" w:hAnsi="Times New Roman"/>
                  <w:i/>
                  <w:sz w:val="19"/>
                </w:rPr>
                <w:t>et al.</w:t>
              </w:r>
              <w:r>
                <w:rPr>
                  <w:rFonts w:ascii="Times New Roman" w:hAnsi="Times New Roman"/>
                  <w:sz w:val="19"/>
                </w:rPr>
                <w:t xml:space="preserve">, 2004</w:t>
              </w:r>
            </w:hyperlink>
            <w:r>
              <w:rPr>
                <w:color w:val="000000"/>
              </w:rPr>
              <w:t xml:space="preserve">; </w:t>
            </w:r>
            <w:hyperlink w:anchor="Ref_vohs2007spent" w:history="1">
              <w:r>
                <w:t xml:space="preserve">Vohs dan Faber, 2007</w:t>
              </w:r>
            </w:hyperlink>
            <w:r>
              <w:rPr>
                <w:color w:val="000000"/>
              </w:rPr>
              <w:t xml:space="preserve">; </w:t>
            </w:r>
            <w:hyperlink w:anchor="Ref_sultan2012building" w:history="1">
              <w:r>
                <w:t xml:space="preserve">Sultan </w:t>
              </w:r>
              <w:r>
                <w:rPr>
                  <w:rFonts w:ascii="Times New Roman" w:hAnsi="Times New Roman"/>
                  <w:i/>
                  <w:sz w:val="19"/>
                </w:rPr>
                <w:t>et al.</w:t>
              </w:r>
              <w:r>
                <w:rPr>
                  <w:rFonts w:ascii="Times New Roman" w:hAnsi="Times New Roman"/>
                  <w:sz w:val="19"/>
                </w:rPr>
                <w:t xml:space="preserve">, 2012</w:t>
              </w:r>
            </w:hyperlink>
            <w:r>
              <w:rPr>
                <w:color w:val="000000"/>
              </w:rPr>
              <w:t xml:space="preserv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Tahan Godaan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M1. Saya mampu menolak godaan membeli barang menarik jika di luar perencanaan anggaran saya.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Non-Impulsif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M2. Saya terbiasa berpikir tenang dan mempertimbangkan dampak pengeluaran sebelum bertransaksi.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Tunda Kepuasan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M3. Saya mampu menahan diri dari kesenangan belanja saat ini demi menjaga tujuan keuangan masa depan.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Disiplin Diri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M4. Saya memiliki disiplin diri yang kuat untuk tidak membeli barang secara mendadak di kasir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Kontrol Emosi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M5. Saya tidak mudah terhanyut oleh suasana hati atau kegembiraan sesaat dalam membelanjakan uang.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Taat Anggaran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M6. Saya secara konsisten mematuhi alokasi batas pengeluaran hobi yang telah saya rencanakan.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Diadaptasi dari instrumen penelitian terdahulu yang tervalidasi (2026).</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3.5 Metode Analisis Data</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3.5.1 Justifikasi Komparatif Pemilihan Metode Analisis</w:t>
      </w:r>
    </w:p>
    <w:p>
      <w:pPr>
        <w:spacing w:line="360" w:lineRule="auto" w:before="0" w:after="0"/>
        <w:ind w:firstLine="709"/>
        <w:jc w:val="both"/>
      </w:pPr>
      <w:r>
        <w:rPr>
          <w:b w:val="0"/>
          <w:i w:val="0"/>
          <w:sz w:val="24"/>
          <w:color w:val="000000"/>
          <w:rFonts w:ascii="Times New Roman" w:hAnsi="Times New Roman" w:cs="Times New Roman"/>
        </w:rPr>
        <w:t>Dalam pengujian model penelitian kuantitatif eksplanatori yang melibatkan efek moderasi, terdapat beberapa alternatif metode analisis dalam literatur statistik:</w:t>
      </w:r>
    </w:p>
    <w:p>
      <w:pPr>
        <w:spacing w:before="0" w:after="40" w:line="360" w:lineRule="auto"/>
        <w:ind w:left="709" w:hanging="227"/>
        <w:jc w:val="both"/>
      </w:pPr>
      <w:r>
        <w:rPr>
          <w:b/>
          <w:color w:val="000000"/>
          <w:rFonts w:ascii="Times New Roman" w:hAnsi="Times New Roman" w:cs="Times New Roman"/>
        </w:rPr>
        <w:t xml:space="preserve">•  </w:t>
      </w:r>
      <w:r>
        <w:rPr>
          <w:b/>
          <w:i/>
          <w:sz w:val="24"/>
          <w:color w:val="000000"/>
          <w:rFonts w:ascii="Times New Roman" w:hAnsi="Times New Roman" w:cs="Times New Roman"/>
        </w:rPr>
        <w:t>Structural Equation Modeling</w:t>
      </w:r>
      <w:r>
        <w:rPr>
          <w:b/>
          <w:i w:val="0"/>
          <w:sz w:val="24"/>
          <w:color w:val="000000"/>
          <w:rFonts w:ascii="Times New Roman" w:hAnsi="Times New Roman" w:cs="Times New Roman"/>
        </w:rPr>
        <w:t xml:space="preserve"> (SEM) Berbasis Kovarians (SEM-CB) atau Varian (SEM-PLS):</w:t>
      </w:r>
      <w:r>
        <w:rPr>
          <w:b w:val="0"/>
          <w:i w:val="0"/>
          <w:sz w:val="24"/>
          <w:color w:val="000000"/>
          <w:rFonts w:ascii="Times New Roman" w:hAnsi="Times New Roman" w:cs="Times New Roman"/>
        </w:rPr>
        <w:t xml:space="preserve"> Cocok untuk model bertingkat dengan konstruk laten kompleks dan variabel mediasi simultan. Namun, SEM-CB menuntut asumsi distribusi normal multivariat yang sangat ketat serta sampel besar (</w:t>
      </w:r>
      <w:r>
        <w:rPr>
          <w:b w:val="0"/>
          <w:i/>
          <w:sz w:val="24"/>
          <w:color w:val="000000"/>
          <w:rFonts w:ascii="Times New Roman" w:hAnsi="Times New Roman" w:cs="Times New Roman"/>
        </w:rPr>
        <w:t>N</w:t>
      </w:r>
      <w:r>
        <w:rPr>
          <w:b w:val="0"/>
          <w:i w:val="0"/>
          <w:sz w:val="24"/>
          <w:color w:val="000000"/>
          <w:rFonts w:ascii="Times New Roman" w:hAnsi="Times New Roman" w:cs="Times New Roman"/>
        </w:rPr>
        <w:t xml:space="preserve"> &gt; 200), sedangkan SEM-PLS lebih ditujukan untuk pemodelan prediktif eksploratif </w:t>
      </w:r>
      <w:hyperlink w:anchor="Ref_hair2019multivariate" w:history="1">
        <w:r>
          <w:t xml:space="preserve">(Hair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2019)</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i/>
          <w:sz w:val="24"/>
          <w:color w:val="000000"/>
          <w:rFonts w:ascii="Times New Roman" w:hAnsi="Times New Roman" w:cs="Times New Roman"/>
        </w:rPr>
        <w:t>Moderated Regression Analysis</w:t>
      </w:r>
      <w:r>
        <w:rPr>
          <w:b/>
          <w:i w:val="0"/>
          <w:sz w:val="24"/>
          <w:color w:val="000000"/>
          <w:rFonts w:ascii="Times New Roman" w:hAnsi="Times New Roman" w:cs="Times New Roman"/>
        </w:rPr>
        <w:t xml:space="preserve"> (MRA) Berbasis </w:t>
      </w:r>
      <w:r>
        <w:rPr>
          <w:b/>
          <w:i/>
          <w:sz w:val="24"/>
          <w:color w:val="000000"/>
          <w:rFonts w:ascii="Times New Roman" w:hAnsi="Times New Roman" w:cs="Times New Roman"/>
        </w:rPr>
        <w:t>Ordinary Least Squares</w:t>
      </w:r>
      <w:r>
        <w:rPr>
          <w:b/>
          <w:i w:val="0"/>
          <w:sz w:val="24"/>
          <w:color w:val="000000"/>
          <w:rFonts w:ascii="Times New Roman" w:hAnsi="Times New Roman" w:cs="Times New Roman"/>
        </w:rPr>
        <w:t xml:space="preserve"> (OLS):</w:t>
      </w:r>
      <w:r>
        <w:rPr>
          <w:b w:val="0"/>
          <w:i w:val="0"/>
          <w:sz w:val="24"/>
          <w:color w:val="000000"/>
          <w:rFonts w:ascii="Times New Roman" w:hAnsi="Times New Roman"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t xml:space="preserve">Aiken dan West, 1991</w:t>
        </w:r>
      </w:hyperlink>
      <w:r>
        <w:rPr>
          <w:color w:val="000000"/>
          <w:rFonts w:ascii="Times New Roman" w:hAnsi="Times New Roman" w:cs="Times New Roman"/>
        </w:rPr>
        <w:t xml:space="preserve">; </w:t>
      </w:r>
      <w:hyperlink w:anchor="Ref_hayes2018introduction" w:history="1">
        <w:r>
          <w:t xml:space="preserve">Hayes, 2018</w:t>
        </w:r>
      </w:hyperlink>
      <w:r>
        <w:rPr>
          <w:color w:val="000000"/>
          <w:rFonts w:ascii="Times New Roman" w:hAnsi="Times New Roman" w:cs="Times New Roman"/>
        </w:rPr>
        <w:t xml:space="preserve">; </w:t>
      </w:r>
      <w:hyperlink w:anchor="Ref_ghozali2018aplikasi" w:history="1">
        <w:r>
          <w:t xml:space="preserve">Ghozali, 2018</w:t>
        </w:r>
      </w:hyperlink>
      <w:r>
        <w:rPr>
          <w:color w:val="000000"/>
          <w:rFonts w:ascii="Times New Roman" w:hAnsi="Times New Roman" w:cs="Times New Roman"/>
        </w:rPr>
        <w:t xml:space="preserve">).</w:t>
      </w:r>
    </w:p>
    <w:p>
      <w:pPr>
        <w:spacing w:line="360" w:lineRule="auto" w:before="0" w:after="0"/>
        <w:ind w:firstLine="709"/>
        <w:jc w:val="both"/>
      </w:pPr>
      <w:r>
        <w:rPr>
          <w:b w:val="0"/>
          <w:i w:val="0"/>
          <w:sz w:val="24"/>
          <w:color w:val="000000"/>
          <w:rFonts w:ascii="Times New Roman" w:hAnsi="Times New Roman" w:cs="Times New Roman"/>
        </w:rPr>
        <w:t xml:space="preserve">Penelitian ini menetapkan </w:t>
      </w:r>
      <w:r>
        <w:rPr>
          <w:b/>
          <w:i w:val="0"/>
          <w:sz w:val="24"/>
          <w:color w:val="000000"/>
          <w:rFonts w:ascii="Times New Roman" w:hAnsi="Times New Roman" w:cs="Times New Roman"/>
        </w:rPr>
        <w:t>MRA berbasis OLS berbantuan IBM SPSS Statistics</w:t>
      </w:r>
      <w:r>
        <w:rPr>
          <w:b w:val="0"/>
          <w:i w:val="0"/>
          <w:sz w:val="24"/>
          <w:color w:val="000000"/>
          <w:rFonts w:ascii="Times New Roman" w:hAnsi="Times New Roman" w:cs="Times New Roman"/>
        </w:rPr>
        <w:t xml:space="preserve"> sebagai metode yang dipilih, dengan pertimbangan metodologis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Seluruh variabel penelitian diukur menggunakan skala komposit teruji dengan indikator-indikator yang terdefinisi secara terfokus.</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Ukuran sampel penelitian (120–150 responden) berada pada rentang yang sangat ideal dan kokoh untuk OLS, tanpa menimbulkan risiko estimasi berlebih (</w:t>
      </w:r>
      <w:r>
        <w:rPr>
          <w:b w:val="0"/>
          <w:i/>
          <w:sz w:val="24"/>
          <w:color w:val="000000"/>
          <w:rFonts w:ascii="Times New Roman" w:hAnsi="Times New Roman" w:cs="Times New Roman"/>
        </w:rPr>
        <w:t>over-parameterization</w:t>
      </w:r>
      <w:r>
        <w:rPr>
          <w:b w:val="0"/>
          <w:i w:val="0"/>
          <w:sz w:val="24"/>
          <w:color w:val="000000"/>
          <w:rFonts w:ascii="Times New Roman" w:hAnsi="Times New Roman" w:cs="Times New Roman"/>
        </w:rPr>
        <w:t xml:space="preserve">) yang sering terjadi pada SEM </w:t>
      </w:r>
      <w:hyperlink w:anchor="Ref_hair2019multivariate" w:history="1">
        <w:r>
          <w:t xml:space="preserve">(Hair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2019)</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Prosedur pemusatan nilai rata-rata (</w:t>
      </w:r>
      <w:r>
        <w:rPr>
          <w:b w:val="0"/>
          <w:i/>
          <w:sz w:val="24"/>
          <w:color w:val="000000"/>
          <w:rFonts w:ascii="Times New Roman" w:hAnsi="Times New Roman" w:cs="Times New Roman"/>
        </w:rPr>
        <w:t>mean-centering</w:t>
      </w:r>
      <w:r>
        <w:rPr>
          <w:b w:val="0"/>
          <w:i w:val="0"/>
          <w:sz w:val="24"/>
          <w:color w:val="000000"/>
          <w:rFonts w:ascii="Times New Roman" w:hAnsi="Times New Roman" w:cs="Times New Roman"/>
        </w:rPr>
        <w:t>) (</w:t>
      </w:r>
      <w:r>
        <w:rPr>
          <w:b w:val="0"/>
          <w:i/>
          <w:sz w:val="24"/>
          <w:color w:val="000000"/>
          <w:rFonts w:ascii="Times New Roman" w:hAnsi="Times New Roman" w:cs="Times New Roman"/>
        </w:rPr>
        <w:t>X</w:t>
      </w:r>
      <w:r>
        <w:rPr>
          <w:b w:val="0"/>
          <w:i w:val="0"/>
          <w:sz w:val="24"/>
          <w:color w:val="000000"/>
          <w:rFonts w:ascii="Times New Roman" w:hAnsi="Times New Roman" w:cs="Times New Roman"/>
        </w:rPr>
        <w:t>ᵢ</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ᵢ −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ᵢ;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 yang diterapkan secara efektif mereduksi multikolinearitas non-esensial antara variabel prediktor dengan produk interaksinya tanpa mengubah nilai prediksi model (</w:t>
      </w:r>
      <w:r>
        <w:rPr>
          <w:b w:val="0"/>
          <w:i/>
          <w:sz w:val="24"/>
          <w:color w:val="000000"/>
          <w:rFonts w:ascii="Times New Roman" w:hAnsi="Times New Roman" w:cs="Times New Roman"/>
        </w:rPr>
        <w:t>R</w:t>
      </w:r>
      <w:r>
        <w:rPr>
          <w:b w:val="0"/>
          <w:i w:val="0"/>
          <w:sz w:val="24"/>
          <w:color w:val="000000"/>
          <w:rFonts w:ascii="Times New Roman" w:hAnsi="Times New Roman" w:cs="Times New Roman"/>
        </w:rPr>
        <w:t>²) maupun koefisien interaksi, serta memfasilitasi interpretasi koefisien efek utama β₁, β₂, β₃ pada nilai rata-rata pemoderasi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0) (</w:t>
      </w:r>
      <w:hyperlink w:anchor="Ref_aiken1991multiple" w:history="1">
        <w:r>
          <w:t xml:space="preserve">Aiken dan West, 1991</w:t>
        </w:r>
      </w:hyperlink>
      <w:r>
        <w:rPr>
          <w:color w:val="000000"/>
          <w:rFonts w:ascii="Times New Roman" w:hAnsi="Times New Roman" w:cs="Times New Roman"/>
        </w:rPr>
        <w:t xml:space="preserve">; </w:t>
      </w:r>
      <w:hyperlink w:anchor="Ref_hayes2018introduction" w:history="1">
        <w:r>
          <w:t xml:space="preserve">Hayes, 2018</w:t>
        </w:r>
      </w:hyperlink>
      <w:r>
        <w:rPr>
          <w:color w:val="000000"/>
          <w:rFonts w:ascii="Times New Roman" w:hAnsi="Times New Roman" w:cs="Times New Roman"/>
        </w:rPr>
        <w:t xml:space="preserve">).</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Metode ini telah dipakai sejumlah penelitian untuk menguji moderasi kontrol diri terhadap perilaku pembelian impulsif (</w:t>
      </w:r>
      <w:hyperlink w:anchor="Ref_sultan2012building" w:history="1">
        <w:r>
          <w:t xml:space="preserve">Sultan </w:t>
        </w:r>
        <w:r>
          <w:rPr>
            <w:b w:val="0"/>
            <w:i/>
            <w:sz w:val="24"/>
            <w:color w:val="000000"/>
            <w:rFonts w:ascii="Times New Roman" w:hAnsi="Times New Roman" w:cs="Times New Roman"/>
          </w:rPr>
          <w:t>et al.</w:t>
        </w:r>
        <w:r>
          <w:rPr>
            <w:b w:val="0"/>
            <w:i w:val="0"/>
            <w:sz w:val="24"/>
            <w:color w:val="000000"/>
            <w:rFonts w:ascii="Times New Roman" w:hAnsi="Times New Roman" w:cs="Times New Roman"/>
          </w:rPr>
          <w:t xml:space="preserve">, 2012</w:t>
        </w:r>
      </w:hyperlink>
      <w:r>
        <w:rPr>
          <w:color w:val="000000"/>
          <w:rFonts w:ascii="Times New Roman" w:hAnsi="Times New Roman" w:cs="Times New Roman"/>
        </w:rPr>
        <w:t xml:space="preserve">; </w:t>
      </w:r>
      <w:hyperlink w:anchor="Ref_apidana2022peran" w:history="1">
        <w:r>
          <w:t xml:space="preserve">Apidana dan Kholifah, 2022</w:t>
        </w:r>
      </w:hyperlink>
      <w:r>
        <w:rPr>
          <w:color w:val="000000"/>
          <w:rFonts w:ascii="Times New Roman" w:hAnsi="Times New Roman" w:cs="Times New Roman"/>
        </w:rPr>
        <w:t xml:space="preserve">; </w:t>
      </w:r>
      <w:hyperlink w:anchor="Ref_lienardy2026role" w:history="1">
        <w:r>
          <w:t xml:space="preserve">Lienardy dan Panasea, 2026</w:t>
        </w:r>
      </w:hyperlink>
      <w:r>
        <w:rPr>
          <w:color w:val="000000"/>
          <w:rFonts w:ascii="Times New Roman" w:hAnsi="Times New Roman" w:cs="Times New Roman"/>
        </w:rPr>
        <w:t xml:space="preserve">).</w:t>
      </w:r>
    </w:p>
    <w:p>
      <w:pPr>
        <w:spacing w:line="360" w:lineRule="auto" w:before="0" w:after="0"/>
        <w:ind w:firstLine="709"/>
        <w:jc w:val="both"/>
      </w:pPr>
      <w:r>
        <w:rPr>
          <w:b w:val="0"/>
          <w:i w:val="0"/>
          <w:sz w:val="24"/>
          <w:color w:val="000000"/>
          <w:rFonts w:ascii="Times New Roman" w:hAnsi="Times New Roman" w:cs="Times New Roman"/>
        </w:rPr>
        <w:t>Tahapan analisis data secara sistematis dilaksanakan sebagai berikut:</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3.5.2 Penyusunan Skor Komposit dan Uji Kualitas Data</w:t>
      </w:r>
    </w:p>
    <w:p>
      <w:pPr>
        <w:spacing w:line="360" w:lineRule="auto" w:before="0" w:after="0"/>
        <w:ind w:firstLine="709"/>
        <w:jc w:val="both"/>
      </w:pPr>
      <w:r>
        <w:rPr>
          <w:b w:val="0"/>
          <w:i w:val="0"/>
          <w:sz w:val="24"/>
          <w:color w:val="000000"/>
          <w:rFonts w:ascii="Times New Roman" w:hAnsi="Times New Roman" w:cs="Times New Roman"/>
        </w:rPr>
        <w:t>Skor tiap variabel merupakan nilai rata-rata (</w:t>
      </w:r>
      <w:r>
        <w:rPr>
          <w:b w:val="0"/>
          <w:i/>
          <w:sz w:val="24"/>
          <w:color w:val="000000"/>
          <w:rFonts w:ascii="Times New Roman" w:hAnsi="Times New Roman" w:cs="Times New Roman"/>
        </w:rPr>
        <w:t>mean composite</w:t>
      </w:r>
      <w:r>
        <w:rPr>
          <w:b w:val="0"/>
          <w:i w:val="0"/>
          <w:sz w:val="24"/>
          <w:color w:val="000000"/>
          <w:rFonts w:ascii="Times New Roman" w:hAnsi="Times New Roman" w:cs="Times New Roman"/>
        </w:rPr>
        <w:t>) dari seluruh butir indikator yang valid pada variabel tersebut. Seluruh butir dikodekan searah dan positif (skor 5 menunjukkan tingkatan konstruk tertinggi). Instrumen diuji kualitasnya sebelum estimasi regresi melalui: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Validitas Butir:</w:t>
      </w:r>
      <w:r>
        <w:rPr>
          <w:b w:val="0"/>
          <w:i w:val="0"/>
          <w:sz w:val="24"/>
          <w:color w:val="000000"/>
          <w:rFonts w:ascii="Times New Roman" w:hAnsi="Times New Roman" w:cs="Times New Roman"/>
        </w:rPr>
        <w:t xml:space="preserve"> Teknik korelasi butir-total Pearson (</w:t>
      </w:r>
      <w:r>
        <w:rPr>
          <w:b w:val="0"/>
          <w:i/>
          <w:sz w:val="24"/>
          <w:color w:val="000000"/>
          <w:rFonts w:ascii="Times New Roman" w:hAnsi="Times New Roman" w:cs="Times New Roman"/>
        </w:rPr>
        <w:t>Pearson product-moment item-total</w:t>
      </w:r>
      <w:r>
        <w:rPr>
          <w:b w:val="0"/>
          <w:i w:val="0"/>
          <w:sz w:val="24"/>
          <w:color w:val="000000"/>
          <w:rFonts w:ascii="Times New Roman" w:hAnsi="Times New Roman" w:cs="Times New Roman"/>
        </w:rPr>
        <w:t xml:space="preserve">) terhadap skor komposit konstruk tujuan dipakai. Butir dinyatakan valid jika </w:t>
      </w:r>
      <w:r>
        <w:rPr>
          <w:b w:val="0"/>
          <w:i/>
          <w:sz w:val="24"/>
          <w:color w:val="000000"/>
          <w:rFonts w:ascii="Times New Roman" w:hAnsi="Times New Roman" w:cs="Times New Roman"/>
        </w:rPr>
        <w:t>r</w:t>
      </w:r>
      <w:r>
        <w:rPr>
          <w:b w:val="0"/>
          <w:i w:val="0"/>
          <w:sz w:val="24"/>
          <w:color w:val="000000"/>
          <w:rFonts w:ascii="Times New Roman" w:hAnsi="Times New Roman" w:cs="Times New Roman"/>
        </w:rPr>
        <w:t xml:space="preserve">_{hitung} &gt; </w:t>
      </w:r>
      <w:r>
        <w:rPr>
          <w:b w:val="0"/>
          <w:i/>
          <w:sz w:val="24"/>
          <w:color w:val="000000"/>
          <w:rFonts w:ascii="Times New Roman" w:hAnsi="Times New Roman" w:cs="Times New Roman"/>
        </w:rPr>
        <w:t>r</w:t>
      </w:r>
      <w:r>
        <w:rPr>
          <w:b w:val="0"/>
          <w:i w:val="0"/>
          <w:sz w:val="24"/>
          <w:color w:val="000000"/>
          <w:rFonts w:ascii="Times New Roman" w:hAnsi="Times New Roman" w:cs="Times New Roman"/>
        </w:rPr>
        <w:t>_{tabel} pada taraf nyata 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Reliabilitas Konsistensi Internal:</w:t>
      </w:r>
      <w:r>
        <w:rPr>
          <w:b w:val="0"/>
          <w:i w:val="0"/>
          <w:sz w:val="24"/>
          <w:color w:val="000000"/>
          <w:rFonts w:ascii="Times New Roman" w:hAnsi="Times New Roman" w:cs="Times New Roman"/>
        </w:rPr>
        <w:t xml:space="preserve"> Koefisien </w:t>
      </w:r>
      <w:r>
        <w:rPr>
          <w:b w:val="0"/>
          <w:i/>
          <w:sz w:val="24"/>
          <w:color w:val="000000"/>
          <w:rFonts w:ascii="Times New Roman" w:hAnsi="Times New Roman" w:cs="Times New Roman"/>
        </w:rPr>
        <w:t>Cronbach's Alpha</w:t>
      </w:r>
      <w:r>
        <w:rPr>
          <w:b w:val="0"/>
          <w:i w:val="0"/>
          <w:sz w:val="24"/>
          <w:color w:val="000000"/>
          <w:rFonts w:ascii="Times New Roman" w:hAnsi="Times New Roman" w:cs="Times New Roman"/>
        </w:rPr>
        <w:t xml:space="preserve"> dipakai. Konstruk dinyatakan reliabel jika </w:t>
      </w:r>
      <w:r>
        <w:rPr>
          <w:b w:val="0"/>
          <w:i/>
          <w:sz w:val="24"/>
          <w:color w:val="000000"/>
          <w:rFonts w:ascii="Times New Roman" w:hAnsi="Times New Roman" w:cs="Times New Roman"/>
        </w:rPr>
        <w:t>Cronbach's Alpha</w:t>
      </w:r>
      <w:r>
        <w:rPr>
          <w:b w:val="0"/>
          <w:i w:val="0"/>
          <w:sz w:val="24"/>
          <w:color w:val="000000"/>
          <w:rFonts w:ascii="Times New Roman" w:hAnsi="Times New Roman" w:cs="Times New Roman"/>
        </w:rPr>
        <w:t xml:space="preserve"> ≥ 0,60 (</w:t>
      </w:r>
      <w:hyperlink w:anchor="Ref_ghozali2018aplikasi" w:history="1">
        <w:r>
          <w:t xml:space="preserve">Ghozali, 2018</w:t>
        </w:r>
      </w:hyperlink>
      <w:r>
        <w:rPr>
          <w:color w:val="000000"/>
          <w:rFonts w:ascii="Times New Roman" w:hAnsi="Times New Roman" w:cs="Times New Roman"/>
        </w:rPr>
        <w:t xml:space="preserve">; </w:t>
      </w:r>
      <w:hyperlink w:anchor="Ref_sekaran2016research" w:history="1">
        <w:r>
          <w:t xml:space="preserve">Sekaran dan Bougie, 2016</w:t>
        </w:r>
      </w:hyperlink>
      <w:r>
        <w:rPr>
          <w:color w:val="000000"/>
          <w:rFonts w:ascii="Times New Roman" w:hAnsi="Times New Roman" w:cs="Times New Roman"/>
        </w:rPr>
        <w:t xml:space="preserve">).</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3.5.3 Uji Asumsi Klasik</w:t>
      </w:r>
    </w:p>
    <w:p>
      <w:pPr>
        <w:spacing w:line="360" w:lineRule="auto" w:before="0" w:after="0"/>
        <w:ind w:firstLine="709"/>
        <w:jc w:val="both"/>
      </w:pPr>
      <w:r>
        <w:rPr>
          <w:b w:val="0"/>
          <w:i w:val="0"/>
          <w:sz w:val="24"/>
          <w:color w:val="000000"/>
          <w:rFonts w:ascii="Times New Roman" w:hAnsi="Times New Roman" w:cs="Times New Roman"/>
        </w:rPr>
        <w:t>Untuk memastikan terpenuhinya prasyarat estimasi regresi OLS agar parameter penduga bersifat tidak bias dan konsisten dalam pengujian hipotesis: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Normalitas Residual:</w:t>
      </w:r>
      <w:r>
        <w:rPr>
          <w:b w:val="0"/>
          <w:i w:val="0"/>
          <w:sz w:val="24"/>
          <w:color w:val="000000"/>
          <w:rFonts w:ascii="Times New Roman" w:hAnsi="Times New Roman" w:cs="Times New Roman"/>
        </w:rPr>
        <w:t xml:space="preserve"> Uji non-parametrik </w:t>
      </w:r>
      <w:r>
        <w:rPr>
          <w:b w:val="0"/>
          <w:i/>
          <w:sz w:val="24"/>
          <w:color w:val="000000"/>
          <w:rFonts w:ascii="Times New Roman" w:hAnsi="Times New Roman" w:cs="Times New Roman"/>
        </w:rPr>
        <w:t>One-Sample Kolmogorov-Smirnov</w:t>
      </w:r>
      <w:r>
        <w:rPr>
          <w:b w:val="0"/>
          <w:i w:val="0"/>
          <w:sz w:val="24"/>
          <w:color w:val="000000"/>
          <w:rFonts w:ascii="Times New Roman" w:hAnsi="Times New Roman" w:cs="Times New Roman"/>
        </w:rPr>
        <w:t xml:space="preserve"> dipakai untuk menilai kenormalan residual; residual dinyatakan normal jika signifikansi asimtotik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&gt; 0,05.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Multikolinearitas:</w:t>
      </w:r>
      <w:r>
        <w:rPr>
          <w:b w:val="0"/>
          <w:i w:val="0"/>
          <w:sz w:val="24"/>
          <w:color w:val="000000"/>
          <w:rFonts w:ascii="Times New Roman" w:hAnsi="Times New Roman" w:cs="Times New Roman"/>
        </w:rPr>
        <w:t xml:space="preserve"> Ketiadaan hubungan linear sempurna antarvariabel independen dinilai dari </w:t>
      </w:r>
      <w:r>
        <w:rPr>
          <w:b w:val="0"/>
          <w:i/>
          <w:sz w:val="24"/>
          <w:color w:val="000000"/>
          <w:rFonts w:ascii="Times New Roman" w:hAnsi="Times New Roman" w:cs="Times New Roman"/>
        </w:rPr>
        <w:t>Tolerance</w:t>
      </w:r>
      <w:r>
        <w:rPr>
          <w:b w:val="0"/>
          <w:i w:val="0"/>
          <w:sz w:val="24"/>
          <w:color w:val="000000"/>
          <w:rFonts w:ascii="Times New Roman" w:hAnsi="Times New Roman" w:cs="Times New Roman"/>
        </w:rPr>
        <w:t xml:space="preserve"> (&gt; 0,10) dan </w:t>
      </w:r>
      <w:r>
        <w:rPr>
          <w:b w:val="0"/>
          <w:i/>
          <w:sz w:val="24"/>
          <w:color w:val="000000"/>
          <w:rFonts w:ascii="Times New Roman" w:hAnsi="Times New Roman" w:cs="Times New Roman"/>
        </w:rPr>
        <w:t>Variance Inflation Factor</w:t>
      </w:r>
      <w:r>
        <w:rPr>
          <w:b w:val="0"/>
          <w:i w:val="0"/>
          <w:sz w:val="24"/>
          <w:color w:val="000000"/>
          <w:rFonts w:ascii="Times New Roman" w:hAnsi="Times New Roman" w:cs="Times New Roman"/>
        </w:rPr>
        <w:t xml:space="preserve"> (VIF &lt; 10) pada Model 1/efek utama. VIF tinggi pada blok interaksi Model 2 pasca-</w:t>
      </w:r>
      <w:r>
        <w:rPr>
          <w:b w:val="0"/>
          <w:i/>
          <w:sz w:val="24"/>
          <w:color w:val="000000"/>
          <w:rFonts w:ascii="Times New Roman" w:hAnsi="Times New Roman" w:cs="Times New Roman"/>
        </w:rPr>
        <w:t>mean-centering</w:t>
      </w:r>
      <w:r>
        <w:rPr>
          <w:b w:val="0"/>
          <w:i w:val="0"/>
          <w:sz w:val="24"/>
          <w:color w:val="000000"/>
          <w:rFonts w:ascii="Times New Roman" w:hAnsi="Times New Roman" w:cs="Times New Roman"/>
        </w:rPr>
        <w:t xml:space="preserve"> yang didorong teori tidak serta-merta dinyatakan pelanggaran, karena korelasi struktural prediktor–interaksi bersifat ekspektasian dan </w:t>
      </w:r>
      <w:r>
        <w:rPr>
          <w:b w:val="0"/>
          <w:i/>
          <w:sz w:val="24"/>
          <w:color w:val="000000"/>
          <w:rFonts w:ascii="Times New Roman" w:hAnsi="Times New Roman" w:cs="Times New Roman"/>
        </w:rPr>
        <w:t>centering</w:t>
      </w:r>
      <w:r>
        <w:rPr>
          <w:b w:val="0"/>
          <w:i w:val="0"/>
          <w:sz w:val="24"/>
          <w:color w:val="000000"/>
          <w:rFonts w:ascii="Times New Roman" w:hAnsi="Times New Roman" w:cs="Times New Roman"/>
        </w:rPr>
        <w:t xml:space="preserve"> hanya mereduksi multikolinearitas non-esensial.</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Heteroskedastisitas:</w:t>
      </w:r>
      <w:r>
        <w:rPr>
          <w:b w:val="0"/>
          <w:i w:val="0"/>
          <w:sz w:val="24"/>
          <w:color w:val="000000"/>
          <w:rFonts w:ascii="Times New Roman" w:hAnsi="Times New Roman" w:cs="Times New Roman"/>
        </w:rPr>
        <w:t xml:space="preserve"> Uji Glejser dipakai untuk kesamaan varians residual; model bebas heteroskedastisitas apabila signifikansi parameter terhadap nilai absolut residual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&gt; 0,05.</w:t>
      </w:r>
    </w:p>
    <w:p>
      <w:pPr>
        <w:spacing w:line="360" w:lineRule="auto" w:before="0" w:after="0"/>
        <w:ind w:firstLine="709"/>
        <w:jc w:val="both"/>
      </w:pPr>
      <w:r>
        <w:rPr>
          <w:b w:val="0"/>
          <w:i/>
          <w:sz w:val="24"/>
          <w:color w:val="000000"/>
          <w:rFonts w:ascii="Times New Roman" w:hAnsi="Times New Roman" w:cs="Times New Roman"/>
        </w:rPr>
        <w:t>Catatan metodologis:</w:t>
      </w:r>
      <w:r>
        <w:rPr>
          <w:b w:val="0"/>
          <w:i w:val="0"/>
          <w:sz w:val="24"/>
          <w:color w:val="000000"/>
          <w:rFonts w:ascii="Times New Roman" w:hAnsi="Times New Roman" w:cs="Times New Roman"/>
        </w:rPr>
        <w:t xml:space="preserve"> Uji autokorelasi (seperti uji Durbin-Watson) sengaja tidak dilakukan karena pengujian autokorelasi secara teoritis hanya relevan untuk data runtun waktu (</w:t>
      </w:r>
      <w:r>
        <w:rPr>
          <w:b w:val="0"/>
          <w:i/>
          <w:sz w:val="24"/>
          <w:color w:val="000000"/>
          <w:rFonts w:ascii="Times New Roman" w:hAnsi="Times New Roman" w:cs="Times New Roman"/>
        </w:rPr>
        <w:t>time-series</w:t>
      </w:r>
      <w:r>
        <w:rPr>
          <w:b w:val="0"/>
          <w:i w:val="0"/>
          <w:sz w:val="24"/>
          <w:color w:val="000000"/>
          <w:rFonts w:ascii="Times New Roman" w:hAnsi="Times New Roman" w:cs="Times New Roman"/>
        </w:rPr>
        <w:t xml:space="preserve">) atau data panel berurutan, bukan untuk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primer </w:t>
      </w:r>
      <w:hyperlink w:anchor="Ref_ghozali2018aplikasi" w:history="1">
        <w:r>
          <w:t xml:space="preserve">(Ghozali, 2018)</w:t>
        </w:r>
      </w:hyperlink>
      <w:r>
        <w:rPr>
          <w:color w:val="000000"/>
          <w:rFonts w:ascii="Times New Roman" w:hAnsi="Times New Roman" w:cs="Times New Roman"/>
        </w:rPr>
        <w:t xml:space="preserve">.</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3.5.4 Estimasi Regresi Hirarkis dan MRA</w:t>
      </w:r>
    </w:p>
    <w:p>
      <w:pPr>
        <w:spacing w:line="360" w:lineRule="auto" w:before="0" w:after="0"/>
        <w:ind w:firstLine="709"/>
        <w:jc w:val="both"/>
      </w:pPr>
      <w:r>
        <w:rPr>
          <w:b w:val="0"/>
          <w:i w:val="0"/>
          <w:sz w:val="24"/>
          <w:color w:val="000000"/>
          <w:rFonts w:ascii="Times New Roman" w:hAnsi="Times New Roman" w:cs="Times New Roman"/>
        </w:rPr>
        <w:t>Analisis regresi dilakukan dalam dua tahapan hirarkis berurutan:</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Tahap 1 (Model 1 Aditif Baseline, Persamaan Mengestimasi efek utama ketiga variabel anteseden terpusat (</w:t>
      </w:r>
      <w:r>
        <w:rPr>
          <w:b w:val="0"/>
          <w:i/>
          <w:sz w:val="24"/>
          <w:color w:val="000000"/>
          <w:rFonts w:ascii="Times New Roman" w:hAnsi="Times New Roman" w:cs="Times New Roman"/>
        </w:rPr>
        <w:t>X</w:t>
      </w:r>
      <w:r>
        <w:rPr>
          <w:b w:val="0"/>
          <w:i w:val="0"/>
          <w:sz w:val="24"/>
          <w:color w:val="000000"/>
          <w:rFonts w:ascii="Times New Roman" w:hAnsi="Times New Roman" w:cs="Times New Roman"/>
        </w:rPr>
        <w:t>₁</w:t>
      </w:r>
      <w:r>
        <w:rPr>
          <w:b w:val="0"/>
          <w:i/>
          <w:sz w:val="24"/>
          <w:color w:val="000000"/>
          <w:rFonts w:ascii="Times New Roman" w:hAnsi="Times New Roman" w:cs="Times New Roman"/>
        </w:rPr>
        <w:t xml:space="preserve">, </w:t>
      </w:r>
      <w:r>
        <w:rPr>
          <w:b w:val="0"/>
          <w:i w:val="0"/>
          <w:sz w:val="24"/>
          <w:color w:val="000000"/>
          <w:rFonts w:ascii="Times New Roman" w:hAnsi="Times New Roman" w:cs="Times New Roman"/>
        </w:rPr>
        <w:t>X</w:t>
      </w:r>
      <w:r>
        <w:rPr>
          <w:b w:val="0"/>
          <w:i/>
          <w:sz w:val="24"/>
          <w:color w:val="000000"/>
          <w:rFonts w:ascii="Times New Roman" w:hAnsi="Times New Roman" w:cs="Times New Roman"/>
        </w:rPr>
        <w:t>₂</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₃</w:t>
      </w:r>
      <w:r>
        <w:rPr>
          <w:b w:val="0"/>
          <w:i/>
          <w:sz w:val="24"/>
          <w:color w:val="000000"/>
          <w:rFonts w:ascii="Times New Roman" w:hAnsi="Times New Roman" w:cs="Times New Roman"/>
        </w:rPr>
        <w:t>) beserta efek langsung variabel pemoderasi terpusat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Tahap 2 (Model 2 Interaksi Penuh MRA, Persamaan Memasukkan blok tiga istilah interaksi terpusat (</w:t>
      </w:r>
      <w:r>
        <w:rPr>
          <w:b w:val="0"/>
          <w:i/>
          <w:sz w:val="24"/>
          <w:color w:val="000000"/>
          <w:rFonts w:ascii="Times New Roman" w:hAnsi="Times New Roman" w:cs="Times New Roman"/>
        </w:rPr>
        <w:t>X</w:t>
      </w:r>
      <w:r>
        <w:rPr>
          <w:b w:val="0"/>
          <w:i w:val="0"/>
          <w:sz w:val="24"/>
          <w:color w:val="000000"/>
          <w:rFonts w:ascii="Times New Roman" w:hAnsi="Times New Roman" w:cs="Times New Roman"/>
        </w:rPr>
        <w:t>₁</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₂</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₃</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untuk menguji efek moderasi kontrol diri secara simultan dan parsial.</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3.5.5 Uji Koefisien Determinasi (</w:t>
      </w:r>
      <w:r>
        <w:rPr>
          <w:b/>
          <w:i/>
          <w:color w:val="000000"/>
          <w:sz w:val="24"/>
          <w:rFonts w:ascii="Times New Roman" w:hAnsi="Times New Roman" w:cs="Times New Roman"/>
        </w:rPr>
        <w:t>R</w:t>
      </w:r>
      <w:r>
        <w:rPr>
          <w:b/>
          <w:i w:val="0"/>
          <w:color w:val="000000"/>
          <w:sz w:val="24"/>
          <w:rFonts w:ascii="Times New Roman" w:hAnsi="Times New Roman" w:cs="Times New Roman"/>
        </w:rPr>
        <w:t>²) dan Uji F Perubahan</w:t>
      </w:r>
    </w:p>
    <w:p>
      <w:pPr>
        <w:spacing w:line="360" w:lineRule="auto" w:before="0" w:after="0"/>
        <w:ind w:firstLine="709"/>
        <w:jc w:val="both"/>
      </w:pPr>
      <w:r>
        <w:rPr>
          <w:b w:val="0"/>
          <w:i w:val="0"/>
          <w:sz w:val="24"/>
          <w:color w:val="000000"/>
          <w:rFonts w:ascii="Times New Roman" w:hAnsi="Times New Roman" w:cs="Times New Roman"/>
        </w:rPr>
        <w:t xml:space="preserve">Kecocokan model dinilai dari </w:t>
      </w:r>
      <w:r>
        <w:rPr>
          <w:b w:val="0"/>
          <w:i/>
          <w:sz w:val="24"/>
          <w:color w:val="000000"/>
          <w:rFonts w:ascii="Times New Roman" w:hAnsi="Times New Roman" w:cs="Times New Roman"/>
        </w:rPr>
        <w:t>Adjusted</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w:t>
      </w:r>
      <w:r>
        <w:rPr>
          <w:b w:val="0"/>
          <w:i w:val="0"/>
          <w:sz w:val="24"/>
          <w:color w:val="000000"/>
          <w:rFonts w:ascii="Times New Roman" w:hAnsi="Times New Roman" w:cs="Times New Roman"/>
        </w:rPr>
        <w:t xml:space="preserve">² pada Model 1 dan Model 2 sebagai deskriptif. Aturan keputusannya: kontribusi murni blok moderasi terlihat pada peningkatan </w:t>
      </w:r>
      <w:r>
        <w:rPr>
          <w:b w:val="0"/>
          <w:i/>
          <w:sz w:val="24"/>
          <w:color w:val="000000"/>
          <w:rFonts w:ascii="Times New Roman" w:hAnsi="Times New Roman" w:cs="Times New Roman"/>
        </w:rPr>
        <w:t>R</w:t>
      </w:r>
      <w:r>
        <w:rPr>
          <w:b w:val="0"/>
          <w:i w:val="0"/>
          <w:sz w:val="24"/>
          <w:color w:val="000000"/>
          <w:rFonts w:ascii="Times New Roman" w:hAnsi="Times New Roman" w:cs="Times New Roman"/>
        </w:rPr>
        <w:t xml:space="preserve">² biasa (Δ R² = R²_Model 2 - R²_Model 1, bukan dari </w:t>
      </w:r>
      <w:r>
        <w:rPr>
          <w:b w:val="0"/>
          <w:i/>
          <w:sz w:val="24"/>
          <w:color w:val="000000"/>
          <w:rFonts w:ascii="Times New Roman" w:hAnsi="Times New Roman" w:cs="Times New Roman"/>
        </w:rPr>
        <w:t>Adjusted</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w:t>
      </w:r>
      <w:r>
        <w:rPr>
          <w:b w:val="0"/>
          <w:i w:val="0"/>
          <w:sz w:val="24"/>
          <w:color w:val="000000"/>
          <w:rFonts w:ascii="Times New Roman" w:hAnsi="Times New Roman" w:cs="Times New Roman"/>
        </w:rPr>
        <w:t xml:space="preserve">²), yang diuji dengan </w:t>
      </w:r>
      <w:r>
        <w:rPr>
          <w:b w:val="0"/>
          <w:i/>
          <w:sz w:val="24"/>
          <w:color w:val="000000"/>
          <w:rFonts w:ascii="Times New Roman" w:hAnsi="Times New Roman" w:cs="Times New Roman"/>
        </w:rPr>
        <w:t>F</w:t>
      </w:r>
      <w:r>
        <w:rPr>
          <w:b w:val="0"/>
          <w:i w:val="0"/>
          <w:sz w:val="24"/>
          <w:color w:val="000000"/>
          <w:rFonts w:ascii="Times New Roman" w:hAnsi="Times New Roman" w:cs="Times New Roman"/>
        </w:rPr>
        <w:t>_{change} pada taraf nyata 5\</w:t>
      </w:r>
    </w:p>
    <w:p>
      <w:pPr>
        <w:pStyle w:val="Heading3"/>
        <w:keepNext/>
        <w:spacing w:before="120" w:after="60" w:line="360" w:lineRule="auto"/>
        <w:ind w:firstLine="0"/>
        <w:jc w:val="left"/>
        <w:outlineLvl w:val="2"/>
      </w:pPr>
      <w:r>
        <w:rPr>
          <w:b/>
          <w:i w:val="0"/>
          <w:color w:val="000000"/>
          <w:sz w:val="24"/>
          <w:rFonts w:ascii="Times New Roman" w:hAnsi="Times New Roman" w:cs="Times New Roman"/>
        </w:rPr>
        <w:t>3.5.6 Uji Hipotesis dan Analisis Kemiringan Bersyarat (</w:t>
      </w:r>
      <w:r>
        <w:rPr>
          <w:b/>
          <w:i/>
          <w:color w:val="000000"/>
          <w:sz w:val="24"/>
          <w:rFonts w:ascii="Times New Roman" w:hAnsi="Times New Roman" w:cs="Times New Roman"/>
        </w:rPr>
        <w:t>Simple Slopes</w:t>
      </w:r>
      <w:r>
        <w:rPr>
          <w:b/>
          <w:i w:val="0"/>
          <w:color w:val="000000"/>
          <w:sz w:val="24"/>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Statistik t (Uji Parsial):</w:t>
      </w:r>
      <w:r>
        <w:rPr>
          <w:b w:val="0"/>
          <w:i w:val="0"/>
          <w:sz w:val="24"/>
          <w:color w:val="000000"/>
          <w:rFonts w:ascii="Times New Roman" w:hAnsi="Times New Roman" w:cs="Times New Roman"/>
        </w:rPr>
        <w:t xml:space="preserve"> Menguji signifikansi pengaruh masing-masing koefisien regresi secara individual pada taraf nyata 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Statistik F (Uji Kelayakan Model):</w:t>
      </w:r>
      <w:r>
        <w:rPr>
          <w:b w:val="0"/>
          <w:i w:val="0"/>
          <w:sz w:val="24"/>
          <w:color w:val="000000"/>
          <w:rFonts w:ascii="Times New Roman" w:hAnsi="Times New Roman" w:cs="Times New Roman"/>
        </w:rPr>
        <w:t xml:space="preserve"> Menguji kelayakan model regresi secara simultan pada taraf signifikansi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&lt; 0,05.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Analisis Kemiringan Bersyarat (</w:t>
      </w:r>
      <w:r>
        <w:rPr>
          <w:b/>
          <w:i/>
          <w:sz w:val="24"/>
          <w:color w:val="000000"/>
          <w:rFonts w:ascii="Times New Roman" w:hAnsi="Times New Roman" w:cs="Times New Roman"/>
        </w:rPr>
        <w:t>Simple Slopes Analysis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Hipotesis moderasi (H4, H5, H6) diuji lewat kemiringan bersyarat per-hipotesis –- H4: ∂Y/∂X₁</w:t>
      </w:r>
      <w:r>
        <w:rPr>
          <w:b w:val="0"/>
          <w:i/>
          <w:sz w:val="24"/>
          <w:color w:val="000000"/>
          <w:rFonts w:ascii="Times New Roman" w:hAnsi="Times New Roman" w:cs="Times New Roman"/>
        </w:rPr>
        <w:t xml:space="preserve"> = β₁ + β₅M</w:t>
      </w:r>
      <w:r>
        <w:rPr>
          <w:b w:val="0"/>
          <w:i w:val="0"/>
          <w:sz w:val="24"/>
          <w:color w:val="000000"/>
          <w:rFonts w:ascii="Times New Roman" w:hAnsi="Times New Roman" w:cs="Times New Roman"/>
        </w:rPr>
        <w:t>; H5: ∂Y/∂X₂</w:t>
      </w:r>
      <w:r>
        <w:rPr>
          <w:b w:val="0"/>
          <w:i/>
          <w:sz w:val="24"/>
          <w:color w:val="000000"/>
          <w:rFonts w:ascii="Times New Roman" w:hAnsi="Times New Roman" w:cs="Times New Roman"/>
        </w:rPr>
        <w:t xml:space="preserve"> = β₂ + β₆M</w:t>
      </w:r>
      <w:r>
        <w:rPr>
          <w:b w:val="0"/>
          <w:i w:val="0"/>
          <w:sz w:val="24"/>
          <w:color w:val="000000"/>
          <w:rFonts w:ascii="Times New Roman" w:hAnsi="Times New Roman" w:cs="Times New Roman"/>
        </w:rPr>
        <w:t>; H6: ∂Y/∂X₃</w:t>
      </w:r>
      <w:r>
        <w:rPr>
          <w:b w:val="0"/>
          <w:i/>
          <w:sz w:val="24"/>
          <w:color w:val="000000"/>
          <w:rFonts w:ascii="Times New Roman" w:hAnsi="Times New Roman" w:cs="Times New Roman"/>
        </w:rPr>
        <w:t xml:space="preserve"> = β₃ + β₇M</w:t>
      </w:r>
      <w:r>
        <w:rPr>
          <w:b w:val="0"/>
          <w:i w:val="0"/>
          <w:sz w:val="24"/>
          <w:color w:val="000000"/>
          <w:rFonts w:ascii="Times New Roman" w:hAnsi="Times New Roman" w:cs="Times New Roman"/>
        </w:rPr>
        <w:t xml:space="preserve"> –- pada kontrol diri rendah (−1 SD), rata-rata (0 SD), dan tinggi (+1 SD). Efek memperlemah terbukti bila kemiringan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ᵢ terhadap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mendatar pada kontrol diri tinggi (</w:t>
      </w:r>
      <w:hyperlink w:anchor="Ref_aiken1991multiple" w:history="1">
        <w:r>
          <w:t xml:space="preserve">Aiken dan West, 1991</w:t>
        </w:r>
      </w:hyperlink>
      <w:r>
        <w:rPr>
          <w:color w:val="000000"/>
          <w:rFonts w:ascii="Times New Roman" w:hAnsi="Times New Roman" w:cs="Times New Roman"/>
        </w:rPr>
        <w:t xml:space="preserve">; </w:t>
      </w:r>
      <w:hyperlink w:anchor="Ref_hayes2018introduction" w:history="1">
        <w:r>
          <w:t xml:space="preserve">Hayes, 2018</w:t>
        </w:r>
      </w:hyperlink>
      <w:r>
        <w:rPr>
          <w:color w:val="000000"/>
          <w:rFonts w:ascii="Times New Roman" w:hAnsi="Times New Roman" w:cs="Times New Roman"/>
        </w:rPr>
        <w:t xml:space="preserve">).</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3.6 Diagram Alur Penelitian</w:t>
      </w:r>
    </w:p>
    <w:p>
      <w:pPr>
        <w:spacing w:line="360" w:lineRule="auto" w:before="0" w:after="0"/>
        <w:ind w:firstLine="709"/>
        <w:jc w:val="both"/>
      </w:pPr>
      <w:r>
        <w:rPr>
          <w:b w:val="0"/>
          <w:i w:val="0"/>
          <w:sz w:val="24"/>
          <w:color w:val="000000"/>
          <w:rFonts w:ascii="Times New Roman" w:hAnsi="Times New Roman" w:cs="Times New Roman"/>
        </w:rPr>
        <w:t>Tahapan pelaksanaan penelitian ini dari awal perumusan gagasan hingga penarikan kesimpulan disajikan secara skematis pada Gambar:</w:t>
      </w:r>
    </w:p>
    <w:p>
      <w:pPr>
        <w:spacing w:before="240" w:after="80"/>
        <w:ind w:firstLine="0"/>
        <w:jc w:val="center"/>
      </w:pPr>
      <w:r>
        <w:drawing>
          <wp:inline xmlns:a="http://schemas.openxmlformats.org/drawingml/2006/main" xmlns:pic="http://schemas.openxmlformats.org/drawingml/2006/picture">
            <wp:extent cx="4680000" cy="4706426"/>
            <wp:docPr id="6" name="Picture 6"/>
            <wp:cNvGraphicFramePr>
              <a:graphicFrameLocks noChangeAspect="1"/>
            </wp:cNvGraphicFramePr>
            <a:graphic>
              <a:graphicData uri="http://schemas.openxmlformats.org/drawingml/2006/picture">
                <pic:pic>
                  <pic:nvPicPr>
                    <pic:cNvPr id="0" name="diagram_alur_penelitian.png"/>
                    <pic:cNvPicPr/>
                  </pic:nvPicPr>
                  <pic:blipFill>
                    <a:blip r:embed="rId19"/>
                    <a:stretch>
                      <a:fillRect/>
                    </a:stretch>
                  </pic:blipFill>
                  <pic:spPr>
                    <a:xfrm>
                      <a:off x="0" y="0"/>
                      <a:ext cx="4680000" cy="4706426"/>
                    </a:xfrm>
                    <a:prstGeom prst="rect"/>
                  </pic:spPr>
                </pic:pic>
              </a:graphicData>
            </a:graphic>
          </wp:inline>
        </w:drawing>
      </w:r>
    </w:p>
    <w:p>
      <w:bookmarkStart w:id="1009" w:name="Cap_Gambar_3_1"/>
      <w:pPr>
        <w:spacing w:before="40" w:after="40"/>
        <w:ind w:firstLine="0"/>
        <w:jc w:val="center"/>
      </w:pPr>
      <w:r>
        <w:rPr>
          <w:b/>
          <w:color w:val="000000"/>
          <w:rFonts w:ascii="Times New Roman" w:hAnsi="Times New Roman" w:cs="Times New Roman"/>
        </w:rPr>
        <w:t>Gambar 3.1. Diagram Alur Pelaksanaan Penelitian</w:t>
      </w:r>
      <w:bookmarkEnd w:id="1009"/>
    </w:p>
    <w:p>
      <w:pPr>
        <w:spacing w:before="0" w:after="240"/>
        <w:ind w:firstLine="0"/>
        <w:jc w:val="center"/>
      </w:pPr>
      <w:r>
        <w:rPr>
          <w:i/>
          <w:sz w:val="20"/>
          <w:color w:val="000000"/>
          <w:rFonts w:ascii="Times New Roman" w:hAnsi="Times New Roman" w:cs="Times New Roman"/>
        </w:rPr>
        <w:t>Sumber: Dikembangkan oleh penulis untuk tahapan operasional penelitian, 2026.</w:t>
      </w:r>
    </w:p>
    <w:p>
      <w:pPr>
        <w:pStyle w:val="Heading2"/>
        <w:keepNext/>
        <w:spacing w:before="240" w:after="120" w:line="360" w:lineRule="auto"/>
        <w:ind w:firstLine="0"/>
        <w:jc w:val="left"/>
        <w:outlineLvl w:val="1"/>
      </w:pPr>
      <w:r>
        <w:rPr>
          <w:b/>
          <w:i w:val="0"/>
          <w:color w:val="000000"/>
          <w:sz w:val="24"/>
          <w:rFonts w:ascii="Times New Roman" w:hAnsi="Times New Roman" w:cs="Times New Roman"/>
        </w:rPr>
        <w:t>3.7 Jadwal Pelaksanaan Penelitian</w:t>
      </w:r>
    </w:p>
    <w:p>
      <w:pPr>
        <w:spacing w:line="360" w:lineRule="auto" w:before="0" w:after="0"/>
        <w:ind w:firstLine="709"/>
        <w:jc w:val="both"/>
      </w:pPr>
      <w:r>
        <w:rPr>
          <w:b w:val="0"/>
          <w:i w:val="0"/>
          <w:sz w:val="24"/>
          <w:color w:val="000000"/>
          <w:rFonts w:ascii="Times New Roman" w:hAnsi="Times New Roman" w:cs="Times New Roman"/>
        </w:rPr>
        <w:t>Jadwal pelaksanaan tahapan kegiatan penelitian direncanakan berlangsung selama 6 (enam) bulan kalender, sebagaimana dirangkum pada Tabel:</w:t>
      </w:r>
    </w:p>
    <w:p>
      <w:bookmarkStart w:id="1010" w:name="Cap_Tabel_3_3"/>
      <w:pPr>
        <w:spacing w:before="240" w:after="80"/>
        <w:ind w:firstLine="0"/>
        <w:jc w:val="left"/>
      </w:pPr>
      <w:r>
        <w:rPr>
          <w:b/>
          <w:color w:val="000000"/>
          <w:rFonts w:ascii="Times New Roman" w:hAnsi="Times New Roman" w:cs="Times New Roman"/>
        </w:rPr>
        <w:t>Tabel 3.3. Jadwal Pelaksanaan Kegiatan Penelitian (Tahun 2026)</w:t>
      </w:r>
      <w:bookmarkEnd w:id="1010"/>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992"/>
        <w:gridCol w:w="992"/>
        <w:gridCol w:w="992"/>
        <w:gridCol w:w="992"/>
        <w:gridCol w:w="992"/>
        <w:gridCol w:w="992"/>
        <w:gridCol w:w="992"/>
        <w:gridCol w:w="992"/>
      </w:tblGrid>
      <w:tr>
        <w:trPr>
          <w:cantSplit/>
          <w:tblHeader/>
        </w:trPr>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No</w:t>
            </w:r>
          </w:p>
        </w:tc>
        <w:tc>
          <w:tcPr>
            <w:tcW w:type="dxa" w:w="3969"/>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Tahapan Kegiatan Penelitian</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B1</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B2</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B3</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B4</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B5</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B6</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1</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Identifikasi fenomena pasar dan perumusan topik</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2</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Studi kepustakaan dan telaah literatur jurnal</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3</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Penyusunan naskah proposal penelitian (Bab 1–3)</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4</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Bimbingan intensif dan revisi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5</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Pelaksanaan Seminar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6</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Uji coba instrumen kuesioner (pilot test n=30)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7</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Pengumpulan data lapangan survei utama (n=120–150)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8</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Tabulasi data dan pengolahan statistik via SPSS</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9</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Penyusunan laporan Bab 4 (Analisis) dan Bab 5 (Penutup)</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10</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Ujian Sidang Skripsi dan Komprehensif</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r>
    </w:tbl>
    <w:p>
      <w:pPr>
        <w:spacing w:before="40" w:after="240"/>
        <w:ind w:firstLine="0"/>
        <w:jc w:val="left"/>
      </w:pPr>
      <w:r>
        <w:rPr>
          <w:i/>
          <w:sz w:val="19"/>
          <w:color w:val="000000"/>
          <w:rFonts w:ascii="Times New Roman" w:hAnsi="Times New Roman" w:cs="Times New Roman"/>
        </w:rPr>
        <w:t>Keterangan: B1 = Bulan ke-1; B2 = Bulan ke-2; B3 = Bulan ke-3; B4 = Bulan ke-4; B5 = Bulan ke-5; B6 = Bulan ke-6 tahun akademik 2026.</w:t>
      </w:r>
    </w:p>
    <w:p>
      <w:r>
        <w:br w:type="page"/>
      </w:r>
    </w:p>
    <w:p>
      <w:pPr>
        <w:pStyle w:val="Heading1"/>
        <w:keepNext/>
        <w:spacing w:before="0" w:after="240" w:line="360" w:lineRule="auto"/>
        <w:ind w:firstLine="0"/>
        <w:jc w:val="center"/>
        <w:outlineLvl w:val="0"/>
      </w:pPr>
      <w:r>
        <w:rPr>
          <w:b/>
          <w:i w:val="0"/>
          <w:color w:val="000000"/>
          <w:sz w:val="24"/>
          <w:rFonts w:ascii="Times New Roman" w:hAnsi="Times New Roman" w:cs="Times New Roman"/>
        </w:rPr>
        <w:t>DAFTAR PUSTAKA</w:t>
      </w:r>
    </w:p>
    <w:p>
      <w:bookmarkStart w:id="3001" w:name="Ref_aiken1991multiple"/>
      <w:pPr>
        <w:spacing w:line="276" w:lineRule="auto" w:before="0" w:after="120"/>
        <w:ind w:left="709" w:hanging="709"/>
        <w:jc w:val="both"/>
      </w:pPr>
      <w:r>
        <w:rPr>
          <w:b w:val="0"/>
          <w:i w:val="0"/>
          <w:sz w:val="24"/>
          <w:color w:val="000000"/>
          <w:rFonts w:ascii="Times New Roman" w:hAnsi="Times New Roman" w:cs="Times New Roman"/>
        </w:rPr>
        <w:t xml:space="preserve">Aiken, L. S. and West, S. G. (1991). </w:t>
      </w:r>
      <w:r>
        <w:rPr>
          <w:b w:val="0"/>
          <w:i/>
          <w:sz w:val="24"/>
          <w:color w:val="000000"/>
          <w:rFonts w:ascii="Times New Roman" w:hAnsi="Times New Roman" w:cs="Times New Roman"/>
        </w:rPr>
        <w:t>Multiple Regression: Testing dan Interpreting Interactions</w:t>
      </w:r>
      <w:r>
        <w:rPr>
          <w:b w:val="0"/>
          <w:i w:val="0"/>
          <w:sz w:val="24"/>
          <w:color w:val="000000"/>
          <w:rFonts w:ascii="Times New Roman" w:hAnsi="Times New Roman" w:cs="Times New Roman"/>
        </w:rPr>
        <w:t>. Sage Publications, Newbury Park, CA.</w:t>
      </w:r>
      <w:bookmarkEnd w:id="3001"/>
    </w:p>
    <w:p>
      <w:bookmarkStart w:id="3002" w:name="Ref_amos2014meta"/>
      <w:pPr>
        <w:spacing w:line="276" w:lineRule="auto" w:before="0" w:after="120"/>
        <w:ind w:left="709" w:hanging="709"/>
        <w:jc w:val="both"/>
      </w:pPr>
      <w:r>
        <w:rPr>
          <w:b w:val="0"/>
          <w:i w:val="0"/>
          <w:sz w:val="24"/>
          <w:color w:val="000000"/>
          <w:rFonts w:ascii="Times New Roman" w:hAnsi="Times New Roman" w:cs="Times New Roman"/>
        </w:rPr>
        <w:t xml:space="preserve">Amos, C., Holmes, G. R., and Keneson, W. C. (2014). A meta-analysis of consumer impulse buying. </w:t>
      </w:r>
      <w:r>
        <w:rPr>
          <w:b w:val="0"/>
          <w:i/>
          <w:sz w:val="24"/>
          <w:color w:val="000000"/>
          <w:rFonts w:ascii="Times New Roman" w:hAnsi="Times New Roman" w:cs="Times New Roman"/>
        </w:rPr>
        <w:t>Journal of Retailing dan Consumer Services</w:t>
      </w:r>
      <w:r>
        <w:rPr>
          <w:b w:val="0"/>
          <w:i w:val="0"/>
          <w:sz w:val="24"/>
          <w:color w:val="000000"/>
          <w:rFonts w:ascii="Times New Roman" w:hAnsi="Times New Roman" w:cs="Times New Roman"/>
        </w:rPr>
        <w:t>, 21(2):86–97.</w:t>
      </w:r>
      <w:bookmarkEnd w:id="3002"/>
    </w:p>
    <w:p>
      <w:bookmarkStart w:id="3003" w:name="Ref_apidana2022peran"/>
      <w:pPr>
        <w:spacing w:line="276" w:lineRule="auto" w:before="0" w:after="120"/>
        <w:ind w:left="709" w:hanging="709"/>
        <w:jc w:val="both"/>
      </w:pPr>
      <w:r>
        <w:rPr>
          <w:b w:val="0"/>
          <w:i w:val="0"/>
          <w:sz w:val="24"/>
          <w:color w:val="000000"/>
          <w:rFonts w:ascii="Times New Roman" w:hAnsi="Times New Roman" w:cs="Times New Roman"/>
        </w:rPr>
        <w:t xml:space="preserve">Apidana, Y. H. and Kholifah (2022). Peran self control dalam memoderasi pengaruh hedonic motives dan shopping lifestyle terhadap impulse buying. </w:t>
      </w:r>
      <w:r>
        <w:rPr>
          <w:b w:val="0"/>
          <w:i/>
          <w:sz w:val="24"/>
          <w:color w:val="000000"/>
          <w:rFonts w:ascii="Times New Roman" w:hAnsi="Times New Roman" w:cs="Times New Roman"/>
        </w:rPr>
        <w:t>Journal of Digital Business dan Management</w:t>
      </w:r>
      <w:r>
        <w:rPr>
          <w:b w:val="0"/>
          <w:i w:val="0"/>
          <w:sz w:val="24"/>
          <w:color w:val="000000"/>
          <w:rFonts w:ascii="Times New Roman" w:hAnsi="Times New Roman" w:cs="Times New Roman"/>
        </w:rPr>
        <w:t>, 1(1):26–40.</w:t>
      </w:r>
      <w:bookmarkEnd w:id="3003"/>
    </w:p>
    <w:p>
      <w:bookmarkStart w:id="3004" w:name="Ref_arnold2003hedonic"/>
      <w:pPr>
        <w:spacing w:line="276" w:lineRule="auto" w:before="0" w:after="120"/>
        <w:ind w:left="709" w:hanging="709"/>
        <w:jc w:val="both"/>
      </w:pPr>
      <w:r>
        <w:rPr>
          <w:b w:val="0"/>
          <w:i w:val="0"/>
          <w:sz w:val="24"/>
          <w:color w:val="000000"/>
          <w:rFonts w:ascii="Times New Roman" w:hAnsi="Times New Roman" w:cs="Times New Roman"/>
        </w:rPr>
        <w:t xml:space="preserve">Arnold, M. J. and Reynolds, K. E. (2003). Hedonic shopping motivations.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79(2):77–95.</w:t>
      </w:r>
      <w:bookmarkEnd w:id="3004"/>
    </w:p>
    <w:p>
      <w:bookmarkStart w:id="3005" w:name="Ref_artadita2024how"/>
      <w:pPr>
        <w:spacing w:line="276" w:lineRule="auto" w:before="0" w:after="120"/>
        <w:ind w:left="709" w:hanging="709"/>
        <w:jc w:val="both"/>
      </w:pPr>
      <w:r>
        <w:rPr>
          <w:b w:val="0"/>
          <w:i w:val="0"/>
          <w:sz w:val="24"/>
          <w:color w:val="000000"/>
          <w:rFonts w:ascii="Times New Roman" w:hAnsi="Times New Roman" w:cs="Times New Roman"/>
        </w:rPr>
        <w:t xml:space="preserve">Artadita, S. and Firmialy, S. D. (2024). How does self-control moderate shopping enjoyment and impulse buying among generation z online gamers? </w:t>
      </w:r>
      <w:r>
        <w:rPr>
          <w:b w:val="0"/>
          <w:i/>
          <w:sz w:val="24"/>
          <w:color w:val="000000"/>
          <w:rFonts w:ascii="Times New Roman" w:hAnsi="Times New Roman" w:cs="Times New Roman"/>
        </w:rPr>
        <w:t>Binus Business Review</w:t>
      </w:r>
      <w:r>
        <w:rPr>
          <w:b w:val="0"/>
          <w:i w:val="0"/>
          <w:sz w:val="24"/>
          <w:color w:val="000000"/>
          <w:rFonts w:ascii="Times New Roman" w:hAnsi="Times New Roman" w:cs="Times New Roman"/>
        </w:rPr>
        <w:t>, 15(2):179–189.</w:t>
      </w:r>
      <w:bookmarkEnd w:id="3005"/>
    </w:p>
    <w:p>
      <w:bookmarkStart w:id="3006" w:name="Ref_aryadi2024personal"/>
      <w:pPr>
        <w:spacing w:line="276" w:lineRule="auto" w:before="0" w:after="120"/>
        <w:ind w:left="709" w:hanging="709"/>
        <w:jc w:val="both"/>
      </w:pPr>
      <w:r>
        <w:rPr>
          <w:b w:val="0"/>
          <w:i w:val="0"/>
          <w:sz w:val="24"/>
          <w:color w:val="000000"/>
          <w:rFonts w:ascii="Times New Roman" w:hAnsi="Times New Roman" w:cs="Times New Roman"/>
        </w:rPr>
        <w:t xml:space="preserve">Aryadi, A. and Lingga, M. (2026). Personal traits and motivation impact on collectibles as an alternative investment: A case study of trading card game community in greater jakarta. In </w:t>
      </w:r>
      <w:r>
        <w:rPr>
          <w:b w:val="0"/>
          <w:i/>
          <w:sz w:val="24"/>
          <w:color w:val="000000"/>
          <w:rFonts w:ascii="Times New Roman" w:hAnsi="Times New Roman" w:cs="Times New Roman"/>
        </w:rPr>
        <w:t>Proceedings of the 5th International Conference on Global Innovation dan Trends in Economy (INCOGITE 2024)</w:t>
      </w:r>
      <w:r>
        <w:rPr>
          <w:b w:val="0"/>
          <w:i w:val="0"/>
          <w:sz w:val="24"/>
          <w:color w:val="000000"/>
          <w:rFonts w:ascii="Times New Roman" w:hAnsi="Times New Roman" w:cs="Times New Roman"/>
        </w:rPr>
        <w:t xml:space="preserve">, volume 302 of </w:t>
      </w:r>
      <w:r>
        <w:rPr>
          <w:b w:val="0"/>
          <w:i/>
          <w:sz w:val="24"/>
          <w:color w:val="000000"/>
          <w:rFonts w:ascii="Times New Roman" w:hAnsi="Times New Roman" w:cs="Times New Roman"/>
        </w:rPr>
        <w:t>Advances in Economics, Business dan Management Research</w:t>
      </w:r>
      <w:r>
        <w:rPr>
          <w:b w:val="0"/>
          <w:i w:val="0"/>
          <w:sz w:val="24"/>
          <w:color w:val="000000"/>
          <w:rFonts w:ascii="Times New Roman" w:hAnsi="Times New Roman" w:cs="Times New Roman"/>
        </w:rPr>
        <w:t>, pages 1–12. Atlantis Press.</w:t>
      </w:r>
      <w:bookmarkEnd w:id="3006"/>
    </w:p>
    <w:p>
      <w:bookmarkStart w:id="3007" w:name="Ref_azizah2025exploring"/>
      <w:pPr>
        <w:spacing w:line="276" w:lineRule="auto" w:before="0" w:after="120"/>
        <w:ind w:left="709" w:hanging="709"/>
        <w:jc w:val="both"/>
      </w:pPr>
      <w:r>
        <w:rPr>
          <w:b w:val="0"/>
          <w:i w:val="0"/>
          <w:sz w:val="24"/>
          <w:color w:val="000000"/>
          <w:rFonts w:ascii="Times New Roman" w:hAnsi="Times New Roman" w:cs="Times New Roman"/>
        </w:rPr>
        <w:t xml:space="preserve">Azizah, N. L. and Fauzi, M. (2025). Exploring the drivers of impulsive buying in e-commerce: the role of hedonic motivation, shopping lifestyle, and positive emotions. </w:t>
      </w:r>
      <w:r>
        <w:rPr>
          <w:b w:val="0"/>
          <w:i/>
          <w:sz w:val="24"/>
          <w:color w:val="000000"/>
          <w:rFonts w:ascii="Times New Roman" w:hAnsi="Times New Roman" w:cs="Times New Roman"/>
        </w:rPr>
        <w:t>Jurnal Inovasi Ekonomi</w:t>
      </w:r>
      <w:r>
        <w:rPr>
          <w:b w:val="0"/>
          <w:i w:val="0"/>
          <w:sz w:val="24"/>
          <w:color w:val="000000"/>
          <w:rFonts w:ascii="Times New Roman" w:hAnsi="Times New Roman" w:cs="Times New Roman"/>
        </w:rPr>
        <w:t>, 10(2):79–94. DOI tercetak \url</w:t>
      </w:r>
      <w:r>
        <w:rPr>
          <w:color w:val="000000"/>
          <w:rFonts w:ascii="Times New Roman" w:hAnsi="Times New Roman" w:cs="Times New Roman"/>
        </w:rPr>
        <w:t xml:space="preserve"> </w:t>
      </w:r>
      <w:hyperlink r:id="rId20">
        <w:r>
          <w:rPr>
            <w:color w:val="0563C1"/>
            <w:u w:val="single"/>
            <w:rFonts w:ascii="Times New Roman" w:hAnsi="Times New Roman"/>
            <w:sz w:val="24"/>
          </w:rPr>
          <w:t>https://doi.org/10.22219/jiko.v10i02.35353</w:t>
        </w:r>
      </w:hyperlink>
      <w:r>
        <w:rPr>
          <w:color w:val="000000"/>
          <w:rFonts w:ascii="Times New Roman" w:hAnsi="Times New Roman" w:cs="Times New Roman"/>
        </w:rPr>
        <w:t xml:space="preserve"> belum teregistrasi di Crossref/doi.org per audit 18 Sep 2026; sitasi via URL langsung terverifikasi HTTP 200.</w:t>
      </w:r>
      <w:bookmarkEnd w:id="3007"/>
    </w:p>
    <w:p>
      <w:bookmarkStart w:id="3008" w:name="Ref_babin1994work"/>
      <w:pPr>
        <w:spacing w:line="276" w:lineRule="auto" w:before="0" w:after="120"/>
        <w:ind w:left="709" w:hanging="709"/>
        <w:jc w:val="both"/>
      </w:pPr>
      <w:r>
        <w:rPr>
          <w:b w:val="0"/>
          <w:i w:val="0"/>
          <w:sz w:val="24"/>
          <w:color w:val="000000"/>
          <w:rFonts w:ascii="Times New Roman" w:hAnsi="Times New Roman" w:cs="Times New Roman"/>
        </w:rPr>
        <w:t xml:space="preserve">Babin, B. J., Darden, W. R., and Griffin, M. (1994). Work and/or fun: Measuring hedonic and utilitarian shopping value.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20(4):644–656.</w:t>
      </w:r>
      <w:bookmarkEnd w:id="3008"/>
    </w:p>
    <w:p>
      <w:bookmarkStart w:id="3009" w:name="Ref_barasz2017pseudo"/>
      <w:pPr>
        <w:spacing w:line="276" w:lineRule="auto" w:before="0" w:after="120"/>
        <w:ind w:left="709" w:hanging="709"/>
        <w:jc w:val="both"/>
      </w:pPr>
      <w:r>
        <w:rPr>
          <w:b w:val="0"/>
          <w:i w:val="0"/>
          <w:sz w:val="24"/>
          <w:color w:val="000000"/>
          <w:rFonts w:ascii="Times New Roman" w:hAnsi="Times New Roman" w:cs="Times New Roman"/>
        </w:rPr>
        <w:t xml:space="preserve">Barasz, K., John, L. K., Keenan, E. A., and Norton, M. I. (2017). Pseudo-set framing. </w:t>
      </w:r>
      <w:r>
        <w:rPr>
          <w:b w:val="0"/>
          <w:i/>
          <w:sz w:val="24"/>
          <w:color w:val="000000"/>
          <w:rFonts w:ascii="Times New Roman" w:hAnsi="Times New Roman" w:cs="Times New Roman"/>
        </w:rPr>
        <w:t>Journal of Experimental Psychology: General</w:t>
      </w:r>
      <w:r>
        <w:rPr>
          <w:b w:val="0"/>
          <w:i w:val="0"/>
          <w:sz w:val="24"/>
          <w:color w:val="000000"/>
          <w:rFonts w:ascii="Times New Roman" w:hAnsi="Times New Roman" w:cs="Times New Roman"/>
        </w:rPr>
        <w:t>, 146(10):1460–1477.</w:t>
      </w:r>
      <w:bookmarkEnd w:id="3009"/>
    </w:p>
    <w:p>
      <w:bookmarkStart w:id="3010" w:name="Ref_barber2008all"/>
      <w:pPr>
        <w:spacing w:line="276" w:lineRule="auto" w:before="0" w:after="120"/>
        <w:ind w:left="709" w:hanging="709"/>
        <w:jc w:val="both"/>
      </w:pPr>
      <w:r>
        <w:rPr>
          <w:b w:val="0"/>
          <w:i w:val="0"/>
          <w:sz w:val="24"/>
          <w:color w:val="000000"/>
          <w:rFonts w:ascii="Times New Roman" w:hAnsi="Times New Roman" w:cs="Times New Roman"/>
        </w:rPr>
        <w:t xml:space="preserve">Barber, B. M. and Odean, T. (2008). All that glitters: The effect of attention and news on the buying behavior of individual and institutional investors. </w:t>
      </w:r>
      <w:r>
        <w:rPr>
          <w:b w:val="0"/>
          <w:i/>
          <w:sz w:val="24"/>
          <w:color w:val="000000"/>
          <w:rFonts w:ascii="Times New Roman" w:hAnsi="Times New Roman" w:cs="Times New Roman"/>
        </w:rPr>
        <w:t>The Review of Financial Studies</w:t>
      </w:r>
      <w:r>
        <w:rPr>
          <w:b w:val="0"/>
          <w:i w:val="0"/>
          <w:sz w:val="24"/>
          <w:color w:val="000000"/>
          <w:rFonts w:ascii="Times New Roman" w:hAnsi="Times New Roman" w:cs="Times New Roman"/>
        </w:rPr>
        <w:t>, 21(2):785–818.</w:t>
      </w:r>
      <w:bookmarkEnd w:id="3010"/>
    </w:p>
    <w:p>
      <w:bookmarkStart w:id="3011" w:name="Ref_baumeister2002yield"/>
      <w:pPr>
        <w:spacing w:line="276" w:lineRule="auto" w:before="0" w:after="120"/>
        <w:ind w:left="709" w:hanging="709"/>
        <w:jc w:val="both"/>
      </w:pPr>
      <w:r>
        <w:rPr>
          <w:b w:val="0"/>
          <w:i w:val="0"/>
          <w:sz w:val="24"/>
          <w:color w:val="000000"/>
          <w:rFonts w:ascii="Times New Roman" w:hAnsi="Times New Roman" w:cs="Times New Roman"/>
        </w:rPr>
        <w:t xml:space="preserve">Baumeister, R. F. (2002). Yielding to temptation: Self-control failure, impulsive purchasing, and consumer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28(4):670–676.</w:t>
      </w:r>
      <w:bookmarkEnd w:id="3011"/>
    </w:p>
    <w:p>
      <w:bookmarkStart w:id="3012" w:name="Ref_baur2018bitcoin"/>
      <w:pPr>
        <w:spacing w:line="276" w:lineRule="auto" w:before="0" w:after="120"/>
        <w:ind w:left="709" w:hanging="709"/>
        <w:jc w:val="both"/>
      </w:pPr>
      <w:r>
        <w:rPr>
          <w:b w:val="0"/>
          <w:i w:val="0"/>
          <w:sz w:val="24"/>
          <w:color w:val="000000"/>
          <w:rFonts w:ascii="Times New Roman" w:hAnsi="Times New Roman" w:cs="Times New Roman"/>
        </w:rPr>
        <w:t xml:space="preserve">Baur, D. G., Dimpfl, T., and Kuck, K. (2018). Bitcoin, gold and the US dollar – a replication and extension. </w:t>
      </w:r>
      <w:r>
        <w:rPr>
          <w:b w:val="0"/>
          <w:i/>
          <w:sz w:val="24"/>
          <w:color w:val="000000"/>
          <w:rFonts w:ascii="Times New Roman" w:hAnsi="Times New Roman" w:cs="Times New Roman"/>
        </w:rPr>
        <w:t>Finance Research Letters</w:t>
      </w:r>
      <w:r>
        <w:rPr>
          <w:b w:val="0"/>
          <w:i w:val="0"/>
          <w:sz w:val="24"/>
          <w:color w:val="000000"/>
          <w:rFonts w:ascii="Times New Roman" w:hAnsi="Times New Roman" w:cs="Times New Roman"/>
        </w:rPr>
        <w:t>, 25:103–110.</w:t>
      </w:r>
      <w:bookmarkEnd w:id="3012"/>
    </w:p>
    <w:p>
      <w:bookmarkStart w:id="3013" w:name="Ref_beatty1998impulse"/>
      <w:pPr>
        <w:spacing w:line="276" w:lineRule="auto" w:before="0" w:after="120"/>
        <w:ind w:left="709" w:hanging="709"/>
        <w:jc w:val="both"/>
      </w:pPr>
      <w:r>
        <w:rPr>
          <w:b w:val="0"/>
          <w:i w:val="0"/>
          <w:sz w:val="24"/>
          <w:color w:val="000000"/>
          <w:rFonts w:ascii="Times New Roman" w:hAnsi="Times New Roman" w:cs="Times New Roman"/>
        </w:rPr>
        <w:t xml:space="preserve">Beatty, S. E. and Ferrell, M. E. (1998). Impulse buying: Modeling its precursors.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74(2):169–191.</w:t>
      </w:r>
      <w:bookmarkEnd w:id="3013"/>
    </w:p>
    <w:p>
      <w:bookmarkStart w:id="3014" w:name="Ref_belk1995collecting"/>
      <w:pPr>
        <w:spacing w:line="276" w:lineRule="auto" w:before="0" w:after="120"/>
        <w:ind w:left="709" w:hanging="709"/>
        <w:jc w:val="both"/>
      </w:pPr>
      <w:r>
        <w:rPr>
          <w:b w:val="0"/>
          <w:i w:val="0"/>
          <w:sz w:val="24"/>
          <w:color w:val="000000"/>
          <w:rFonts w:ascii="Times New Roman" w:hAnsi="Times New Roman" w:cs="Times New Roman"/>
        </w:rPr>
        <w:t xml:space="preserve">Belk, R. W. (1995). </w:t>
      </w:r>
      <w:r>
        <w:rPr>
          <w:b w:val="0"/>
          <w:i/>
          <w:sz w:val="24"/>
          <w:color w:val="000000"/>
          <w:rFonts w:ascii="Times New Roman" w:hAnsi="Times New Roman" w:cs="Times New Roman"/>
        </w:rPr>
        <w:t>Collecting in a Consumer Society</w:t>
      </w:r>
      <w:r>
        <w:rPr>
          <w:b w:val="0"/>
          <w:i w:val="0"/>
          <w:sz w:val="24"/>
          <w:color w:val="000000"/>
          <w:rFonts w:ascii="Times New Roman" w:hAnsi="Times New Roman" w:cs="Times New Roman"/>
        </w:rPr>
        <w:t>. Routledge, London.</w:t>
      </w:r>
      <w:bookmarkEnd w:id="3014"/>
    </w:p>
    <w:p>
      <w:bookmarkStart w:id="3015" w:name="Ref_cohen1988statistical"/>
      <w:pPr>
        <w:spacing w:line="276" w:lineRule="auto" w:before="0" w:after="120"/>
        <w:ind w:left="709" w:hanging="709"/>
        <w:jc w:val="both"/>
      </w:pPr>
      <w:r>
        <w:rPr>
          <w:b w:val="0"/>
          <w:i w:val="0"/>
          <w:sz w:val="24"/>
          <w:color w:val="000000"/>
          <w:rFonts w:ascii="Times New Roman" w:hAnsi="Times New Roman" w:cs="Times New Roman"/>
        </w:rPr>
        <w:t xml:space="preserve">Cohen, J. (1988). </w:t>
      </w:r>
      <w:r>
        <w:rPr>
          <w:b w:val="0"/>
          <w:i/>
          <w:sz w:val="24"/>
          <w:color w:val="000000"/>
          <w:rFonts w:ascii="Times New Roman" w:hAnsi="Times New Roman" w:cs="Times New Roman"/>
        </w:rPr>
        <w:t>Statistical Power Analysis for the Behavioral Sciences</w:t>
      </w:r>
      <w:r>
        <w:rPr>
          <w:b w:val="0"/>
          <w:i w:val="0"/>
          <w:sz w:val="24"/>
          <w:color w:val="000000"/>
          <w:rFonts w:ascii="Times New Roman" w:hAnsi="Times New Roman" w:cs="Times New Roman"/>
        </w:rPr>
        <w:t>. Lawrence Erlbaum Associates, Hillsdale, NJ, 2 edition.</w:t>
      </w:r>
      <w:bookmarkEnd w:id="3015"/>
    </w:p>
    <w:p>
      <w:bookmarkStart w:id="3016" w:name="Ref_colline2024biases"/>
      <w:pPr>
        <w:spacing w:line="276" w:lineRule="auto" w:before="0" w:after="120"/>
        <w:ind w:left="709" w:hanging="709"/>
        <w:jc w:val="both"/>
      </w:pPr>
      <w:r>
        <w:rPr>
          <w:b w:val="0"/>
          <w:i w:val="0"/>
          <w:sz w:val="24"/>
          <w:color w:val="000000"/>
          <w:rFonts w:ascii="Times New Roman" w:hAnsi="Times New Roman" w:cs="Times New Roman"/>
        </w:rPr>
        <w:t xml:space="preserve">Colline, F. (2024). Biases in indonesian stock investor behavior. </w:t>
      </w:r>
      <w:r>
        <w:rPr>
          <w:b w:val="0"/>
          <w:i/>
          <w:sz w:val="24"/>
          <w:color w:val="000000"/>
          <w:rFonts w:ascii="Times New Roman" w:hAnsi="Times New Roman" w:cs="Times New Roman"/>
        </w:rPr>
        <w:t>Accounting dan Finance Studies</w:t>
      </w:r>
      <w:r>
        <w:rPr>
          <w:b w:val="0"/>
          <w:i w:val="0"/>
          <w:sz w:val="24"/>
          <w:color w:val="000000"/>
          <w:rFonts w:ascii="Times New Roman" w:hAnsi="Times New Roman" w:cs="Times New Roman"/>
        </w:rPr>
        <w:t>, 4(2):88–98.</w:t>
      </w:r>
      <w:bookmarkEnd w:id="3016"/>
    </w:p>
    <w:p>
      <w:bookmarkStart w:id="3017" w:name="Ref_dewi2026understanding"/>
      <w:pPr>
        <w:spacing w:line="276" w:lineRule="auto" w:before="0" w:after="120"/>
        <w:ind w:left="709" w:hanging="709"/>
        <w:jc w:val="both"/>
      </w:pPr>
      <w:r>
        <w:rPr>
          <w:b w:val="0"/>
          <w:i w:val="0"/>
          <w:sz w:val="24"/>
          <w:color w:val="000000"/>
          <w:rFonts w:ascii="Times New Roman" w:hAnsi="Times New Roman" w:cs="Times New Roman"/>
        </w:rPr>
        <w:t xml:space="preserve">Dewi, M. M. L. S., Budoyo, V. D., and Mustikasari, F. (2026). Understanding impulse buying behavior: The case of blind box purchases in indonesia. </w:t>
      </w:r>
      <w:r>
        <w:rPr>
          <w:b w:val="0"/>
          <w:i/>
          <w:sz w:val="24"/>
          <w:color w:val="000000"/>
          <w:rFonts w:ascii="Times New Roman" w:hAnsi="Times New Roman" w:cs="Times New Roman"/>
        </w:rPr>
        <w:t>Jurnal Locus: Penelitian dan Pengabdian</w:t>
      </w:r>
      <w:r>
        <w:rPr>
          <w:b w:val="0"/>
          <w:i w:val="0"/>
          <w:sz w:val="24"/>
          <w:color w:val="000000"/>
          <w:rFonts w:ascii="Times New Roman" w:hAnsi="Times New Roman" w:cs="Times New Roman"/>
        </w:rPr>
        <w:t>, 5(2):1082–1089.</w:t>
      </w:r>
      <w:bookmarkEnd w:id="3017"/>
    </w:p>
    <w:p>
      <w:bookmarkStart w:id="3018" w:name="Ref_fama1970efficient"/>
      <w:pPr>
        <w:spacing w:line="276" w:lineRule="auto" w:before="0" w:after="120"/>
        <w:ind w:left="709" w:hanging="709"/>
        <w:jc w:val="both"/>
      </w:pPr>
      <w:r>
        <w:rPr>
          <w:b w:val="0"/>
          <w:i w:val="0"/>
          <w:sz w:val="24"/>
          <w:color w:val="000000"/>
          <w:rFonts w:ascii="Times New Roman" w:hAnsi="Times New Roman" w:cs="Times New Roman"/>
        </w:rPr>
        <w:t xml:space="preserve">Fama, E. F. (1970). Efficient capital markets: A review of theory and empirical work. </w:t>
      </w:r>
      <w:r>
        <w:rPr>
          <w:b w:val="0"/>
          <w:i/>
          <w:sz w:val="24"/>
          <w:color w:val="000000"/>
          <w:rFonts w:ascii="Times New Roman" w:hAnsi="Times New Roman" w:cs="Times New Roman"/>
        </w:rPr>
        <w:t>The Journal of Finance</w:t>
      </w:r>
      <w:r>
        <w:rPr>
          <w:b w:val="0"/>
          <w:i w:val="0"/>
          <w:sz w:val="24"/>
          <w:color w:val="000000"/>
          <w:rFonts w:ascii="Times New Roman" w:hAnsi="Times New Roman" w:cs="Times New Roman"/>
        </w:rPr>
        <w:t>, 25(2):383–417.</w:t>
      </w:r>
      <w:bookmarkEnd w:id="3018"/>
    </w:p>
    <w:p>
      <w:bookmarkStart w:id="3019" w:name="Ref_gao2014completing"/>
      <w:pPr>
        <w:spacing w:line="276" w:lineRule="auto" w:before="0" w:after="120"/>
        <w:ind w:left="709" w:hanging="709"/>
        <w:jc w:val="both"/>
      </w:pPr>
      <w:r>
        <w:rPr>
          <w:b w:val="0"/>
          <w:i w:val="0"/>
          <w:sz w:val="24"/>
          <w:color w:val="000000"/>
          <w:rFonts w:ascii="Times New Roman" w:hAnsi="Times New Roman" w:cs="Times New Roman"/>
        </w:rPr>
        <w:t xml:space="preserve">Gao, L., Huang, Y., and Simonson, I. (2014). The influence of initial possession level on consumers' adoption of a collection goal: A tipping point effect.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78:143–156.</w:t>
      </w:r>
      <w:bookmarkEnd w:id="3019"/>
    </w:p>
    <w:p>
      <w:bookmarkStart w:id="3020" w:name="Ref_ghozali2018aplikasi"/>
      <w:pPr>
        <w:spacing w:line="276" w:lineRule="auto" w:before="0" w:after="120"/>
        <w:ind w:left="709" w:hanging="709"/>
        <w:jc w:val="both"/>
      </w:pPr>
      <w:r>
        <w:rPr>
          <w:b w:val="0"/>
          <w:i w:val="0"/>
          <w:sz w:val="24"/>
          <w:color w:val="000000"/>
          <w:rFonts w:ascii="Times New Roman" w:hAnsi="Times New Roman" w:cs="Times New Roman"/>
        </w:rPr>
        <w:t xml:space="preserve">Ghozali, I. (2018). </w:t>
      </w:r>
      <w:r>
        <w:rPr>
          <w:b w:val="0"/>
          <w:i/>
          <w:sz w:val="24"/>
          <w:color w:val="000000"/>
          <w:rFonts w:ascii="Times New Roman" w:hAnsi="Times New Roman" w:cs="Times New Roman"/>
        </w:rPr>
        <w:t>Aplikasi Analisis Multivariate dengan Program IBM SPSS 25</w:t>
      </w:r>
      <w:r>
        <w:rPr>
          <w:b w:val="0"/>
          <w:i w:val="0"/>
          <w:sz w:val="24"/>
          <w:color w:val="000000"/>
          <w:rFonts w:ascii="Times New Roman" w:hAnsi="Times New Roman" w:cs="Times New Roman"/>
        </w:rPr>
        <w:t>. Badan Penerbit Universitas Diponegoro, Semarang, 9 edition.</w:t>
      </w:r>
      <w:bookmarkEnd w:id="3020"/>
    </w:p>
    <w:p>
      <w:bookmarkStart w:id="3021" w:name="Ref_gong2024unveiling"/>
      <w:pPr>
        <w:spacing w:line="276" w:lineRule="auto" w:before="0" w:after="120"/>
        <w:ind w:left="709" w:hanging="709"/>
        <w:jc w:val="both"/>
      </w:pPr>
      <w:r>
        <w:rPr>
          <w:b w:val="0"/>
          <w:i w:val="0"/>
          <w:sz w:val="24"/>
          <w:color w:val="000000"/>
          <w:rFonts w:ascii="Times New Roman" w:hAnsi="Times New Roman" w:cs="Times New Roman"/>
        </w:rPr>
        <w:t xml:space="preserve">Gong, X., Yee, C. L., Lee, S. Y., Saif, A. N. M., Liu, M., and Anonthi, F. (2024). Unveiling the enigma of blind box impulse buying curiosity: The moderating role of price consciousness. </w:t>
      </w:r>
      <w:r>
        <w:rPr>
          <w:b w:val="0"/>
          <w:i/>
          <w:sz w:val="24"/>
          <w:color w:val="000000"/>
          <w:rFonts w:ascii="Times New Roman" w:hAnsi="Times New Roman" w:cs="Times New Roman"/>
        </w:rPr>
        <w:t>Heliyon</w:t>
      </w:r>
      <w:r>
        <w:rPr>
          <w:b w:val="0"/>
          <w:i w:val="0"/>
          <w:sz w:val="24"/>
          <w:color w:val="000000"/>
          <w:rFonts w:ascii="Times New Roman" w:hAnsi="Times New Roman" w:cs="Times New Roman"/>
        </w:rPr>
        <w:t>, 10(24):e40564.</w:t>
      </w:r>
      <w:bookmarkEnd w:id="3021"/>
    </w:p>
    <w:p>
      <w:bookmarkStart w:id="3022" w:name="Ref_green1991subjects"/>
      <w:pPr>
        <w:spacing w:line="276" w:lineRule="auto" w:before="0" w:after="120"/>
        <w:ind w:left="709" w:hanging="709"/>
        <w:jc w:val="both"/>
      </w:pPr>
      <w:r>
        <w:rPr>
          <w:b w:val="0"/>
          <w:i w:val="0"/>
          <w:sz w:val="24"/>
          <w:color w:val="000000"/>
          <w:rFonts w:ascii="Times New Roman" w:hAnsi="Times New Roman" w:cs="Times New Roman"/>
        </w:rPr>
        <w:t xml:space="preserve">Green, S. B. (1991). How many subjects does it take to do a regression analysis? </w:t>
      </w:r>
      <w:r>
        <w:rPr>
          <w:b w:val="0"/>
          <w:i/>
          <w:sz w:val="24"/>
          <w:color w:val="000000"/>
          <w:rFonts w:ascii="Times New Roman" w:hAnsi="Times New Roman" w:cs="Times New Roman"/>
        </w:rPr>
        <w:t>Multivariate Behavioral Research</w:t>
      </w:r>
      <w:r>
        <w:rPr>
          <w:b w:val="0"/>
          <w:i w:val="0"/>
          <w:sz w:val="24"/>
          <w:color w:val="000000"/>
          <w:rFonts w:ascii="Times New Roman" w:hAnsi="Times New Roman" w:cs="Times New Roman"/>
        </w:rPr>
        <w:t>, 26(3):499–510.</w:t>
      </w:r>
      <w:bookmarkEnd w:id="3022"/>
    </w:p>
    <w:p>
      <w:bookmarkStart w:id="3023" w:name="Ref_gueltekin2012influence"/>
      <w:pPr>
        <w:spacing w:line="276" w:lineRule="auto" w:before="0" w:after="120"/>
        <w:ind w:left="709" w:hanging="709"/>
        <w:jc w:val="both"/>
      </w:pPr>
      <w:r>
        <w:rPr>
          <w:b w:val="0"/>
          <w:i w:val="0"/>
          <w:sz w:val="24"/>
          <w:color w:val="000000"/>
          <w:rFonts w:ascii="Times New Roman" w:hAnsi="Times New Roman" w:cs="Times New Roman"/>
        </w:rPr>
        <w:t xml:space="preserve">Gültekin, B. and Özer, L. (2012). The influence of hedonic motives and browsing on impulse buying. </w:t>
      </w:r>
      <w:r>
        <w:rPr>
          <w:b w:val="0"/>
          <w:i/>
          <w:sz w:val="24"/>
          <w:color w:val="000000"/>
          <w:rFonts w:ascii="Times New Roman" w:hAnsi="Times New Roman" w:cs="Times New Roman"/>
        </w:rPr>
        <w:t>Journal of Economics dan Behavioral Studies</w:t>
      </w:r>
      <w:r>
        <w:rPr>
          <w:b w:val="0"/>
          <w:i w:val="0"/>
          <w:sz w:val="24"/>
          <w:color w:val="000000"/>
          <w:rFonts w:ascii="Times New Roman" w:hAnsi="Times New Roman" w:cs="Times New Roman"/>
        </w:rPr>
        <w:t>, 4(3):180–189.</w:t>
      </w:r>
      <w:bookmarkEnd w:id="3023"/>
    </w:p>
    <w:p>
      <w:bookmarkStart w:id="3024" w:name="Ref_hair2019multivariate"/>
      <w:pPr>
        <w:spacing w:line="276" w:lineRule="auto" w:before="0" w:after="120"/>
        <w:ind w:left="709" w:hanging="709"/>
        <w:jc w:val="both"/>
      </w:pPr>
      <w:r>
        <w:rPr>
          <w:b w:val="0"/>
          <w:i w:val="0"/>
          <w:sz w:val="24"/>
          <w:color w:val="000000"/>
          <w:rFonts w:ascii="Times New Roman" w:hAnsi="Times New Roman" w:cs="Times New Roman"/>
        </w:rPr>
        <w:t xml:space="preserve">Hair, J. F., Black, W. C., Babin, B. J., and Anderson, R. E. (2019). </w:t>
      </w:r>
      <w:r>
        <w:rPr>
          <w:b w:val="0"/>
          <w:i/>
          <w:sz w:val="24"/>
          <w:color w:val="000000"/>
          <w:rFonts w:ascii="Times New Roman" w:hAnsi="Times New Roman" w:cs="Times New Roman"/>
        </w:rPr>
        <w:t>Multivariate Data Analysis</w:t>
      </w:r>
      <w:r>
        <w:rPr>
          <w:b w:val="0"/>
          <w:i w:val="0"/>
          <w:sz w:val="24"/>
          <w:color w:val="000000"/>
          <w:rFonts w:ascii="Times New Roman" w:hAnsi="Times New Roman" w:cs="Times New Roman"/>
        </w:rPr>
        <w:t>. Cengage Learning, Boston, MA, 8th edition.</w:t>
      </w:r>
      <w:bookmarkEnd w:id="3024"/>
    </w:p>
    <w:p>
      <w:bookmarkStart w:id="3025" w:name="Ref_hayes2018introduction"/>
      <w:pPr>
        <w:spacing w:line="276" w:lineRule="auto" w:before="0" w:after="120"/>
        <w:ind w:left="709" w:hanging="709"/>
        <w:jc w:val="both"/>
      </w:pPr>
      <w:r>
        <w:rPr>
          <w:b w:val="0"/>
          <w:i w:val="0"/>
          <w:sz w:val="24"/>
          <w:color w:val="000000"/>
          <w:rFonts w:ascii="Times New Roman" w:hAnsi="Times New Roman" w:cs="Times New Roman"/>
        </w:rPr>
        <w:t xml:space="preserve">Hayes, A. F. (2018). </w:t>
      </w:r>
      <w:r>
        <w:rPr>
          <w:b w:val="0"/>
          <w:i/>
          <w:sz w:val="24"/>
          <w:color w:val="000000"/>
          <w:rFonts w:ascii="Times New Roman" w:hAnsi="Times New Roman" w:cs="Times New Roman"/>
        </w:rPr>
        <w:t>Introduction to Mediation, Moderation, and Conditional Process Analysis: A Regression-Based Approach</w:t>
      </w:r>
      <w:r>
        <w:rPr>
          <w:b w:val="0"/>
          <w:i w:val="0"/>
          <w:sz w:val="24"/>
          <w:color w:val="000000"/>
          <w:rFonts w:ascii="Times New Roman" w:hAnsi="Times New Roman" w:cs="Times New Roman"/>
        </w:rPr>
        <w:t>. The Guilford Press, New York, 2nd edition.</w:t>
      </w:r>
      <w:bookmarkEnd w:id="3025"/>
    </w:p>
    <w:p>
      <w:bookmarkStart w:id="3026" w:name="Ref_hirschman1982hedonic"/>
      <w:pPr>
        <w:spacing w:line="276" w:lineRule="auto" w:before="0" w:after="120"/>
        <w:ind w:left="709" w:hanging="709"/>
        <w:jc w:val="both"/>
      </w:pPr>
      <w:r>
        <w:rPr>
          <w:b w:val="0"/>
          <w:i w:val="0"/>
          <w:sz w:val="24"/>
          <w:color w:val="000000"/>
          <w:rFonts w:ascii="Times New Roman" w:hAnsi="Times New Roman" w:cs="Times New Roman"/>
        </w:rPr>
        <w:t xml:space="preserve">Hirschman, E. C. and Holbrook, M. B. (1982). Hedonic consumption: Emerging concepts, methods and propositions.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46(3):92–101.</w:t>
      </w:r>
      <w:bookmarkEnd w:id="3026"/>
    </w:p>
    <w:p>
      <w:bookmarkStart w:id="3027" w:name="Ref_kahneman1979prospect"/>
      <w:pPr>
        <w:spacing w:line="276" w:lineRule="auto" w:before="0" w:after="120"/>
        <w:ind w:left="709" w:hanging="709"/>
        <w:jc w:val="both"/>
      </w:pPr>
      <w:r>
        <w:rPr>
          <w:b w:val="0"/>
          <w:i w:val="0"/>
          <w:sz w:val="24"/>
          <w:color w:val="000000"/>
          <w:rFonts w:ascii="Times New Roman" w:hAnsi="Times New Roman" w:cs="Times New Roman"/>
        </w:rPr>
        <w:t xml:space="preserve">Kahneman, D. and Tversky, A. (1979). Prospect theory: An analysis of decision under risk. </w:t>
      </w:r>
      <w:r>
        <w:rPr>
          <w:b w:val="0"/>
          <w:i/>
          <w:sz w:val="24"/>
          <w:color w:val="000000"/>
          <w:rFonts w:ascii="Times New Roman" w:hAnsi="Times New Roman" w:cs="Times New Roman"/>
        </w:rPr>
        <w:t>Econometrica</w:t>
      </w:r>
      <w:r>
        <w:rPr>
          <w:b w:val="0"/>
          <w:i w:val="0"/>
          <w:sz w:val="24"/>
          <w:color w:val="000000"/>
          <w:rFonts w:ascii="Times New Roman" w:hAnsi="Times New Roman" w:cs="Times New Roman"/>
        </w:rPr>
        <w:t>, 47(2):263–292.</w:t>
      </w:r>
      <w:bookmarkEnd w:id="3027"/>
    </w:p>
    <w:p>
      <w:bookmarkStart w:id="3028" w:name="Ref_katauke2023financial"/>
      <w:pPr>
        <w:spacing w:line="276" w:lineRule="auto" w:before="0" w:after="120"/>
        <w:ind w:left="709" w:hanging="709"/>
        <w:jc w:val="both"/>
      </w:pPr>
      <w:r>
        <w:rPr>
          <w:b w:val="0"/>
          <w:i w:val="0"/>
          <w:sz w:val="24"/>
          <w:color w:val="000000"/>
          <w:rFonts w:ascii="Times New Roman" w:hAnsi="Times New Roman" w:cs="Times New Roman"/>
        </w:rPr>
        <w:t xml:space="preserve">Katauke, T., Fukuda, S., Khan, M. S. R., and Kadoya, Y. (2023). Financial literacy and impulsivity: Evidence from Japan. </w:t>
      </w:r>
      <w:r>
        <w:rPr>
          <w:b w:val="0"/>
          <w:i/>
          <w:sz w:val="24"/>
          <w:color w:val="000000"/>
          <w:rFonts w:ascii="Times New Roman" w:hAnsi="Times New Roman" w:cs="Times New Roman"/>
        </w:rPr>
        <w:t>Sustainability</w:t>
      </w:r>
      <w:r>
        <w:rPr>
          <w:b w:val="0"/>
          <w:i w:val="0"/>
          <w:sz w:val="24"/>
          <w:color w:val="000000"/>
          <w:rFonts w:ascii="Times New Roman" w:hAnsi="Times New Roman" w:cs="Times New Roman"/>
        </w:rPr>
        <w:t>, 15(9):7267.</w:t>
      </w:r>
      <w:bookmarkEnd w:id="3028"/>
    </w:p>
    <w:p>
      <w:bookmarkStart w:id="3029" w:name="Ref_keynes1936general"/>
      <w:pPr>
        <w:spacing w:line="276" w:lineRule="auto" w:before="0" w:after="120"/>
        <w:ind w:left="709" w:hanging="709"/>
        <w:jc w:val="both"/>
      </w:pPr>
      <w:r>
        <w:rPr>
          <w:b w:val="0"/>
          <w:i w:val="0"/>
          <w:sz w:val="24"/>
          <w:color w:val="000000"/>
          <w:rFonts w:ascii="Times New Roman" w:hAnsi="Times New Roman" w:cs="Times New Roman"/>
        </w:rPr>
        <w:t xml:space="preserve">Keynes, J. M. (1936). </w:t>
      </w:r>
      <w:r>
        <w:rPr>
          <w:b w:val="0"/>
          <w:i/>
          <w:sz w:val="24"/>
          <w:color w:val="000000"/>
          <w:rFonts w:ascii="Times New Roman" w:hAnsi="Times New Roman" w:cs="Times New Roman"/>
        </w:rPr>
        <w:t>The General Theory of Employment, Interest dan Money</w:t>
      </w:r>
      <w:r>
        <w:rPr>
          <w:b w:val="0"/>
          <w:i w:val="0"/>
          <w:sz w:val="24"/>
          <w:color w:val="000000"/>
          <w:rFonts w:ascii="Times New Roman" w:hAnsi="Times New Roman" w:cs="Times New Roman"/>
        </w:rPr>
        <w:t>. Macmillan, London.</w:t>
      </w:r>
      <w:bookmarkEnd w:id="3029"/>
    </w:p>
    <w:p>
      <w:bookmarkStart w:id="3030" w:name="Ref_lienardy2026role"/>
      <w:pPr>
        <w:spacing w:line="276" w:lineRule="auto" w:before="0" w:after="120"/>
        <w:ind w:left="709" w:hanging="709"/>
        <w:jc w:val="both"/>
      </w:pPr>
      <w:r>
        <w:rPr>
          <w:b w:val="0"/>
          <w:i w:val="0"/>
          <w:sz w:val="24"/>
          <w:color w:val="000000"/>
          <w:rFonts w:ascii="Times New Roman" w:hAnsi="Times New Roman" w:cs="Times New Roman"/>
        </w:rPr>
        <w:t xml:space="preserve">Lienardy, G. V. and Panasea, I. G. N. O. (2026). The role of self-control in moderating the influence of shopping lifestyle and hedonistic behavior on impulsive buying. </w:t>
      </w:r>
      <w:r>
        <w:rPr>
          <w:b w:val="0"/>
          <w:i/>
          <w:sz w:val="24"/>
          <w:color w:val="000000"/>
          <w:rFonts w:ascii="Times New Roman" w:hAnsi="Times New Roman" w:cs="Times New Roman"/>
        </w:rPr>
        <w:t>Business dan Investment Review</w:t>
      </w:r>
      <w:r>
        <w:rPr>
          <w:b w:val="0"/>
          <w:i w:val="0"/>
          <w:sz w:val="24"/>
          <w:color w:val="000000"/>
          <w:rFonts w:ascii="Times New Roman" w:hAnsi="Times New Roman" w:cs="Times New Roman"/>
        </w:rPr>
        <w:t>, 4(3).</w:t>
      </w:r>
      <w:bookmarkEnd w:id="3030"/>
    </w:p>
    <w:p>
      <w:bookmarkStart w:id="3031" w:name="Ref_long2000consuming"/>
      <w:pPr>
        <w:spacing w:line="276" w:lineRule="auto" w:before="0" w:after="120"/>
        <w:ind w:left="709" w:hanging="709"/>
        <w:jc w:val="both"/>
      </w:pPr>
      <w:r>
        <w:rPr>
          <w:b w:val="0"/>
          <w:i w:val="0"/>
          <w:sz w:val="24"/>
          <w:color w:val="000000"/>
          <w:rFonts w:ascii="Times New Roman" w:hAnsi="Times New Roman" w:cs="Times New Roman"/>
        </w:rPr>
        <w:t xml:space="preserve">Long, M. M. and Schiffman, L. G. (2000). Consumption values and relationships: segmenting the market for frequency programs.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17(3):214–229.</w:t>
      </w:r>
      <w:bookmarkEnd w:id="3031"/>
    </w:p>
    <w:p>
      <w:bookmarkStart w:id="3032" w:name="Ref_mehrabian1974approach"/>
      <w:pPr>
        <w:spacing w:line="276" w:lineRule="auto" w:before="0" w:after="120"/>
        <w:ind w:left="709" w:hanging="709"/>
        <w:jc w:val="both"/>
      </w:pPr>
      <w:r>
        <w:rPr>
          <w:b w:val="0"/>
          <w:i w:val="0"/>
          <w:sz w:val="24"/>
          <w:color w:val="000000"/>
          <w:rFonts w:ascii="Times New Roman" w:hAnsi="Times New Roman" w:cs="Times New Roman"/>
        </w:rPr>
        <w:t xml:space="preserve">Mehrabian, A. and Russell, J. A. (1974). </w:t>
      </w:r>
      <w:r>
        <w:rPr>
          <w:b w:val="0"/>
          <w:i/>
          <w:sz w:val="24"/>
          <w:color w:val="000000"/>
          <w:rFonts w:ascii="Times New Roman" w:hAnsi="Times New Roman" w:cs="Times New Roman"/>
        </w:rPr>
        <w:t>An Approach to Environmental Psychology</w:t>
      </w:r>
      <w:r>
        <w:rPr>
          <w:b w:val="0"/>
          <w:i w:val="0"/>
          <w:sz w:val="24"/>
          <w:color w:val="000000"/>
          <w:rFonts w:ascii="Times New Roman" w:hAnsi="Times New Roman" w:cs="Times New Roman"/>
        </w:rPr>
        <w:t>. MIT Press, Cambridge, MA.</w:t>
      </w:r>
      <w:bookmarkEnd w:id="3032"/>
    </w:p>
    <w:p>
      <w:bookmarkStart w:id="3033" w:name="Ref_peck2006if"/>
      <w:pPr>
        <w:spacing w:line="276" w:lineRule="auto" w:before="0" w:after="120"/>
        <w:ind w:left="709" w:hanging="709"/>
        <w:jc w:val="both"/>
      </w:pPr>
      <w:r>
        <w:rPr>
          <w:b w:val="0"/>
          <w:i w:val="0"/>
          <w:sz w:val="24"/>
          <w:color w:val="000000"/>
          <w:rFonts w:ascii="Times New Roman" w:hAnsi="Times New Roman" w:cs="Times New Roman"/>
        </w:rPr>
        <w:t xml:space="preserve">Peck, J. and Childers, T. L. (2006). If i touch it i have to have it: Individual and environmental influences on impulse purchasing. </w:t>
      </w:r>
      <w:r>
        <w:rPr>
          <w:b w:val="0"/>
          <w:i/>
          <w:sz w:val="24"/>
          <w:color w:val="000000"/>
          <w:rFonts w:ascii="Times New Roman" w:hAnsi="Times New Roman" w:cs="Times New Roman"/>
        </w:rPr>
        <w:t>Journal of Business Research</w:t>
      </w:r>
      <w:r>
        <w:rPr>
          <w:b w:val="0"/>
          <w:i w:val="0"/>
          <w:sz w:val="24"/>
          <w:color w:val="000000"/>
          <w:rFonts w:ascii="Times New Roman" w:hAnsi="Times New Roman" w:cs="Times New Roman"/>
        </w:rPr>
        <w:t>, 59(6):765–769.</w:t>
      </w:r>
      <w:bookmarkEnd w:id="3033"/>
    </w:p>
    <w:p>
      <w:bookmarkStart w:id="3034" w:name="Ref_pranggabayu2022pengaruh"/>
      <w:pPr>
        <w:spacing w:line="276" w:lineRule="auto" w:before="0" w:after="120"/>
        <w:ind w:left="709" w:hanging="709"/>
        <w:jc w:val="both"/>
      </w:pPr>
      <w:r>
        <w:rPr>
          <w:b w:val="0"/>
          <w:i w:val="0"/>
          <w:sz w:val="24"/>
          <w:color w:val="000000"/>
          <w:rFonts w:ascii="Times New Roman" w:hAnsi="Times New Roman" w:cs="Times New Roman"/>
        </w:rPr>
        <w:t xml:space="preserve">Pranggabayu, B. and Andjarwati, A. L. (2022). Pengaruh hedonic shopping motivation dan store atmosphere terhadap impulsive buying. </w:t>
      </w:r>
      <w:r>
        <w:rPr>
          <w:b w:val="0"/>
          <w:i/>
          <w:sz w:val="24"/>
          <w:color w:val="000000"/>
          <w:rFonts w:ascii="Times New Roman" w:hAnsi="Times New Roman" w:cs="Times New Roman"/>
        </w:rPr>
        <w:t>Sibatik Journal</w:t>
      </w:r>
      <w:r>
        <w:rPr>
          <w:b w:val="0"/>
          <w:i w:val="0"/>
          <w:sz w:val="24"/>
          <w:color w:val="000000"/>
          <w:rFonts w:ascii="Times New Roman" w:hAnsi="Times New Roman" w:cs="Times New Roman"/>
        </w:rPr>
        <w:t>, 1(6):951–966.</w:t>
      </w:r>
      <w:bookmarkEnd w:id="3034"/>
    </w:p>
    <w:p>
      <w:bookmarkStart w:id="3035" w:name="Ref_pricecharting2024"/>
      <w:pPr>
        <w:spacing w:line="276" w:lineRule="auto" w:before="0" w:after="120"/>
        <w:ind w:left="709" w:hanging="709"/>
        <w:jc w:val="both"/>
      </w:pPr>
      <w:hyperlink w:anchor="Ref_pricecharting2024" w:history="1">
        <w:r>
          <w:rPr>
            <w:b w:val="0"/>
            <w:i w:val="0"/>
            <w:sz w:val="24"/>
            <w:color w:val="000000"/>
            <w:rFonts w:ascii="Times New Roman" w:hAnsi="Times New Roman" w:cs="Times New Roman"/>
          </w:rPr>
          <w:t xml:space="preserve">PriceCharting (2024)</w:t>
        </w:r>
      </w:hyperlink>
      <w:r>
        <w:rPr>
          <w:color w:val="000000"/>
          <w:rFonts w:ascii="Times New Roman" w:hAnsi="Times New Roman" w:cs="Times New Roman"/>
        </w:rPr>
        <w:t xml:space="preserve">. Pokémon shining fates card price guide: Historical market values for ungraded and psa 10 graded cards. PriceCharting Historical Collectibles Database, New York. Tersedia di: \url</w:t>
      </w:r>
      <w:r>
        <w:rPr>
          <w:color w:val="000000"/>
          <w:rFonts w:ascii="Times New Roman" w:hAnsi="Times New Roman" w:cs="Times New Roman"/>
        </w:rPr>
        <w:t xml:space="preserve"> </w:t>
      </w:r>
      <w:hyperlink r:id="rId21">
        <w:r>
          <w:rPr>
            <w:color w:val="0563C1"/>
            <w:u w:val="single"/>
            <w:rFonts w:ascii="Times New Roman" w:hAnsi="Times New Roman"/>
            <w:sz w:val="24"/>
          </w:rPr>
          <w:t>https://www.pricecharting.com/console/pokemon-shining-fates</w:t>
        </w:r>
      </w:hyperlink>
      <w:r>
        <w:rPr>
          <w:color w:val="000000"/>
          <w:rFonts w:ascii="Times New Roman" w:hAnsi="Times New Roman" w:cs="Times New Roman"/>
        </w:rPr>
        <w:t xml:space="preserve"> (Diakses 18 September 2026).</w:t>
      </w:r>
      <w:bookmarkEnd w:id="3035"/>
    </w:p>
    <w:p>
      <w:bookmarkStart w:id="3036" w:name="Ref_rook1987buying"/>
      <w:pPr>
        <w:spacing w:line="276" w:lineRule="auto" w:before="0" w:after="120"/>
        <w:ind w:left="709" w:hanging="709"/>
        <w:jc w:val="both"/>
      </w:pPr>
      <w:r>
        <w:rPr>
          <w:b w:val="0"/>
          <w:i w:val="0"/>
          <w:sz w:val="24"/>
          <w:color w:val="000000"/>
          <w:rFonts w:ascii="Times New Roman" w:hAnsi="Times New Roman" w:cs="Times New Roman"/>
        </w:rPr>
        <w:t xml:space="preserve">Rook, D. W. (1987). The buying impulse.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14(2):189–199.</w:t>
      </w:r>
      <w:bookmarkEnd w:id="3036"/>
    </w:p>
    <w:p>
      <w:bookmarkStart w:id="3037" w:name="Ref_rook1995normative"/>
      <w:pPr>
        <w:spacing w:line="276" w:lineRule="auto" w:before="0" w:after="120"/>
        <w:ind w:left="709" w:hanging="709"/>
        <w:jc w:val="both"/>
      </w:pPr>
      <w:r>
        <w:rPr>
          <w:b w:val="0"/>
          <w:i w:val="0"/>
          <w:sz w:val="24"/>
          <w:color w:val="000000"/>
          <w:rFonts w:ascii="Times New Roman" w:hAnsi="Times New Roman" w:cs="Times New Roman"/>
        </w:rPr>
        <w:t xml:space="preserve">Rook, D. W. and Fisher, R. J. (1995). Normative influences on impulsive buying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22(3):305–313.</w:t>
      </w:r>
      <w:bookmarkEnd w:id="3037"/>
    </w:p>
    <w:p>
      <w:bookmarkStart w:id="3038" w:name="Ref_sekaran2016research"/>
      <w:pPr>
        <w:spacing w:line="276" w:lineRule="auto" w:before="0" w:after="120"/>
        <w:ind w:left="709" w:hanging="709"/>
        <w:jc w:val="both"/>
      </w:pPr>
      <w:r>
        <w:rPr>
          <w:b w:val="0"/>
          <w:i w:val="0"/>
          <w:sz w:val="24"/>
          <w:color w:val="000000"/>
          <w:rFonts w:ascii="Times New Roman" w:hAnsi="Times New Roman" w:cs="Times New Roman"/>
        </w:rPr>
        <w:t xml:space="preserve">Sekaran, U. and Bougie, R. (2016). </w:t>
      </w:r>
      <w:r>
        <w:rPr>
          <w:b w:val="0"/>
          <w:i/>
          <w:sz w:val="24"/>
          <w:color w:val="000000"/>
          <w:rFonts w:ascii="Times New Roman" w:hAnsi="Times New Roman" w:cs="Times New Roman"/>
        </w:rPr>
        <w:t>Research Methods for Business: A Skill-Building Approach</w:t>
      </w:r>
      <w:r>
        <w:rPr>
          <w:b w:val="0"/>
          <w:i w:val="0"/>
          <w:sz w:val="24"/>
          <w:color w:val="000000"/>
          <w:rFonts w:ascii="Times New Roman" w:hAnsi="Times New Roman" w:cs="Times New Roman"/>
        </w:rPr>
        <w:t>. John Wiley dan Sons, Chichester, West Sussex, 7th edition.</w:t>
      </w:r>
      <w:bookmarkEnd w:id="3038"/>
    </w:p>
    <w:p>
      <w:bookmarkStart w:id="3039" w:name="Ref_shiller2000irrational"/>
      <w:pPr>
        <w:spacing w:line="276" w:lineRule="auto" w:before="0" w:after="120"/>
        <w:ind w:left="709" w:hanging="709"/>
        <w:jc w:val="both"/>
      </w:pPr>
      <w:r>
        <w:rPr>
          <w:b w:val="0"/>
          <w:i w:val="0"/>
          <w:sz w:val="24"/>
          <w:color w:val="000000"/>
          <w:rFonts w:ascii="Times New Roman" w:hAnsi="Times New Roman" w:cs="Times New Roman"/>
        </w:rPr>
        <w:t xml:space="preserve">Shiller, R. J. (2000).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Princeton University Press, Princeton, NJ.</w:t>
      </w:r>
      <w:bookmarkEnd w:id="3039"/>
    </w:p>
    <w:p>
      <w:bookmarkStart w:id="3040" w:name="Ref_simon1955behavioral"/>
      <w:pPr>
        <w:spacing w:line="276" w:lineRule="auto" w:before="0" w:after="120"/>
        <w:ind w:left="709" w:hanging="709"/>
        <w:jc w:val="both"/>
      </w:pPr>
      <w:r>
        <w:rPr>
          <w:b w:val="0"/>
          <w:i w:val="0"/>
          <w:sz w:val="24"/>
          <w:color w:val="000000"/>
          <w:rFonts w:ascii="Times New Roman" w:hAnsi="Times New Roman" w:cs="Times New Roman"/>
        </w:rPr>
        <w:t xml:space="preserve">Simon, H. A. (1955). A behavioral model of rational choice. </w:t>
      </w:r>
      <w:r>
        <w:rPr>
          <w:b w:val="0"/>
          <w:i/>
          <w:sz w:val="24"/>
          <w:color w:val="000000"/>
          <w:rFonts w:ascii="Times New Roman" w:hAnsi="Times New Roman" w:cs="Times New Roman"/>
        </w:rPr>
        <w:t>The Quarterly Journal of Economics</w:t>
      </w:r>
      <w:r>
        <w:rPr>
          <w:b w:val="0"/>
          <w:i w:val="0"/>
          <w:sz w:val="24"/>
          <w:color w:val="000000"/>
          <w:rFonts w:ascii="Times New Roman" w:hAnsi="Times New Roman" w:cs="Times New Roman"/>
        </w:rPr>
        <w:t>, 69(1):99–118.</w:t>
      </w:r>
      <w:bookmarkEnd w:id="3040"/>
    </w:p>
    <w:p>
      <w:bookmarkStart w:id="3041" w:name="Ref_spero2004approach"/>
      <w:pPr>
        <w:spacing w:line="276" w:lineRule="auto" w:before="0" w:after="120"/>
        <w:ind w:left="709" w:hanging="709"/>
        <w:jc w:val="both"/>
      </w:pPr>
      <w:r>
        <w:rPr>
          <w:b w:val="0"/>
          <w:i w:val="0"/>
          <w:sz w:val="24"/>
          <w:color w:val="000000"/>
          <w:rFonts w:ascii="Times New Roman" w:hAnsi="Times New Roman" w:cs="Times New Roman"/>
        </w:rPr>
        <w:t xml:space="preserve">Spero, I. and Stone, M. (2004). Agents of change: how young consumers are changing the world of marketing. </w:t>
      </w:r>
      <w:r>
        <w:rPr>
          <w:b w:val="0"/>
          <w:i/>
          <w:sz w:val="24"/>
          <w:color w:val="000000"/>
          <w:rFonts w:ascii="Times New Roman" w:hAnsi="Times New Roman" w:cs="Times New Roman"/>
        </w:rPr>
        <w:t>Qualitative Market Research: An International Journal</w:t>
      </w:r>
      <w:r>
        <w:rPr>
          <w:b w:val="0"/>
          <w:i w:val="0"/>
          <w:sz w:val="24"/>
          <w:color w:val="000000"/>
          <w:rFonts w:ascii="Times New Roman" w:hAnsi="Times New Roman" w:cs="Times New Roman"/>
        </w:rPr>
        <w:t>, 7(2):153–159.</w:t>
      </w:r>
      <w:bookmarkEnd w:id="3041"/>
    </w:p>
    <w:p>
      <w:bookmarkStart w:id="3042" w:name="Ref_statista2024pokemon"/>
      <w:pPr>
        <w:spacing w:line="276" w:lineRule="auto" w:before="0" w:after="120"/>
        <w:ind w:left="709" w:hanging="709"/>
        <w:jc w:val="both"/>
      </w:pPr>
      <w:hyperlink w:anchor="Ref_statista2024pokemon" w:history="1">
        <w:r>
          <w:rPr>
            <w:b w:val="0"/>
            <w:i w:val="0"/>
            <w:sz w:val="24"/>
            <w:color w:val="000000"/>
            <w:rFonts w:ascii="Times New Roman" w:hAnsi="Times New Roman" w:cs="Times New Roman"/>
          </w:rPr>
          <w:t xml:space="preserve">Statista (2021)</w:t>
        </w:r>
      </w:hyperlink>
      <w:r>
        <w:rPr>
          <w:color w:val="000000"/>
          <w:rFonts w:ascii="Times New Roman" w:hAnsi="Times New Roman" w:cs="Times New Roman"/>
        </w:rPr>
        <w:t xml:space="preserve">. Top 10 highest-grossing media franchises worldwide of all time. Statista Chart 24277, Consumer Market Insights dan Research, New York: Statista Inc. (terbit Februari 2021). Tersedia di: \url</w:t>
      </w:r>
      <w:r>
        <w:rPr>
          <w:color w:val="000000"/>
          <w:rFonts w:ascii="Times New Roman" w:hAnsi="Times New Roman" w:cs="Times New Roman"/>
        </w:rPr>
        <w:t xml:space="preserve"> </w:t>
      </w:r>
      <w:hyperlink r:id="rId22">
        <w:r>
          <w:rPr>
            <w:color w:val="0563C1"/>
            <w:u w:val="single"/>
            <w:rFonts w:ascii="Times New Roman" w:hAnsi="Times New Roman"/>
            <w:sz w:val="24"/>
          </w:rPr>
          <w:t>https://www.statista.com/chart/24277/media-franchises-with-most-sales/</w:t>
        </w:r>
      </w:hyperlink>
      <w:r>
        <w:rPr>
          <w:color w:val="000000"/>
          <w:rFonts w:ascii="Times New Roman" w:hAnsi="Times New Roman" w:cs="Times New Roman"/>
        </w:rPr>
        <w:t xml:space="preserve"> (Diakses 18 September 2026).</w:t>
      </w:r>
      <w:bookmarkEnd w:id="3042"/>
    </w:p>
    <w:p>
      <w:bookmarkStart w:id="3043" w:name="Ref_stern1962significance"/>
      <w:pPr>
        <w:spacing w:line="276" w:lineRule="auto" w:before="0" w:after="120"/>
        <w:ind w:left="709" w:hanging="709"/>
        <w:jc w:val="both"/>
      </w:pPr>
      <w:r>
        <w:rPr>
          <w:b w:val="0"/>
          <w:i w:val="0"/>
          <w:sz w:val="24"/>
          <w:color w:val="000000"/>
          <w:rFonts w:ascii="Times New Roman" w:hAnsi="Times New Roman" w:cs="Times New Roman"/>
        </w:rPr>
        <w:t xml:space="preserve">Stern, H. (1962). The significance of impulse buying today.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26(2):59–62.</w:t>
      </w:r>
      <w:bookmarkEnd w:id="3043"/>
    </w:p>
    <w:p>
      <w:bookmarkStart w:id="3044" w:name="Ref_sugiyono2019metode"/>
      <w:pPr>
        <w:spacing w:line="276" w:lineRule="auto" w:before="0" w:after="120"/>
        <w:ind w:left="709" w:hanging="709"/>
        <w:jc w:val="both"/>
      </w:pPr>
      <w:hyperlink w:anchor="Ref_sugiyono2019metode" w:history="1">
        <w:r>
          <w:rPr>
            <w:b w:val="0"/>
            <w:i w:val="0"/>
            <w:sz w:val="24"/>
            <w:color w:val="000000"/>
            <w:rFonts w:ascii="Times New Roman" w:hAnsi="Times New Roman" w:cs="Times New Roman"/>
          </w:rPr>
          <w:t xml:space="preserve">Sugiyono (2019)</w:t>
        </w:r>
      </w:hyperlink>
      <w:r>
        <w:rPr>
          <w:color w:val="000000"/>
          <w:rFonts w:ascii="Times New Roman" w:hAnsi="Times New Roman" w:cs="Times New Roman"/>
        </w:rPr>
        <w:t xml:space="preserve">. </w:t>
      </w:r>
      <w:r>
        <w:rPr>
          <w:b w:val="0"/>
          <w:i/>
          <w:sz w:val="24"/>
          <w:color w:val="000000"/>
          <w:rFonts w:ascii="Times New Roman" w:hAnsi="Times New Roman" w:cs="Times New Roman"/>
        </w:rPr>
        <w:t>Metode Penelitian Kuantitatif, Kualitatif, dan R&amp;D</w:t>
      </w:r>
      <w:r>
        <w:rPr>
          <w:b w:val="0"/>
          <w:i w:val="0"/>
          <w:sz w:val="24"/>
          <w:color w:val="000000"/>
          <w:rFonts w:ascii="Times New Roman" w:hAnsi="Times New Roman" w:cs="Times New Roman"/>
        </w:rPr>
        <w:t>. Alfabeta, Bandung.</w:t>
      </w:r>
      <w:bookmarkEnd w:id="3044"/>
    </w:p>
    <w:p>
      <w:bookmarkStart w:id="3045" w:name="Ref_sultan2012building"/>
      <w:pPr>
        <w:spacing w:line="276" w:lineRule="auto" w:before="0" w:after="120"/>
        <w:ind w:left="709" w:hanging="709"/>
        <w:jc w:val="both"/>
      </w:pPr>
      <w:r>
        <w:rPr>
          <w:b w:val="0"/>
          <w:i w:val="0"/>
          <w:sz w:val="24"/>
          <w:color w:val="000000"/>
          <w:rFonts w:ascii="Times New Roman" w:hAnsi="Times New Roman" w:cs="Times New Roman"/>
        </w:rPr>
        <w:t xml:space="preserve">Sultan, A. J., Joireman, J., and Sprott, D. E. (2012). Building consumer self-control: The effect of self-control exercises on impulse buying urges. </w:t>
      </w:r>
      <w:r>
        <w:rPr>
          <w:b w:val="0"/>
          <w:i/>
          <w:sz w:val="24"/>
          <w:color w:val="000000"/>
          <w:rFonts w:ascii="Times New Roman" w:hAnsi="Times New Roman" w:cs="Times New Roman"/>
        </w:rPr>
        <w:t>Marketing Letters</w:t>
      </w:r>
      <w:r>
        <w:rPr>
          <w:b w:val="0"/>
          <w:i w:val="0"/>
          <w:sz w:val="24"/>
          <w:color w:val="000000"/>
          <w:rFonts w:ascii="Times New Roman" w:hAnsi="Times New Roman" w:cs="Times New Roman"/>
        </w:rPr>
        <w:t>, 23(1):61–72.</w:t>
      </w:r>
      <w:bookmarkEnd w:id="3045"/>
    </w:p>
    <w:p>
      <w:bookmarkStart w:id="3046" w:name="Ref_tangney2004high"/>
      <w:pPr>
        <w:spacing w:line="276" w:lineRule="auto" w:before="0" w:after="120"/>
        <w:ind w:left="709" w:hanging="709"/>
        <w:jc w:val="both"/>
      </w:pPr>
      <w:r>
        <w:rPr>
          <w:b w:val="0"/>
          <w:i w:val="0"/>
          <w:sz w:val="24"/>
          <w:color w:val="000000"/>
          <w:rFonts w:ascii="Times New Roman" w:hAnsi="Times New Roman" w:cs="Times New Roman"/>
        </w:rPr>
        <w:t xml:space="preserve">Tangney, J. P., Baumeister, R. F., and Boone, A. L. (2004). High self-control predicts good adjustment, less pathology, better grades, and interpersonal success. </w:t>
      </w:r>
      <w:r>
        <w:rPr>
          <w:b w:val="0"/>
          <w:i/>
          <w:sz w:val="24"/>
          <w:color w:val="000000"/>
          <w:rFonts w:ascii="Times New Roman" w:hAnsi="Times New Roman" w:cs="Times New Roman"/>
        </w:rPr>
        <w:t>Journal of Personality</w:t>
      </w:r>
      <w:r>
        <w:rPr>
          <w:b w:val="0"/>
          <w:i w:val="0"/>
          <w:sz w:val="24"/>
          <w:color w:val="000000"/>
          <w:rFonts w:ascii="Times New Roman" w:hAnsi="Times New Roman" w:cs="Times New Roman"/>
        </w:rPr>
        <w:t>, 72(2):271–324.</w:t>
      </w:r>
      <w:bookmarkEnd w:id="3046"/>
    </w:p>
    <w:p>
      <w:bookmarkStart w:id="3047" w:name="Ref_thaler1985mental"/>
      <w:pPr>
        <w:spacing w:line="276" w:lineRule="auto" w:before="0" w:after="120"/>
        <w:ind w:left="709" w:hanging="709"/>
        <w:jc w:val="both"/>
      </w:pPr>
      <w:r>
        <w:rPr>
          <w:b w:val="0"/>
          <w:i w:val="0"/>
          <w:sz w:val="24"/>
          <w:color w:val="000000"/>
          <w:rFonts w:ascii="Times New Roman" w:hAnsi="Times New Roman" w:cs="Times New Roman"/>
        </w:rPr>
        <w:t xml:space="preserve">Thaler, R. (1985). Mental accounting and consumer choice. </w:t>
      </w:r>
      <w:r>
        <w:rPr>
          <w:b w:val="0"/>
          <w:i/>
          <w:sz w:val="24"/>
          <w:color w:val="000000"/>
          <w:rFonts w:ascii="Times New Roman" w:hAnsi="Times New Roman" w:cs="Times New Roman"/>
        </w:rPr>
        <w:t>Marketing Science</w:t>
      </w:r>
      <w:r>
        <w:rPr>
          <w:b w:val="0"/>
          <w:i w:val="0"/>
          <w:sz w:val="24"/>
          <w:color w:val="000000"/>
          <w:rFonts w:ascii="Times New Roman" w:hAnsi="Times New Roman" w:cs="Times New Roman"/>
        </w:rPr>
        <w:t>, 4(3):199–214.</w:t>
      </w:r>
      <w:bookmarkEnd w:id="3047"/>
    </w:p>
    <w:p>
      <w:bookmarkStart w:id="3048" w:name="Ref_thaler1981economic"/>
      <w:pPr>
        <w:spacing w:line="276" w:lineRule="auto" w:before="0" w:after="120"/>
        <w:ind w:left="709" w:hanging="709"/>
        <w:jc w:val="both"/>
      </w:pPr>
      <w:r>
        <w:rPr>
          <w:b w:val="0"/>
          <w:i w:val="0"/>
          <w:sz w:val="24"/>
          <w:color w:val="000000"/>
          <w:rFonts w:ascii="Times New Roman" w:hAnsi="Times New Roman" w:cs="Times New Roman"/>
        </w:rPr>
        <w:t xml:space="preserve">Thaler, R. H. and Shefrin, H. M. (1981). An economic theory of self-control. </w:t>
      </w:r>
      <w:r>
        <w:rPr>
          <w:b w:val="0"/>
          <w:i/>
          <w:sz w:val="24"/>
          <w:color w:val="000000"/>
          <w:rFonts w:ascii="Times New Roman" w:hAnsi="Times New Roman" w:cs="Times New Roman"/>
        </w:rPr>
        <w:t>Journal of Political Economy</w:t>
      </w:r>
      <w:r>
        <w:rPr>
          <w:b w:val="0"/>
          <w:i w:val="0"/>
          <w:sz w:val="24"/>
          <w:color w:val="000000"/>
          <w:rFonts w:ascii="Times New Roman" w:hAnsi="Times New Roman" w:cs="Times New Roman"/>
        </w:rPr>
        <w:t>, 89(2):392–406.</w:t>
      </w:r>
      <w:bookmarkEnd w:id="3048"/>
    </w:p>
    <w:p>
      <w:bookmarkStart w:id="3049" w:name="Ref_pokemoncompany2024"/>
      <w:pPr>
        <w:spacing w:line="276" w:lineRule="auto" w:before="0" w:after="120"/>
        <w:ind w:left="709" w:hanging="709"/>
        <w:jc w:val="both"/>
      </w:pPr>
      <w:hyperlink w:anchor="Ref_pokemoncompany2024" w:history="1">
        <w:r>
          <w:rPr>
            <w:b w:val="0"/>
            <w:i w:val="0"/>
            <w:sz w:val="24"/>
            <w:color w:val="000000"/>
            <w:rFonts w:ascii="Times New Roman" w:hAnsi="Times New Roman" w:cs="Times New Roman"/>
          </w:rPr>
          <w:t xml:space="preserve">The Pokémon Company (2024)</w:t>
        </w:r>
      </w:hyperlink>
      <w:r>
        <w:rPr>
          <w:color w:val="000000"/>
          <w:rFonts w:ascii="Times New Roman" w:hAnsi="Times New Roman" w:cs="Times New Roman"/>
        </w:rPr>
        <w:t xml:space="preserve">. Corporate business data and trading card game historical production statistics. Laporan Resmi Korporat, Tokyo: The Pokémon Company. Tersedia di: \url</w:t>
      </w:r>
      <w:r>
        <w:rPr>
          <w:color w:val="000000"/>
          <w:rFonts w:ascii="Times New Roman" w:hAnsi="Times New Roman" w:cs="Times New Roman"/>
        </w:rPr>
        <w:t xml:space="preserve"> </w:t>
      </w:r>
      <w:hyperlink r:id="rId23">
        <w:r>
          <w:rPr>
            <w:color w:val="0563C1"/>
            <w:u w:val="single"/>
            <w:rFonts w:ascii="Times New Roman" w:hAnsi="Times New Roman"/>
            <w:sz w:val="24"/>
          </w:rPr>
          <w:t>https://corporate.pokemon.co.jp/en/aboutus/figures/</w:t>
        </w:r>
      </w:hyperlink>
      <w:r>
        <w:rPr>
          <w:color w:val="000000"/>
          <w:rFonts w:ascii="Times New Roman" w:hAnsi="Times New Roman" w:cs="Times New Roman"/>
        </w:rPr>
        <w:t xml:space="preserve"> (Diakses 15 Januari 2025).</w:t>
      </w:r>
      <w:bookmarkEnd w:id="3049"/>
    </w:p>
    <w:p>
      <w:bookmarkStart w:id="3050" w:name="Ref_tirtayasa2020effect"/>
      <w:pPr>
        <w:spacing w:line="276" w:lineRule="auto" w:before="0" w:after="120"/>
        <w:ind w:left="709" w:hanging="709"/>
        <w:jc w:val="both"/>
      </w:pPr>
      <w:r>
        <w:rPr>
          <w:b w:val="0"/>
          <w:i w:val="0"/>
          <w:sz w:val="24"/>
          <w:color w:val="000000"/>
          <w:rFonts w:ascii="Times New Roman" w:hAnsi="Times New Roman" w:cs="Times New Roman"/>
        </w:rPr>
        <w:t xml:space="preserve">Tirtayasa, S., Nevianda, M., and Syahrial, H. (2020). The effect of hedonic shopping motivation, shopping lifestyle and fashion involvement with impulse buying. </w:t>
      </w:r>
      <w:r>
        <w:rPr>
          <w:b w:val="0"/>
          <w:i/>
          <w:sz w:val="24"/>
          <w:color w:val="000000"/>
          <w:rFonts w:ascii="Times New Roman" w:hAnsi="Times New Roman" w:cs="Times New Roman"/>
        </w:rPr>
        <w:t>International Journal of Business Economics</w:t>
      </w:r>
      <w:r>
        <w:rPr>
          <w:b w:val="0"/>
          <w:i w:val="0"/>
          <w:sz w:val="24"/>
          <w:color w:val="000000"/>
          <w:rFonts w:ascii="Times New Roman" w:hAnsi="Times New Roman" w:cs="Times New Roman"/>
        </w:rPr>
        <w:t>, 2(1):18–28.</w:t>
      </w:r>
      <w:bookmarkEnd w:id="3050"/>
    </w:p>
    <w:p>
      <w:bookmarkStart w:id="3051" w:name="Ref_verplanken2001individual"/>
      <w:pPr>
        <w:spacing w:line="276" w:lineRule="auto" w:before="0" w:after="120"/>
        <w:ind w:left="709" w:hanging="709"/>
        <w:jc w:val="both"/>
      </w:pPr>
      <w:r>
        <w:rPr>
          <w:b w:val="0"/>
          <w:i w:val="0"/>
          <w:sz w:val="24"/>
          <w:color w:val="000000"/>
          <w:rFonts w:ascii="Times New Roman" w:hAnsi="Times New Roman" w:cs="Times New Roman"/>
        </w:rPr>
        <w:t xml:space="preserve">Verplanken, B. and Herabadi, A. (2001). Individual differences in impulse buying tendency: Feeling and no thinking. </w:t>
      </w:r>
      <w:r>
        <w:rPr>
          <w:b w:val="0"/>
          <w:i/>
          <w:sz w:val="24"/>
          <w:color w:val="000000"/>
          <w:rFonts w:ascii="Times New Roman" w:hAnsi="Times New Roman" w:cs="Times New Roman"/>
        </w:rPr>
        <w:t>European Journal of Personality</w:t>
      </w:r>
      <w:r>
        <w:rPr>
          <w:b w:val="0"/>
          <w:i w:val="0"/>
          <w:sz w:val="24"/>
          <w:color w:val="000000"/>
          <w:rFonts w:ascii="Times New Roman" w:hAnsi="Times New Roman" w:cs="Times New Roman"/>
        </w:rPr>
        <w:t>, 15(S1):S71–S83.</w:t>
      </w:r>
      <w:bookmarkEnd w:id="3051"/>
    </w:p>
    <w:p>
      <w:bookmarkStart w:id="3052" w:name="Ref_vohs2007spent"/>
      <w:pPr>
        <w:spacing w:line="276" w:lineRule="auto" w:before="0" w:after="120"/>
        <w:ind w:left="709" w:hanging="709"/>
        <w:jc w:val="both"/>
      </w:pPr>
      <w:r>
        <w:rPr>
          <w:b w:val="0"/>
          <w:i w:val="0"/>
          <w:sz w:val="24"/>
          <w:color w:val="000000"/>
          <w:rFonts w:ascii="Times New Roman" w:hAnsi="Times New Roman" w:cs="Times New Roman"/>
        </w:rPr>
        <w:t xml:space="preserve">Vohs, K. D. and Faber, R. J. (2007). Spent resources: Self-regulatory resource depletion and impulsive buying.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33(4):537–547.</w:t>
      </w:r>
      <w:bookmarkEnd w:id="3052"/>
    </w:p>
    <w:p>
      <w:bookmarkStart w:id="3053" w:name="Ref_zeigarnik1927behalten"/>
      <w:pPr>
        <w:spacing w:line="276" w:lineRule="auto" w:before="0" w:after="120"/>
        <w:ind w:left="709" w:hanging="709"/>
        <w:jc w:val="both"/>
      </w:pPr>
      <w:r>
        <w:rPr>
          <w:b w:val="0"/>
          <w:i w:val="0"/>
          <w:sz w:val="24"/>
          <w:color w:val="000000"/>
          <w:rFonts w:ascii="Times New Roman" w:hAnsi="Times New Roman" w:cs="Times New Roman"/>
        </w:rPr>
        <w:t xml:space="preserve">Zeigarnik, B. (1927). Ueber das Behalten von erledigten und unerledigten Handlungen. </w:t>
      </w:r>
      <w:r>
        <w:rPr>
          <w:b w:val="0"/>
          <w:i/>
          <w:sz w:val="24"/>
          <w:color w:val="000000"/>
          <w:rFonts w:ascii="Times New Roman" w:hAnsi="Times New Roman" w:cs="Times New Roman"/>
        </w:rPr>
        <w:t>Psychologische Forschung</w:t>
      </w:r>
      <w:r>
        <w:rPr>
          <w:b w:val="0"/>
          <w:i w:val="0"/>
          <w:sz w:val="24"/>
          <w:color w:val="000000"/>
          <w:rFonts w:ascii="Times New Roman" w:hAnsi="Times New Roman" w:cs="Times New Roman"/>
        </w:rPr>
        <w:t>, 9:1–85.</w:t>
      </w:r>
      <w:bookmarkEnd w:id="3053"/>
    </w:p>
    <w:p>
      <w:bookmarkStart w:id="3054" w:name="Ref_zheng2019impact"/>
      <w:pPr>
        <w:spacing w:line="276" w:lineRule="auto" w:before="0" w:after="120"/>
        <w:ind w:left="709" w:hanging="709"/>
        <w:jc w:val="both"/>
      </w:pPr>
      <w:r>
        <w:rPr>
          <w:b w:val="0"/>
          <w:i w:val="0"/>
          <w:sz w:val="24"/>
          <w:color w:val="000000"/>
          <w:rFonts w:ascii="Times New Roman" w:hAnsi="Times New Roman" w:cs="Times New Roman"/>
        </w:rPr>
        <w:t xml:space="preserve">Zheng, X., Men, J., Yang, F., and Gong, X. (2019). Understanding impulse buying in mobile commerce: An investigation into hedonic and utilitarian browsing. </w:t>
      </w:r>
      <w:r>
        <w:rPr>
          <w:b w:val="0"/>
          <w:i/>
          <w:sz w:val="24"/>
          <w:color w:val="000000"/>
          <w:rFonts w:ascii="Times New Roman" w:hAnsi="Times New Roman" w:cs="Times New Roman"/>
        </w:rPr>
        <w:t>International Journal of Information Management</w:t>
      </w:r>
      <w:r>
        <w:rPr>
          <w:b w:val="0"/>
          <w:i w:val="0"/>
          <w:sz w:val="24"/>
          <w:color w:val="000000"/>
          <w:rFonts w:ascii="Times New Roman" w:hAnsi="Times New Roman" w:cs="Times New Roman"/>
        </w:rPr>
        <w:t>, 48:151–160.</w:t>
      </w:r>
      <w:bookmarkEnd w:id="3054"/>
    </w:p>
    <w:sectPr w:rsidR="00FC693F" w:rsidRPr="0006063C" w:rsidSect="00034616">
      <w:headerReference w:type="default" r:id="rId13"/>
      <w:footerReference w:type="default" r:id="rId14"/>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line="276" w:lineRule="auto" w:before="0" w:after="40"/>
      <w:ind w:left="0" w:firstLine="0" w:right="0"/>
      <w:tabs>
        <w:tab w:val="right" w:leader="dot" w:pos="7938"/>
      </w:tabs>
    </w:pPr>
    <w:rPr>
      <w:rFonts w:ascii="Times New Roman" w:hAnsi="Times New Roman"/>
      <w:b/>
      <w:sz w:val="22"/>
      <w:color w:val="000000"/>
    </w:rPr>
  </w:style>
  <w:style w:type="paragraph" w:customStyle="1" w:styleId="TOC2">
    <w:name w:val="TOC 2"/>
    <w:pPr>
      <w:spacing w:line="276" w:lineRule="auto" w:before="0" w:after="40"/>
      <w:ind w:left="340" w:firstLine="0" w:right="0"/>
      <w:tabs>
        <w:tab w:val="right" w:leader="dot" w:pos="7938"/>
      </w:tabs>
    </w:pPr>
    <w:rPr>
      <w:rFonts w:ascii="Times New Roman" w:hAnsi="Times New Roman"/>
      <w:b w:val="0"/>
      <w:sz w:val="22"/>
      <w:color w:val="000000"/>
    </w:rPr>
  </w:style>
  <w:style w:type="paragraph" w:customStyle="1" w:styleId="TOC3">
    <w:name w:val="TOC 3"/>
    <w:pPr>
      <w:spacing w:line="276" w:lineRule="auto" w:before="0" w:after="40"/>
      <w:ind w:left="680" w:firstLine="0" w:right="0"/>
      <w:tabs>
        <w:tab w:val="right" w:leader="dot" w:pos="7938"/>
      </w:tabs>
    </w:pPr>
    <w:rPr>
      <w:rFonts w:ascii="Times New Roman" w:hAnsi="Times New Roman"/>
      <w:b w:val="0"/>
      <w:sz w:val="21"/>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doi.org/10.22219/jiko.v10i02.35353" TargetMode="External"/><Relationship Id="rId21" Type="http://schemas.openxmlformats.org/officeDocument/2006/relationships/hyperlink" Target="https://www.pricecharting.com/console/pokemon-shining-fates" TargetMode="External"/><Relationship Id="rId22" Type="http://schemas.openxmlformats.org/officeDocument/2006/relationships/hyperlink" Target="https://www.statista.com/chart/24277/media-franchises-with-most-sales/" TargetMode="External"/><Relationship Id="rId23" Type="http://schemas.openxmlformats.org/officeDocument/2006/relationships/hyperlink" Target="https://corporate.pokemon.co.jp/en/aboutus/fig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