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0" w:line="240" w:lineRule="auto"/>
        <w:jc w:val="center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PERSETUJUAN PROPOSAL TUGAS AKHIR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646"/>
        <w:gridCol w:w="2646"/>
        <w:gridCol w:w="2646"/>
      </w:tblGrid>
      <w:tr>
        <w:tc>
          <w:tcPr>
            <w:tcW w:type="dxa" w:w="2154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Nama</w:t>
            </w:r>
          </w:p>
        </w:tc>
        <w:tc>
          <w:tcPr>
            <w:tcW w:type="dxa" w:w="227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:</w:t>
            </w:r>
          </w:p>
        </w:tc>
        <w:tc>
          <w:tcPr>
            <w:tcW w:type="dxa" w:w="5556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Arthur Reezan</w:t>
            </w: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 xml:space="preserve">                                                         Pria</w:t>
            </w:r>
          </w:p>
        </w:tc>
      </w:tr>
      <w:tr>
        <w:tc>
          <w:tcPr>
            <w:tcW w:type="dxa" w:w="2154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N.I.M.</w:t>
            </w:r>
          </w:p>
        </w:tc>
        <w:tc>
          <w:tcPr>
            <w:tcW w:type="dxa" w:w="227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:</w:t>
            </w:r>
          </w:p>
        </w:tc>
        <w:tc>
          <w:tcPr>
            <w:tcW w:type="dxa" w:w="5556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312023002</w:t>
            </w:r>
          </w:p>
        </w:tc>
      </w:tr>
      <w:tr>
        <w:tc>
          <w:tcPr>
            <w:tcW w:type="dxa" w:w="2154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Alamat</w:t>
            </w:r>
          </w:p>
        </w:tc>
        <w:tc>
          <w:tcPr>
            <w:tcW w:type="dxa" w:w="227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:</w:t>
            </w:r>
          </w:p>
        </w:tc>
        <w:tc>
          <w:tcPr>
            <w:tcW w:type="dxa" w:w="5556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Jl. Perumahan Duta Bandara Permai Blok gs 1 No.16, RT.4/RW.10, Jatimulya, Kec. Kosambi</w:t>
            </w:r>
          </w:p>
        </w:tc>
      </w:tr>
      <w:tr>
        <w:tc>
          <w:tcPr>
            <w:tcW w:type="dxa" w:w="2154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No. Telp</w:t>
            </w:r>
          </w:p>
        </w:tc>
        <w:tc>
          <w:tcPr>
            <w:tcW w:type="dxa" w:w="227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:</w:t>
            </w:r>
          </w:p>
        </w:tc>
        <w:tc>
          <w:tcPr>
            <w:tcW w:type="dxa" w:w="5556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085215001339</w:t>
            </w:r>
          </w:p>
        </w:tc>
      </w:tr>
      <w:tr>
        <w:tc>
          <w:tcPr>
            <w:tcW w:type="dxa" w:w="2154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Judul yang diajukan</w:t>
            </w:r>
          </w:p>
        </w:tc>
        <w:tc>
          <w:tcPr>
            <w:tcW w:type="dxa" w:w="227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:</w:t>
            </w:r>
          </w:p>
        </w:tc>
        <w:tc>
          <w:tcPr>
            <w:tcW w:type="dxa" w:w="5556"/>
            <w:tcMar>
              <w:top w:w="3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PENGARUH HEDONIC MOTIVATION, DESIRE FOR COMPLETENESS, DAN SPECULATIVE MOTIVE TERHADAP IMPULSIVE BUYING BOOSTER PACK KARTU POKÉMON TCG DENGAN SELF-CONTROL SEBAGAI VARIABEL MODERASI</w:t>
            </w:r>
          </w:p>
        </w:tc>
      </w:tr>
    </w:tbl>
    <w:p>
      <w:pPr>
        <w:spacing w:before="560" w:after="280" w:line="276" w:lineRule="auto"/>
        <w:jc w:val="righ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Jakarta, 18 September 2026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Menyetujui,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8"/>
        <w:gridCol w:w="3968"/>
      </w:tblGrid>
      <w:tr>
        <w:tc>
          <w:tcPr>
            <w:tcW w:type="dxa" w:w="3969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Dosen Pembimbing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(Dr. Fredella Colline, S.E., M.M., CFP®, PFM, CHCP-A)</w:t>
            </w:r>
          </w:p>
        </w:tc>
        <w:tc>
          <w:tcPr>
            <w:tcW w:type="dxa" w:w="3969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Dosen Pendamping</w:t>
              <w:br/>
              <w:br/>
              <w:br/>
              <w:br/>
              <w:br/>
            </w: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( ...................................................... )</w:t>
            </w:r>
          </w:p>
        </w:tc>
      </w:tr>
    </w:tbl>
    <w:p>
      <w:pPr>
        <w:spacing w:before="36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Mengetahui,</w:t>
        <w:br/>
        <w:br/>
        <w:br/>
        <w:br/>
        <w:br/>
      </w: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(Dr. Daniel Widjaja, S.E., M.M., CSCU, CEAP)</w:t>
        <w:br/>
      </w: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Ketua Program Studi Sementara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