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360"/>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ukrida_pentagram.png"/>
                    <pic:cNvPicPr/>
                  </pic:nvPicPr>
                  <pic:blipFill>
                    <a:blip r:embed="rId11"/>
                    <a:stretch>
                      <a:fillRect/>
                    </a:stretch>
                  </pic:blipFill>
                  <pic:spPr>
                    <a:xfrm>
                      <a:off x="0" y="0"/>
                      <a:ext cx="1152000" cy="1152000"/>
                    </a:xfrm>
                    <a:prstGeom prst="rect"/>
                  </pic:spPr>
                </pic:pic>
              </a:graphicData>
            </a:graphic>
          </wp:inline>
        </w:drawing>
      </w:r>
    </w:p>
    <w:p>
      <w:pPr>
        <w:spacing w:line="240" w:lineRule="auto" w:before="120" w:after="360"/>
        <w:jc w:val="center"/>
      </w:pPr>
      <w:r>
        <w:rPr>
          <w:rFonts w:ascii="Times New Roman" w:hAnsi="Times New Roman" w:cs="Times New Roman" w:eastAsia="Times New Roman"/>
          <w:b/>
          <w:i w:val="0"/>
          <w:color w:val="000000"/>
          <w:sz w:val="28"/>
        </w:rPr>
        <w:t>PROPOSAL TUGAS AKHIR</w:t>
      </w:r>
    </w:p>
    <w:p>
      <w:pPr>
        <w:spacing w:line="240" w:lineRule="auto" w:before="240" w:after="480"/>
        <w:jc w:val="center"/>
      </w:pPr>
      <w:r>
        <w:rPr>
          <w:rFonts w:ascii="Times New Roman" w:hAnsi="Times New Roman" w:cs="Times New Roman" w:eastAsia="Times New Roman"/>
          <w:b/>
          <w:i w:val="0"/>
          <w:color w:val="000000"/>
          <w:sz w:val="28"/>
        </w:rPr>
        <w:t xml:space="preserve">PENGARUH PEMASARAN </w:t>
      </w:r>
      <w:r>
        <w:rPr>
          <w:rFonts w:ascii="Times New Roman" w:hAnsi="Times New Roman" w:cs="Times New Roman" w:eastAsia="Times New Roman"/>
          <w:b/>
          <w:i/>
          <w:color w:val="000000"/>
          <w:sz w:val="28"/>
        </w:rPr>
        <w:t>INFLUENCER</w:t>
      </w:r>
      <w:r>
        <w:rPr>
          <w:rFonts w:ascii="Times New Roman" w:hAnsi="Times New Roman" w:cs="Times New Roman" w:eastAsia="Times New Roman"/>
          <w:b/>
          <w:i w:val="0"/>
          <w:color w:val="000000"/>
          <w:sz w:val="28"/>
        </w:rPr>
        <w:t xml:space="preserve"> </w:t>
      </w:r>
      <w:r>
        <w:rPr>
          <w:rFonts w:ascii="Times New Roman" w:hAnsi="Times New Roman" w:cs="Times New Roman" w:eastAsia="Times New Roman"/>
          <w:b/>
          <w:i/>
          <w:color w:val="000000"/>
          <w:sz w:val="28"/>
        </w:rPr>
        <w:t>MARKETING</w:t>
      </w:r>
      <w:r>
        <w:rPr>
          <w:rFonts w:ascii="Times New Roman" w:hAnsi="Times New Roman" w:cs="Times New Roman" w:eastAsia="Times New Roman"/>
          <w:b/>
          <w:i w:val="0"/>
          <w:color w:val="000000"/>
          <w:sz w:val="28"/>
        </w:rPr>
        <w:t xml:space="preserve"> (</w:t>
      </w:r>
      <w:r>
        <w:rPr>
          <w:rFonts w:ascii="Times New Roman" w:hAnsi="Times New Roman" w:cs="Times New Roman" w:eastAsia="Times New Roman"/>
          <w:b/>
          <w:i/>
          <w:color w:val="000000"/>
          <w:sz w:val="28"/>
        </w:rPr>
        <w:t>INFLUENCER MARKETING</w:t>
      </w:r>
      <w:r>
        <w:rPr>
          <w:rFonts w:ascii="Times New Roman" w:hAnsi="Times New Roman" w:cs="Times New Roman" w:eastAsia="Times New Roman"/>
          <w:b/>
          <w:i w:val="0"/>
          <w:color w:val="000000"/>
          <w:sz w:val="28"/>
        </w:rPr>
        <w:t>), KOMUNIKASI ELEKTRONIK DARI MULUT KE MULUT (</w:t>
      </w:r>
      <w:r>
        <w:rPr>
          <w:rFonts w:ascii="Times New Roman" w:hAnsi="Times New Roman" w:cs="Times New Roman" w:eastAsia="Times New Roman"/>
          <w:b/>
          <w:i/>
          <w:color w:val="000000"/>
          <w:sz w:val="28"/>
        </w:rPr>
        <w:t>ELECTRONIC WORD-OF-MOUTH</w:t>
      </w:r>
      <w:r>
        <w:rPr>
          <w:rFonts w:ascii="Times New Roman" w:hAnsi="Times New Roman" w:cs="Times New Roman" w:eastAsia="Times New Roman"/>
          <w:b/>
          <w:i w:val="0"/>
          <w:color w:val="000000"/>
          <w:sz w:val="28"/>
        </w:rPr>
        <w:t>), DAN PERSEPSI KENIKMATAN (</w:t>
      </w:r>
      <w:r>
        <w:rPr>
          <w:rFonts w:ascii="Times New Roman" w:hAnsi="Times New Roman" w:cs="Times New Roman" w:eastAsia="Times New Roman"/>
          <w:b/>
          <w:i/>
          <w:color w:val="000000"/>
          <w:sz w:val="28"/>
        </w:rPr>
        <w:t>PERCEIVED ENJOYMENT</w:t>
      </w:r>
      <w:r>
        <w:rPr>
          <w:rFonts w:ascii="Times New Roman" w:hAnsi="Times New Roman" w:cs="Times New Roman" w:eastAsia="Times New Roman"/>
          <w:b/>
          <w:i w:val="0"/>
          <w:color w:val="000000"/>
          <w:sz w:val="28"/>
        </w:rPr>
        <w:t>) TERHADAP NIAT BERMAIN (</w:t>
      </w:r>
      <w:r>
        <w:rPr>
          <w:rFonts w:ascii="Times New Roman" w:hAnsi="Times New Roman" w:cs="Times New Roman" w:eastAsia="Times New Roman"/>
          <w:b/>
          <w:i/>
          <w:color w:val="000000"/>
          <w:sz w:val="28"/>
        </w:rPr>
        <w:t>INTENTION TO PLAY</w:t>
      </w:r>
      <w:r>
        <w:rPr>
          <w:rFonts w:ascii="Times New Roman" w:hAnsi="Times New Roman" w:cs="Times New Roman" w:eastAsia="Times New Roman"/>
          <w:b/>
          <w:i w:val="0"/>
          <w:color w:val="000000"/>
          <w:sz w:val="28"/>
        </w:rPr>
        <w:t xml:space="preserve">) </w:t>
      </w:r>
      <w:r>
        <w:rPr>
          <w:rFonts w:ascii="Times New Roman" w:hAnsi="Times New Roman" w:cs="Times New Roman" w:eastAsia="Times New Roman"/>
          <w:b/>
          <w:i/>
          <w:color w:val="000000"/>
          <w:sz w:val="28"/>
        </w:rPr>
        <w:t>MOBILE LEGENDS</w:t>
      </w:r>
      <w:r>
        <w:rPr>
          <w:rFonts w:ascii="Times New Roman" w:hAnsi="Times New Roman" w:cs="Times New Roman" w:eastAsia="Times New Roman"/>
          <w:b/>
          <w:i w:val="0"/>
          <w:color w:val="000000"/>
          <w:sz w:val="28"/>
        </w:rPr>
        <w:t xml:space="preserve"> PADA GENERASI Z</w:t>
      </w:r>
    </w:p>
    <w:p>
      <w:pPr>
        <w:spacing w:line="240" w:lineRule="auto" w:before="360" w:after="0"/>
        <w:jc w:val="center"/>
      </w:pPr>
      <w:r>
        <w:rPr>
          <w:rFonts w:ascii="Times New Roman" w:hAnsi="Times New Roman" w:cs="Times New Roman" w:eastAsia="Times New Roman"/>
          <w:b w:val="0"/>
          <w:i w:val="0"/>
          <w:color w:val="000000"/>
          <w:sz w:val="24"/>
        </w:rPr>
        <w:t>Diajukan Kepada Program Studi Manajemen</w:t>
      </w:r>
    </w:p>
    <w:p>
      <w:pPr>
        <w:spacing w:line="240" w:lineRule="auto" w:before="0" w:after="480"/>
        <w:jc w:val="center"/>
      </w:pPr>
      <w:r>
        <w:rPr>
          <w:rFonts w:ascii="Times New Roman" w:hAnsi="Times New Roman" w:cs="Times New Roman" w:eastAsia="Times New Roman"/>
          <w:b w:val="0"/>
          <w:i w:val="0"/>
          <w:color w:val="000000"/>
          <w:sz w:val="24"/>
        </w:rPr>
        <w:t>Untuk Menyusun Tugas Akhir Sarjana Manajemen</w:t>
      </w:r>
    </w:p>
    <w:p>
      <w:pPr>
        <w:spacing w:before="480" w:after="720" w:line="240" w:lineRule="auto"/>
        <w:jc w:val="center"/>
      </w:pPr>
      <w:r>
        <w:rPr>
          <w:rFonts w:ascii="Times New Roman" w:hAnsi="Times New Roman" w:cs="Times New Roman" w:eastAsia="Times New Roman"/>
          <w:b w:val="0"/>
          <w:i w:val="0"/>
          <w:color w:val="000000"/>
          <w:sz w:val="24"/>
        </w:rPr>
        <w:t>Diajukan Oleh:</w:t>
      </w:r>
      <w:r>
        <w:br/>
      </w:r>
      <w:r>
        <w:rPr>
          <w:rFonts w:ascii="Times New Roman" w:hAnsi="Times New Roman" w:cs="Times New Roman" w:eastAsia="Times New Roman"/>
          <w:b/>
          <w:i w:val="0"/>
          <w:color w:val="000000"/>
          <w:sz w:val="24"/>
        </w:rPr>
        <w:t>Siddharta Pratama Budiono</w:t>
      </w:r>
      <w:r>
        <w:br/>
      </w:r>
      <w:r>
        <w:rPr>
          <w:rFonts w:ascii="Times New Roman" w:hAnsi="Times New Roman" w:cs="Times New Roman" w:eastAsia="Times New Roman"/>
          <w:b/>
          <w:i w:val="0"/>
          <w:color w:val="000000"/>
          <w:sz w:val="24"/>
        </w:rPr>
        <w:t>312023017</w:t>
      </w:r>
    </w:p>
    <w:p>
      <w:pPr>
        <w:spacing w:before="960" w:after="0" w:line="240" w:lineRule="auto"/>
        <w:jc w:val="center"/>
      </w:pPr>
      <w:r>
        <w:rPr>
          <w:rFonts w:ascii="Times New Roman" w:hAnsi="Times New Roman" w:cs="Times New Roman" w:eastAsia="Times New Roman"/>
          <w:b/>
          <w:i w:val="0"/>
          <w:color w:val="000000"/>
          <w:sz w:val="24"/>
        </w:rPr>
        <w:t>PROGRAM STUDI MANAJEMEN</w:t>
      </w:r>
      <w:r>
        <w:br/>
      </w:r>
      <w:r>
        <w:rPr>
          <w:rFonts w:ascii="Times New Roman" w:hAnsi="Times New Roman" w:cs="Times New Roman" w:eastAsia="Times New Roman"/>
          <w:b/>
          <w:i w:val="0"/>
          <w:color w:val="000000"/>
          <w:sz w:val="24"/>
        </w:rPr>
        <w:t>FAKULTAS EKONOMI DAN BISNIS</w:t>
      </w:r>
      <w:r>
        <w:br/>
      </w:r>
      <w:r>
        <w:rPr>
          <w:rFonts w:ascii="Times New Roman" w:hAnsi="Times New Roman" w:cs="Times New Roman" w:eastAsia="Times New Roman"/>
          <w:b/>
          <w:i w:val="0"/>
          <w:color w:val="000000"/>
          <w:sz w:val="24"/>
        </w:rPr>
        <w:t>UNIVERSITAS KRISTEN KRIDA WACANA</w:t>
      </w:r>
      <w:r>
        <w:br/>
      </w:r>
      <w:r>
        <w:rPr>
          <w:rFonts w:ascii="Times New Roman" w:hAnsi="Times New Roman" w:cs="Times New Roman" w:eastAsia="Times New Roman"/>
          <w:b/>
          <w:i w:val="0"/>
          <w:color w:val="000000"/>
          <w:sz w:val="24"/>
        </w:rPr>
        <w:t>JAKARTA 2026</w:t>
      </w:r>
    </w:p>
    <w:p>
      <w:pPr>
        <w:sectPr>
          <w:footerReference w:type="default" r:id="rId9"/>
          <w:headerReference w:type="default" r:id="rId10"/>
          <w:pgSz w:w="11906" w:h="16838"/>
          <w:pgMar w:top="1701" w:right="1701" w:bottom="1701" w:left="2268" w:header="720" w:footer="720" w:gutter="0"/>
          <w:cols w:space="720"/>
          <w:titlePg/>
          <w:docGrid w:linePitch="360"/>
        </w:sectPr>
      </w:pPr>
    </w:p>
    <w:p>
      <w:pPr>
        <w:pStyle w:val="Heading1"/>
        <w:pageBreakBefore w:val="0"/>
        <w:jc w:val="center"/>
      </w:pPr>
      <w:r>
        <w:rPr>
          <w:rFonts w:ascii="Times New Roman" w:hAnsi="Times New Roman" w:cs="Times New Roman" w:eastAsia="Times New Roman"/>
          <w:b/>
          <w:i w:val="0"/>
          <w:color w:val="000000"/>
          <w:sz w:val="24"/>
        </w:rPr>
        <w:t>DAFTAR ISI</w:t>
      </w:r>
    </w:p>
    <w:p>
      <w:pPr>
        <w:spacing w:after="120"/>
      </w:pPr>
      <w:r>
        <w:rPr>
          <w:rFonts w:ascii="Times New Roman" w:hAnsi="Times New Roman" w:cs="Times New Roman" w:eastAsia="Times New Roman"/>
          <w:b w:val="0"/>
          <w:i w:val="0"/>
          <w:color w:val="000000"/>
          <w:sz w:val="24"/>
        </w:rPr>
        <w:fldChar w:fldCharType="begin"/>
      </w:r>
      <w:r>
        <w:rPr>
          <w:rFonts w:ascii="Times New Roman" w:hAnsi="Times New Roman" w:cs="Times New Roman" w:eastAsia="Times New Roman"/>
          <w:b w:val="0"/>
          <w:i w:val="0"/>
          <w:color w:val="000000"/>
          <w:sz w:val="24"/>
        </w:rPr>
        <w:instrText xml:space="preserve">TOC \o "1-3" \h \z \u</w:instrText>
      </w:r>
      <w:r>
        <w:rPr>
          <w:rFonts w:ascii="Times New Roman" w:hAnsi="Times New Roman" w:cs="Times New Roman" w:eastAsia="Times New Roman"/>
          <w:b w:val="0"/>
          <w:i w:val="0"/>
          <w:color w:val="000000"/>
          <w:sz w:val="24"/>
        </w:rPr>
        <w:fldChar w:fldCharType="separate"/>
      </w:r>
      <w:r>
        <w:rPr>
          <w:rFonts w:ascii="Times New Roman" w:hAnsi="Times New Roman" w:cs="Times New Roman" w:eastAsia="Times New Roman"/>
          <w:b w:val="0"/>
          <w:i w:val="0"/>
          <w:color w:val="000000"/>
          <w:sz w:val="24"/>
        </w:rPr>
        <w:fldChar w:fldCharType="end"/>
      </w:r>
    </w:p>
    <w:p>
      <w:pPr>
        <w:pStyle w:val="toc1"/>
        <w:tabs>
          <w:tab w:pos="7938" w:val="right" w:leader="dot"/>
        </w:tabs>
        <w:ind w:right="0"/>
      </w:pPr>
      <w:r>
        <w:rPr>
          <w:rFonts w:ascii="Times New Roman" w:hAnsi="Times New Roman" w:cs="Times New Roman" w:eastAsia="Times New Roman"/>
          <w:b/>
          <w:i w:val="0"/>
          <w:color w:val="000000"/>
          <w:sz w:val="24"/>
        </w:rPr>
        <w:t>DAFTAR ISI</w:t>
        <w:tab/>
        <w:t>ii</w:t>
      </w:r>
    </w:p>
    <w:p>
      <w:pPr>
        <w:pStyle w:val="toc1"/>
        <w:tabs>
          <w:tab w:pos="7938" w:val="right" w:leader="dot"/>
        </w:tabs>
        <w:ind w:right="0"/>
      </w:pPr>
      <w:r>
        <w:rPr>
          <w:rFonts w:ascii="Times New Roman" w:hAnsi="Times New Roman" w:cs="Times New Roman" w:eastAsia="Times New Roman"/>
          <w:b/>
          <w:i w:val="0"/>
          <w:color w:val="000000"/>
          <w:sz w:val="24"/>
        </w:rPr>
        <w:t>DAFTAR TABEL</w:t>
        <w:tab/>
        <w:t>iii</w:t>
      </w:r>
    </w:p>
    <w:p>
      <w:pPr>
        <w:pStyle w:val="toc1"/>
        <w:tabs>
          <w:tab w:pos="7938" w:val="right" w:leader="dot"/>
        </w:tabs>
        <w:ind w:right="0"/>
      </w:pPr>
      <w:r>
        <w:rPr>
          <w:rFonts w:ascii="Times New Roman" w:hAnsi="Times New Roman" w:cs="Times New Roman" w:eastAsia="Times New Roman"/>
          <w:b/>
          <w:i w:val="0"/>
          <w:color w:val="000000"/>
          <w:sz w:val="24"/>
        </w:rPr>
        <w:t>DAFTAR GAMBAR</w:t>
        <w:tab/>
        <w:t>iv</w:t>
      </w:r>
    </w:p>
    <w:p>
      <w:pPr>
        <w:pStyle w:val="toc1"/>
        <w:tabs>
          <w:tab w:pos="7938" w:val="right" w:leader="dot"/>
        </w:tabs>
        <w:ind w:right="0"/>
      </w:pPr>
      <w:r>
        <w:rPr>
          <w:rFonts w:ascii="Times New Roman" w:hAnsi="Times New Roman" w:cs="Times New Roman" w:eastAsia="Times New Roman"/>
          <w:b/>
          <w:i w:val="0"/>
          <w:color w:val="000000"/>
          <w:sz w:val="24"/>
        </w:rPr>
        <w:t>BAB I PENDAHULUAN</w:t>
        <w:tab/>
        <w:t>1</w:t>
      </w:r>
    </w:p>
    <w:p>
      <w:pPr>
        <w:pStyle w:val="toc2"/>
        <w:tabs>
          <w:tab w:pos="7938" w:val="right" w:leader="dot"/>
        </w:tabs>
        <w:ind w:right="0"/>
      </w:pPr>
      <w:r>
        <w:rPr>
          <w:rFonts w:ascii="Times New Roman" w:hAnsi="Times New Roman" w:cs="Times New Roman" w:eastAsia="Times New Roman"/>
          <w:b w:val="0"/>
          <w:i w:val="0"/>
          <w:color w:val="000000"/>
          <w:sz w:val="24"/>
        </w:rPr>
        <w:t>1.1 Latar Belakang Penelitian</w:t>
        <w:tab/>
        <w:t>1</w:t>
      </w:r>
    </w:p>
    <w:p>
      <w:pPr>
        <w:pStyle w:val="toc2"/>
        <w:tabs>
          <w:tab w:pos="7938" w:val="right" w:leader="dot"/>
        </w:tabs>
        <w:ind w:right="0"/>
      </w:pPr>
      <w:r>
        <w:rPr>
          <w:rFonts w:ascii="Times New Roman" w:hAnsi="Times New Roman" w:cs="Times New Roman" w:eastAsia="Times New Roman"/>
          <w:b w:val="0"/>
          <w:i w:val="0"/>
          <w:color w:val="000000"/>
          <w:sz w:val="24"/>
        </w:rPr>
        <w:t>1.2 Rumusan Masalah</w:t>
        <w:tab/>
        <w:t>6</w:t>
      </w:r>
    </w:p>
    <w:p>
      <w:pPr>
        <w:pStyle w:val="toc2"/>
        <w:tabs>
          <w:tab w:pos="7938" w:val="right" w:leader="dot"/>
        </w:tabs>
        <w:ind w:right="0"/>
      </w:pPr>
      <w:r>
        <w:rPr>
          <w:rFonts w:ascii="Times New Roman" w:hAnsi="Times New Roman" w:cs="Times New Roman" w:eastAsia="Times New Roman"/>
          <w:b w:val="0"/>
          <w:i w:val="0"/>
          <w:color w:val="000000"/>
          <w:sz w:val="24"/>
        </w:rPr>
        <w:t>1.3 Tujuan Penelitian</w:t>
        <w:tab/>
        <w:t>7</w:t>
      </w:r>
    </w:p>
    <w:p>
      <w:pPr>
        <w:pStyle w:val="toc2"/>
        <w:tabs>
          <w:tab w:pos="7938" w:val="right" w:leader="dot"/>
        </w:tabs>
        <w:ind w:right="0"/>
      </w:pPr>
      <w:r>
        <w:rPr>
          <w:rFonts w:ascii="Times New Roman" w:hAnsi="Times New Roman" w:cs="Times New Roman" w:eastAsia="Times New Roman"/>
          <w:b w:val="0"/>
          <w:i w:val="0"/>
          <w:color w:val="000000"/>
          <w:sz w:val="24"/>
        </w:rPr>
        <w:t>1.4 Manfaat Penelitian</w:t>
        <w:tab/>
        <w:t>7</w:t>
      </w:r>
    </w:p>
    <w:p>
      <w:pPr>
        <w:pStyle w:val="toc3"/>
        <w:tabs>
          <w:tab w:pos="7938" w:val="right" w:leader="dot"/>
        </w:tabs>
        <w:ind w:right="0"/>
      </w:pPr>
      <w:r>
        <w:rPr>
          <w:rFonts w:ascii="Times New Roman" w:hAnsi="Times New Roman" w:cs="Times New Roman" w:eastAsia="Times New Roman"/>
          <w:b w:val="0"/>
          <w:i w:val="0"/>
          <w:color w:val="000000"/>
          <w:sz w:val="24"/>
        </w:rPr>
        <w:t>1.4.1 Manfaat Teoritis</w:t>
        <w:tab/>
        <w:t>7</w:t>
      </w:r>
    </w:p>
    <w:p>
      <w:pPr>
        <w:pStyle w:val="toc3"/>
        <w:tabs>
          <w:tab w:pos="7938" w:val="right" w:leader="dot"/>
        </w:tabs>
        <w:ind w:right="0"/>
      </w:pPr>
      <w:r>
        <w:rPr>
          <w:rFonts w:ascii="Times New Roman" w:hAnsi="Times New Roman" w:cs="Times New Roman" w:eastAsia="Times New Roman"/>
          <w:b w:val="0"/>
          <w:i w:val="0"/>
          <w:color w:val="000000"/>
          <w:sz w:val="24"/>
        </w:rPr>
        <w:t>1.4.2 Manfaat Praktis</w:t>
        <w:tab/>
        <w:t>7</w:t>
      </w:r>
    </w:p>
    <w:p>
      <w:pPr>
        <w:pStyle w:val="toc1"/>
        <w:tabs>
          <w:tab w:pos="7938" w:val="right" w:leader="dot"/>
        </w:tabs>
        <w:ind w:right="0"/>
      </w:pPr>
      <w:r>
        <w:rPr>
          <w:rFonts w:ascii="Times New Roman" w:hAnsi="Times New Roman" w:cs="Times New Roman" w:eastAsia="Times New Roman"/>
          <w:b/>
          <w:i w:val="0"/>
          <w:color w:val="000000"/>
          <w:sz w:val="24"/>
        </w:rPr>
        <w:t>BAB II TINJAUAN PUSTAKA DAN PENGEMBANGAN HIPOTESIS</w:t>
        <w:tab/>
        <w:t>8</w:t>
      </w:r>
    </w:p>
    <w:p>
      <w:pPr>
        <w:pStyle w:val="toc2"/>
        <w:tabs>
          <w:tab w:pos="7938" w:val="right" w:leader="dot"/>
        </w:tabs>
        <w:ind w:right="0"/>
      </w:pPr>
      <w:r>
        <w:rPr>
          <w:rFonts w:ascii="Times New Roman" w:hAnsi="Times New Roman" w:cs="Times New Roman" w:eastAsia="Times New Roman"/>
          <w:b w:val="0"/>
          <w:i w:val="0"/>
          <w:color w:val="000000"/>
          <w:sz w:val="24"/>
        </w:rPr>
        <w:t>2.1 Landasan Teori</w:t>
        <w:tab/>
        <w:t>8</w:t>
      </w:r>
    </w:p>
    <w:p>
      <w:pPr>
        <w:pStyle w:val="toc3"/>
        <w:tabs>
          <w:tab w:pos="7938" w:val="right" w:leader="dot"/>
        </w:tabs>
        <w:ind w:right="0"/>
      </w:pPr>
      <w:r>
        <w:rPr>
          <w:rFonts w:ascii="Times New Roman" w:hAnsi="Times New Roman" w:cs="Times New Roman" w:eastAsia="Times New Roman"/>
          <w:b w:val="0"/>
          <w:i w:val="0"/>
          <w:color w:val="000000"/>
          <w:sz w:val="24"/>
        </w:rPr>
        <w:t>2.1.1 Influencer Marketing sebagai Kredibilitas Sumber</w:t>
        <w:tab/>
        <w:t>8</w:t>
      </w:r>
    </w:p>
    <w:p>
      <w:pPr>
        <w:pStyle w:val="toc3"/>
        <w:tabs>
          <w:tab w:pos="7938" w:val="right" w:leader="dot"/>
        </w:tabs>
        <w:ind w:right="0"/>
      </w:pPr>
      <w:r>
        <w:rPr>
          <w:rFonts w:ascii="Times New Roman" w:hAnsi="Times New Roman" w:cs="Times New Roman" w:eastAsia="Times New Roman"/>
          <w:b w:val="0"/>
          <w:i w:val="0"/>
          <w:color w:val="000000"/>
          <w:sz w:val="24"/>
        </w:rPr>
        <w:t>2.1.2 Electronic Word of Mouth (eWOM) dan Adopsi Informasi</w:t>
        <w:tab/>
        <w:t>9</w:t>
      </w:r>
    </w:p>
    <w:p>
      <w:pPr>
        <w:pStyle w:val="toc3"/>
        <w:tabs>
          <w:tab w:pos="7938" w:val="right" w:leader="dot"/>
        </w:tabs>
        <w:ind w:right="0"/>
      </w:pPr>
      <w:r>
        <w:rPr>
          <w:rFonts w:ascii="Times New Roman" w:hAnsi="Times New Roman" w:cs="Times New Roman" w:eastAsia="Times New Roman"/>
          <w:b w:val="0"/>
          <w:i w:val="0"/>
          <w:color w:val="000000"/>
          <w:sz w:val="24"/>
        </w:rPr>
        <w:t>2.1.3 Perceived Enjoyment pada Sistem Hedonik</w:t>
        <w:tab/>
        <w:t>10</w:t>
      </w:r>
    </w:p>
    <w:p>
      <w:pPr>
        <w:pStyle w:val="toc3"/>
        <w:tabs>
          <w:tab w:pos="7938" w:val="right" w:leader="dot"/>
        </w:tabs>
        <w:ind w:right="0"/>
      </w:pPr>
      <w:r>
        <w:rPr>
          <w:rFonts w:ascii="Times New Roman" w:hAnsi="Times New Roman" w:cs="Times New Roman" w:eastAsia="Times New Roman"/>
          <w:b w:val="0"/>
          <w:i w:val="0"/>
          <w:color w:val="000000"/>
          <w:sz w:val="24"/>
        </w:rPr>
        <w:t>2.1.4 Intention to Play sebagai Niat Perilaku</w:t>
        <w:tab/>
        <w:t>11</w:t>
      </w:r>
    </w:p>
    <w:p>
      <w:pPr>
        <w:pStyle w:val="toc3"/>
        <w:tabs>
          <w:tab w:pos="7938" w:val="right" w:leader="dot"/>
        </w:tabs>
        <w:ind w:right="0"/>
      </w:pPr>
      <w:r>
        <w:rPr>
          <w:rFonts w:ascii="Times New Roman" w:hAnsi="Times New Roman" w:cs="Times New Roman" w:eastAsia="Times New Roman"/>
          <w:b w:val="0"/>
          <w:i w:val="0"/>
          <w:color w:val="000000"/>
          <w:sz w:val="24"/>
        </w:rPr>
        <w:t>2.1.5 Generasi Z sebagai Konteks, bukan Variabel</w:t>
        <w:tab/>
        <w:t>11</w:t>
      </w:r>
    </w:p>
    <w:p>
      <w:pPr>
        <w:pStyle w:val="toc2"/>
        <w:tabs>
          <w:tab w:pos="7938" w:val="right" w:leader="dot"/>
        </w:tabs>
        <w:ind w:right="0"/>
      </w:pPr>
      <w:r>
        <w:rPr>
          <w:rFonts w:ascii="Times New Roman" w:hAnsi="Times New Roman" w:cs="Times New Roman" w:eastAsia="Times New Roman"/>
          <w:b w:val="0"/>
          <w:i w:val="0"/>
          <w:color w:val="000000"/>
          <w:sz w:val="24"/>
        </w:rPr>
        <w:t>2.2 Penelitian Sebelumnya</w:t>
        <w:tab/>
        <w:t>12</w:t>
      </w:r>
    </w:p>
    <w:p>
      <w:pPr>
        <w:pStyle w:val="toc2"/>
        <w:tabs>
          <w:tab w:pos="7938" w:val="right" w:leader="dot"/>
        </w:tabs>
        <w:ind w:right="0"/>
      </w:pPr>
      <w:r>
        <w:rPr>
          <w:rFonts w:ascii="Times New Roman" w:hAnsi="Times New Roman" w:cs="Times New Roman" w:eastAsia="Times New Roman"/>
          <w:b w:val="0"/>
          <w:i w:val="0"/>
          <w:color w:val="000000"/>
          <w:sz w:val="24"/>
        </w:rPr>
        <w:t>2.3 Pengembangan Hipotesis</w:t>
        <w:tab/>
        <w:t>15</w:t>
      </w:r>
    </w:p>
    <w:p>
      <w:pPr>
        <w:pStyle w:val="toc2"/>
        <w:tabs>
          <w:tab w:pos="7938" w:val="right" w:leader="dot"/>
        </w:tabs>
        <w:ind w:right="0"/>
      </w:pPr>
      <w:r>
        <w:rPr>
          <w:rFonts w:ascii="Times New Roman" w:hAnsi="Times New Roman" w:cs="Times New Roman" w:eastAsia="Times New Roman"/>
          <w:b w:val="0"/>
          <w:i w:val="0"/>
          <w:color w:val="000000"/>
          <w:sz w:val="24"/>
        </w:rPr>
        <w:t>2.4 Rerangka Penelitian</w:t>
        <w:tab/>
        <w:t>16</w:t>
      </w:r>
    </w:p>
    <w:p>
      <w:pPr>
        <w:pStyle w:val="toc1"/>
        <w:tabs>
          <w:tab w:pos="7938" w:val="right" w:leader="dot"/>
        </w:tabs>
        <w:ind w:right="0"/>
      </w:pPr>
      <w:r>
        <w:rPr>
          <w:rFonts w:ascii="Times New Roman" w:hAnsi="Times New Roman" w:cs="Times New Roman" w:eastAsia="Times New Roman"/>
          <w:b/>
          <w:i w:val="0"/>
          <w:color w:val="000000"/>
          <w:sz w:val="24"/>
        </w:rPr>
        <w:t>BAB III METODE PENELITIAN</w:t>
        <w:tab/>
        <w:t>18</w:t>
      </w:r>
    </w:p>
    <w:p>
      <w:pPr>
        <w:pStyle w:val="toc2"/>
        <w:tabs>
          <w:tab w:pos="7938" w:val="right" w:leader="dot"/>
        </w:tabs>
        <w:ind w:right="0"/>
      </w:pPr>
      <w:r>
        <w:rPr>
          <w:rFonts w:ascii="Times New Roman" w:hAnsi="Times New Roman" w:cs="Times New Roman" w:eastAsia="Times New Roman"/>
          <w:b w:val="0"/>
          <w:i w:val="0"/>
          <w:color w:val="000000"/>
          <w:sz w:val="24"/>
        </w:rPr>
        <w:t>3.1 Jenis dan Sumber Data</w:t>
        <w:tab/>
        <w:t>18</w:t>
      </w:r>
    </w:p>
    <w:p>
      <w:pPr>
        <w:pStyle w:val="toc2"/>
        <w:tabs>
          <w:tab w:pos="7938" w:val="right" w:leader="dot"/>
        </w:tabs>
        <w:ind w:right="0"/>
      </w:pPr>
      <w:r>
        <w:rPr>
          <w:rFonts w:ascii="Times New Roman" w:hAnsi="Times New Roman" w:cs="Times New Roman" w:eastAsia="Times New Roman"/>
          <w:b w:val="0"/>
          <w:i w:val="0"/>
          <w:color w:val="000000"/>
          <w:sz w:val="24"/>
        </w:rPr>
        <w:t>3.2 Populasi dan Sampel</w:t>
        <w:tab/>
        <w:t>19</w:t>
      </w:r>
    </w:p>
    <w:p>
      <w:pPr>
        <w:pStyle w:val="toc2"/>
        <w:tabs>
          <w:tab w:pos="7938" w:val="right" w:leader="dot"/>
        </w:tabs>
        <w:ind w:right="0"/>
      </w:pPr>
      <w:r>
        <w:rPr>
          <w:rFonts w:ascii="Times New Roman" w:hAnsi="Times New Roman" w:cs="Times New Roman" w:eastAsia="Times New Roman"/>
          <w:b w:val="0"/>
          <w:i w:val="0"/>
          <w:color w:val="000000"/>
          <w:sz w:val="24"/>
        </w:rPr>
        <w:t>3.3 Model Penelitian</w:t>
        <w:tab/>
        <w:t>20</w:t>
      </w:r>
    </w:p>
    <w:p>
      <w:pPr>
        <w:pStyle w:val="toc2"/>
        <w:tabs>
          <w:tab w:pos="7938" w:val="right" w:leader="dot"/>
        </w:tabs>
        <w:ind w:right="0"/>
      </w:pPr>
      <w:r>
        <w:rPr>
          <w:rFonts w:ascii="Times New Roman" w:hAnsi="Times New Roman" w:cs="Times New Roman" w:eastAsia="Times New Roman"/>
          <w:b w:val="0"/>
          <w:i w:val="0"/>
          <w:color w:val="000000"/>
          <w:sz w:val="24"/>
        </w:rPr>
        <w:t>3.4 Operasionalisasi Variabel</w:t>
        <w:tab/>
        <w:t>21</w:t>
      </w:r>
    </w:p>
    <w:p>
      <w:pPr>
        <w:pStyle w:val="toc2"/>
        <w:tabs>
          <w:tab w:pos="7938" w:val="right" w:leader="dot"/>
        </w:tabs>
        <w:ind w:right="0"/>
      </w:pPr>
      <w:r>
        <w:rPr>
          <w:rFonts w:ascii="Times New Roman" w:hAnsi="Times New Roman" w:cs="Times New Roman" w:eastAsia="Times New Roman"/>
          <w:b w:val="0"/>
          <w:i w:val="0"/>
          <w:color w:val="000000"/>
          <w:sz w:val="24"/>
        </w:rPr>
        <w:t>3.5 Metode Analisis Data</w:t>
        <w:tab/>
        <w:t>25</w:t>
      </w:r>
    </w:p>
    <w:p>
      <w:pPr>
        <w:pStyle w:val="toc1"/>
        <w:tabs>
          <w:tab w:pos="7938" w:val="right" w:leader="dot"/>
        </w:tabs>
        <w:ind w:right="0"/>
      </w:pPr>
      <w:r>
        <w:rPr>
          <w:rFonts w:ascii="Times New Roman" w:hAnsi="Times New Roman" w:cs="Times New Roman" w:eastAsia="Times New Roman"/>
          <w:b/>
          <w:i w:val="0"/>
          <w:color w:val="000000"/>
          <w:sz w:val="24"/>
        </w:rPr>
        <w:t>DAFTAR PUSTAKA</w:t>
        <w:tab/>
        <w:t>27</w:t>
      </w:r>
    </w:p>
    <w:p>
      <w:r>
        <w:rPr>
          <w:rFonts w:ascii="Times New Roman" w:hAnsi="Times New Roman" w:cs="Times New Roman" w:eastAsia="Times New Roman"/>
          <w:b w:val="0"/>
          <w:i w:val="0"/>
          <w:color w:val="000000"/>
          <w:sz w:val="24"/>
        </w:rPr>
      </w:r>
    </w:p>
    <w:p>
      <w:pPr>
        <w:pStyle w:val="Heading1"/>
        <w:pageBreakBefore/>
        <w:jc w:val="center"/>
      </w:pPr>
      <w:r>
        <w:rPr>
          <w:rFonts w:ascii="Times New Roman" w:hAnsi="Times New Roman" w:cs="Times New Roman" w:eastAsia="Times New Roman"/>
          <w:b/>
          <w:i w:val="0"/>
          <w:color w:val="000000"/>
          <w:sz w:val="24"/>
        </w:rPr>
        <w:t>DAFTAR TABEL</w:t>
      </w:r>
    </w:p>
    <w:p>
      <w:pPr>
        <w:pStyle w:val="toc1"/>
        <w:tabs>
          <w:tab w:pos="7938" w:val="right" w:leader="dot"/>
        </w:tabs>
      </w:pPr>
      <w:r>
        <w:rPr>
          <w:rFonts w:ascii="Times New Roman" w:hAnsi="Times New Roman" w:cs="Times New Roman" w:eastAsia="Times New Roman"/>
          <w:b w:val="0"/>
          <w:i w:val="0"/>
          <w:color w:val="000000"/>
          <w:sz w:val="24"/>
        </w:rPr>
        <w:t>Tabel 2.1 Ringkasan Penelitian Sebelumnya (S01–S18)</w:t>
        <w:tab/>
        <w:t>12</w:t>
      </w:r>
    </w:p>
    <w:p>
      <w:pPr>
        <w:pStyle w:val="toc1"/>
        <w:tabs>
          <w:tab w:pos="7938" w:val="right" w:leader="dot"/>
        </w:tabs>
      </w:pPr>
      <w:r>
        <w:rPr>
          <w:rFonts w:ascii="Times New Roman" w:hAnsi="Times New Roman" w:cs="Times New Roman" w:eastAsia="Times New Roman"/>
          <w:b w:val="0"/>
          <w:i w:val="0"/>
          <w:color w:val="000000"/>
          <w:sz w:val="24"/>
        </w:rPr>
        <w:t>Tabel 3.1 Operasionalisasi Variabel</w:t>
        <w:tab/>
        <w:t>21</w:t>
      </w:r>
    </w:p>
    <w:p>
      <w:r>
        <w:rPr>
          <w:rFonts w:ascii="Times New Roman" w:hAnsi="Times New Roman" w:cs="Times New Roman" w:eastAsia="Times New Roman"/>
          <w:b w:val="0"/>
          <w:i w:val="0"/>
          <w:color w:val="000000"/>
          <w:sz w:val="24"/>
        </w:rPr>
      </w:r>
    </w:p>
    <w:p>
      <w:pPr>
        <w:pStyle w:val="Heading1"/>
        <w:pageBreakBefore/>
        <w:jc w:val="center"/>
      </w:pPr>
      <w:r>
        <w:rPr>
          <w:rFonts w:ascii="Times New Roman" w:hAnsi="Times New Roman" w:cs="Times New Roman" w:eastAsia="Times New Roman"/>
          <w:b/>
          <w:i w:val="0"/>
          <w:color w:val="000000"/>
          <w:sz w:val="24"/>
        </w:rPr>
        <w:t>DAFTAR GAMBAR</w:t>
      </w:r>
    </w:p>
    <w:p>
      <w:pPr>
        <w:pStyle w:val="toc1"/>
        <w:tabs>
          <w:tab w:pos="7938" w:val="right" w:leader="dot"/>
        </w:tabs>
      </w:pPr>
      <w:r>
        <w:rPr>
          <w:rFonts w:ascii="Times New Roman" w:hAnsi="Times New Roman" w:cs="Times New Roman" w:eastAsia="Times New Roman"/>
          <w:b w:val="0"/>
          <w:i w:val="0"/>
          <w:color w:val="000000"/>
          <w:sz w:val="24"/>
        </w:rPr>
        <w:t>Gambar 2.1 Model Rerangka Konseptual Penelitian</w:t>
        <w:tab/>
        <w:t>16</w:t>
      </w:r>
    </w:p>
    <w:p>
      <w:r>
        <w:rPr>
          <w:rFonts w:ascii="Times New Roman" w:hAnsi="Times New Roman" w:cs="Times New Roman" w:eastAsia="Times New Roman"/>
          <w:b w:val="0"/>
          <w:i w:val="0"/>
          <w:color w:val="000000"/>
          <w:sz w:val="24"/>
        </w:rPr>
      </w:r>
    </w:p>
    <w:p>
      <w:pPr>
        <w:sectPr>
          <w:footerReference w:type="default" r:id="rId12"/>
          <w:headerReference w:type="default" r:id="rId13"/>
          <w:pgSz w:w="11906" w:h="16838"/>
          <w:pgMar w:top="1701" w:right="1701" w:bottom="1701" w:left="2268" w:header="720" w:footer="720" w:gutter="0"/>
          <w:cols w:space="720"/>
          <w:docGrid w:linePitch="360"/>
          <w:pgNumType w:fmt="lowerRoman" w:start="2"/>
        </w:sectPr>
      </w:pPr>
    </w:p>
    <w:p>
      <w:pPr>
        <w:pStyle w:val="Heading1"/>
        <w:jc w:val="center"/>
      </w:pPr>
      <w:r>
        <w:rPr>
          <w:rFonts w:ascii="Times New Roman" w:hAnsi="Times New Roman" w:cs="Times New Roman" w:eastAsia="Times New Roman"/>
          <w:b/>
          <w:i w:val="0"/>
          <w:color w:val="000000"/>
          <w:sz w:val="24"/>
        </w:rPr>
        <w:t>BAB I</w:t>
      </w:r>
      <w:r>
        <w:br/>
      </w:r>
      <w:r>
        <w:rPr>
          <w:rFonts w:ascii="Times New Roman" w:hAnsi="Times New Roman" w:cs="Times New Roman" w:eastAsia="Times New Roman"/>
          <w:b/>
          <w:i w:val="0"/>
          <w:color w:val="000000"/>
          <w:sz w:val="24"/>
        </w:rPr>
        <w:t>PENDAHULUAN</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1.1 Latar Belakang Penelitian</w:t>
      </w:r>
    </w:p>
    <w:p>
      <w:pPr>
        <w:widowControl/>
        <w:spacing w:line="360" w:lineRule="auto" w:before="0" w:after="0"/>
        <w:ind w:firstLine="709"/>
        <w:jc w:val="both"/>
      </w:pPr>
      <w:r>
        <w:rPr>
          <w:rFonts w:ascii="Times New Roman" w:hAnsi="Times New Roman" w:cs="Times New Roman" w:eastAsia="Times New Roman"/>
          <w:b w:val="0"/>
          <w:i w:val="0"/>
          <w:color w:val="000000"/>
          <w:sz w:val="24"/>
        </w:rPr>
        <w:t>Mobile Legends: Bang Bang (selanjutnya Mobile Legends) merupakan permainan arena pertarungan daring multipemain (</w:t>
      </w:r>
      <w:r>
        <w:rPr>
          <w:rFonts w:ascii="Times New Roman" w:hAnsi="Times New Roman" w:cs="Times New Roman" w:eastAsia="Times New Roman"/>
          <w:b w:val="0"/>
          <w:i/>
          <w:color w:val="000000"/>
          <w:sz w:val="24"/>
        </w:rPr>
        <w:t>multiplayer online battle arena</w:t>
      </w:r>
      <w:r>
        <w:rPr>
          <w:rFonts w:ascii="Times New Roman" w:hAnsi="Times New Roman" w:cs="Times New Roman" w:eastAsia="Times New Roman"/>
          <w:b w:val="0"/>
          <w:i w:val="0"/>
          <w:color w:val="000000"/>
          <w:sz w:val="24"/>
        </w:rPr>
        <w:t>) 5 lawan 5 untuk telepon seluler yang dikembangkan MOONTON. Alasan topik ini diteliti bersifat aktual dan praktis: permainan ini memiliki basis unduhan global yang besar, lokalisasi konten untuk Indonesia, serta liga profesional nasional yang berjalan kontinu sampai musim kedelapan belas. Pada saat yang sama, keputusan untuk mulai atau terus bermain pada Generasi Z tidak dapat dijelaskan hanya dari kualitas permainan. Peran pemasar (melalui influencer), peran pengguna lain (melalui ulasan dan percakapan daring), serta peran pengalaman hedonik saat bermain diduga ikut menentukan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Tiga pendorong tersebut belum diuji bersama pada satu objek dan satu populasi yang sama, sehingga studi ini diusulkan.</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Konteks pertama adalah konektivitas digital nasional yang sangat besar. Berdasarkan laporan </w:t>
      </w:r>
      <w:r>
        <w:rPr>
          <w:rFonts w:ascii="Times New Roman" w:hAnsi="Times New Roman" w:cs="Times New Roman" w:eastAsia="Times New Roman"/>
          <w:b w:val="0"/>
          <w:i/>
          <w:color w:val="000000"/>
          <w:sz w:val="24"/>
        </w:rPr>
        <w:t>Digital 2026: Indonesia</w:t>
      </w:r>
      <w:r>
        <w:rPr>
          <w:rFonts w:ascii="Times New Roman" w:hAnsi="Times New Roman" w:cs="Times New Roman" w:eastAsia="Times New Roman"/>
          <w:b w:val="0"/>
          <w:i w:val="0"/>
          <w:color w:val="000000"/>
          <w:sz w:val="24"/>
        </w:rPr>
        <w:t xml:space="preserve"> yang dirilis oleh DataReportal (2025), tercatat sebanyak 230 juta individu pengguna internet di Indonesia pada Oktober 2025. Angka ini merefleksikan tingkat penetrasi internet sebesar 80,5 persen dari total estimasi populasi nasional Indonesia (286 juta jiwa lintas seluruh kelompok umur, bukan terbatas pada Generasi Z). Pada laporan yang sama, tercatat pula 331 juta koneksi seluler aktif (setara 116 persen dari populasi penduduk) serta 180 juta identitas pengguna aktif media sosial atau 62,9 persen dari populasi nasional. Tingginya angka konektivitas makro ini menjadi fondasi prasyarat akses digital dan infrastruktur yang luas bagi masyarakat, sebelum meninjau perilaku adopsi digital pada segmen usia muda yang lebih spesifik.</w:t>
      </w:r>
    </w:p>
    <w:p>
      <w:pPr>
        <w:widowControl/>
        <w:spacing w:line="360" w:lineRule="auto" w:before="0" w:after="0"/>
        <w:ind w:firstLine="709"/>
        <w:jc w:val="both"/>
      </w:pPr>
      <w:r>
        <w:rPr>
          <w:rFonts w:ascii="Times New Roman" w:hAnsi="Times New Roman" w:cs="Times New Roman" w:eastAsia="Times New Roman"/>
          <w:b w:val="0"/>
          <w:i w:val="0"/>
          <w:color w:val="000000"/>
          <w:sz w:val="24"/>
        </w:rPr>
        <w:t>Sebagai penguat konteks demografis, data Asosiasi Penyelenggara Jasa Internet Indonesia (APJII) mengonfirmasi bahwa Generasi Z merupakan motor utama pemanfaatan internet di Indonesia. Berdasarkan Survei Profil Internet Indonesia 2026 yang dirilis oleh APJII (sebagaimana dilaporkan CNN Indonesia, 2026), tingkat penetrasi internet nasional telah mencapai 81,72 persen atau setara 235 juta jiwa dari total 287 juta penduduk. Dalam laporan tersebut, kelompok Generasi Z mencatatkan tingkat penetrasi yang sangat tinggi, yaitu mencapai 89,02 persen. Temuan ini konsisten dengan laporan survei APJII periode sebelumnya (sebagaimana dilaporkan detikInet, 2025) yang mencatat bahwa segmen Generasi Z (kelahiran 1997–2012) menyumbang kontribusi sebesar 25,54 persen dari total populasi pengguna internet di Indonesia. Tingginya keterlibatan digital ini diperkuat oleh besarnya jangkauan audiens pada media sosial utama di Indonesia, seperti TikTok, YouTube, dan Instagram (DataReportal, 2025). Eksposur digital yang intensif tersebut membentuk ruang interaksi harian bagi Generasi Z, termasuk dalam menerima rekomendasi konten, ulasan komunitas daring, hingga memilih aktivitas hiburan digital.</w:t>
      </w:r>
    </w:p>
    <w:p>
      <w:pPr>
        <w:widowControl/>
        <w:spacing w:line="360" w:lineRule="auto" w:before="0" w:after="0"/>
        <w:ind w:firstLine="709"/>
        <w:jc w:val="both"/>
      </w:pPr>
      <w:r>
        <w:rPr>
          <w:rFonts w:ascii="Times New Roman" w:hAnsi="Times New Roman" w:cs="Times New Roman" w:eastAsia="Times New Roman"/>
          <w:b w:val="0"/>
          <w:i w:val="0"/>
          <w:color w:val="000000"/>
          <w:sz w:val="24"/>
        </w:rPr>
        <w:t>Konteks kedua adalah pesatnya pertumbuhan industri permainan seluler (</w:t>
      </w:r>
      <w:r>
        <w:rPr>
          <w:rFonts w:ascii="Times New Roman" w:hAnsi="Times New Roman" w:cs="Times New Roman" w:eastAsia="Times New Roman"/>
          <w:b w:val="0"/>
          <w:i/>
          <w:color w:val="000000"/>
          <w:sz w:val="24"/>
        </w:rPr>
        <w:t>mobile games</w:t>
      </w:r>
      <w:r>
        <w:rPr>
          <w:rFonts w:ascii="Times New Roman" w:hAnsi="Times New Roman" w:cs="Times New Roman" w:eastAsia="Times New Roman"/>
          <w:b w:val="0"/>
          <w:i w:val="0"/>
          <w:color w:val="000000"/>
          <w:sz w:val="24"/>
        </w:rPr>
        <w:t xml:space="preserve">) di kawasan regional dan nasional. Berdasarkan laporan riset pasar Sensor Tower bertajuk </w:t>
      </w:r>
      <w:r>
        <w:rPr>
          <w:rFonts w:ascii="Times New Roman" w:hAnsi="Times New Roman" w:cs="Times New Roman" w:eastAsia="Times New Roman"/>
          <w:b w:val="0"/>
          <w:i/>
          <w:color w:val="000000"/>
          <w:sz w:val="24"/>
        </w:rPr>
        <w:t>Southeast Asia Mobile Game Market Insights 2025</w:t>
      </w:r>
      <w:r>
        <w:rPr>
          <w:rFonts w:ascii="Times New Roman" w:hAnsi="Times New Roman" w:cs="Times New Roman" w:eastAsia="Times New Roman"/>
          <w:b w:val="0"/>
          <w:i w:val="0"/>
          <w:color w:val="000000"/>
          <w:sz w:val="24"/>
        </w:rPr>
        <w:t xml:space="preserve"> (Kristianto, 2025), kawasan Asia Tenggara mencatatkan 1,93 miliar instalasi baru pada kuartal I 2025 dengan total pendapatan pembelian dalam aplikasi (</w:t>
      </w:r>
      <w:r>
        <w:rPr>
          <w:rFonts w:ascii="Times New Roman" w:hAnsi="Times New Roman" w:cs="Times New Roman" w:eastAsia="Times New Roman"/>
          <w:b w:val="0"/>
          <w:i/>
          <w:color w:val="000000"/>
          <w:sz w:val="24"/>
        </w:rPr>
        <w:t>in-app purchase</w:t>
      </w:r>
      <w:r>
        <w:rPr>
          <w:rFonts w:ascii="Times New Roman" w:hAnsi="Times New Roman" w:cs="Times New Roman" w:eastAsia="Times New Roman"/>
          <w:b w:val="0"/>
          <w:i w:val="0"/>
          <w:color w:val="000000"/>
          <w:sz w:val="24"/>
        </w:rPr>
        <w:t>) mencapai 625 juta dolar AS. Di tingkat regional, Indonesia tampil sebagai pasar terdepan dengan torehan 870 juta unduhan (tumbuh 9 persen dibandingkan kuartal sebelumnya). Laporan tersebut secara khusus menyoroti Mobile Legends sebagai contoh unggulan strategi lokalisasi konten (</w:t>
      </w:r>
      <w:r>
        <w:rPr>
          <w:rFonts w:ascii="Times New Roman" w:hAnsi="Times New Roman" w:cs="Times New Roman" w:eastAsia="Times New Roman"/>
          <w:b w:val="0"/>
          <w:i/>
          <w:color w:val="000000"/>
          <w:sz w:val="24"/>
        </w:rPr>
        <w:t>hyper-localization</w:t>
      </w:r>
      <w:r>
        <w:rPr>
          <w:rFonts w:ascii="Times New Roman" w:hAnsi="Times New Roman" w:cs="Times New Roman" w:eastAsia="Times New Roman"/>
          <w:b w:val="0"/>
          <w:i w:val="0"/>
          <w:color w:val="000000"/>
          <w:sz w:val="24"/>
        </w:rPr>
        <w:t>), seperti pengadopsian unsur budaya dan karakter cerita rakyat (</w:t>
      </w:r>
      <w:r>
        <w:rPr>
          <w:rFonts w:ascii="Times New Roman" w:hAnsi="Times New Roman" w:cs="Times New Roman" w:eastAsia="Times New Roman"/>
          <w:b w:val="0"/>
          <w:i/>
          <w:color w:val="000000"/>
          <w:sz w:val="24"/>
        </w:rPr>
        <w:t>folklore</w:t>
      </w:r>
      <w:r>
        <w:rPr>
          <w:rFonts w:ascii="Times New Roman" w:hAnsi="Times New Roman" w:cs="Times New Roman" w:eastAsia="Times New Roman"/>
          <w:b w:val="0"/>
          <w:i w:val="0"/>
          <w:color w:val="000000"/>
          <w:sz w:val="24"/>
        </w:rPr>
        <w:t>) lokal, penyelenggaraan turnamen berjenjang, hingga kampanye tematik komunitas seperti edisi Ramadan di Indonesia. Dalam lanskap global, Newzoo (2026) memproyeksikan industri permainan daring dunia mencapai nilai pasar sebesar 213,9 miliar dolar AS dengan segmen seluler mendominasi sebesar 121,1 miliar dolar AS serta melibatkan lebih dari 3,7 miliar pemain aktif. Tingginya angka unduhan dan lokalisasi di Indonesia mengonfirmasi bahwa ekosistem permainan seluler telah menjadi bagian integral dari gaya hidup digital generasi muda.</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Konteks ketiga adalah konsistensi ekosistem liga profesional dan saluran resmi permainan. Penyelenggaraan kompetisi resmi </w:t>
      </w:r>
      <w:r>
        <w:rPr>
          <w:rFonts w:ascii="Times New Roman" w:hAnsi="Times New Roman" w:cs="Times New Roman" w:eastAsia="Times New Roman"/>
          <w:b w:val="0"/>
          <w:i/>
          <w:color w:val="000000"/>
          <w:sz w:val="24"/>
        </w:rPr>
        <w:t>Mobile Legends Professional League Indonesia</w:t>
      </w:r>
      <w:r>
        <w:rPr>
          <w:rFonts w:ascii="Times New Roman" w:hAnsi="Times New Roman" w:cs="Times New Roman" w:eastAsia="Times New Roman"/>
          <w:b w:val="0"/>
          <w:i w:val="0"/>
          <w:color w:val="000000"/>
          <w:sz w:val="24"/>
        </w:rPr>
        <w:t xml:space="preserve"> (MPL ID) telah berlangsung secara berkesinambungan hingga musim kedelapan belas (MPL Indonesia, 2026). Kompetisi ini diikuti oleh sembilan tim profesional papan atas nasional dan menyediakan total hadiah miliaran rupiah per musimnya, yang secara rutin menarik jutaan penonton siaran langsung (</w:t>
      </w:r>
      <w:r>
        <w:rPr>
          <w:rFonts w:ascii="Times New Roman" w:hAnsi="Times New Roman" w:cs="Times New Roman" w:eastAsia="Times New Roman"/>
          <w:b w:val="0"/>
          <w:i/>
          <w:color w:val="000000"/>
          <w:sz w:val="24"/>
        </w:rPr>
        <w:t>concurrent viewers</w:t>
      </w:r>
      <w:r>
        <w:rPr>
          <w:rFonts w:ascii="Times New Roman" w:hAnsi="Times New Roman" w:cs="Times New Roman" w:eastAsia="Times New Roman"/>
          <w:b w:val="0"/>
          <w:i w:val="0"/>
          <w:color w:val="000000"/>
          <w:sz w:val="24"/>
        </w:rPr>
        <w:t>) serta ratusan juta jam penayangan turnamen. Dari sisi skala pengguna dan jangkauan produk, MOONTON (2026) mencatat lebih dari 1,5 miliar unduhan secara global serta melayani lebih dari 110 juta pengguna aktif bulanan (</w:t>
      </w:r>
      <w:r>
        <w:rPr>
          <w:rFonts w:ascii="Times New Roman" w:hAnsi="Times New Roman" w:cs="Times New Roman" w:eastAsia="Times New Roman"/>
          <w:b w:val="0"/>
          <w:i/>
          <w:color w:val="000000"/>
          <w:sz w:val="24"/>
        </w:rPr>
        <w:t>monthly active users</w:t>
      </w:r>
      <w:r>
        <w:rPr>
          <w:rFonts w:ascii="Times New Roman" w:hAnsi="Times New Roman" w:cs="Times New Roman" w:eastAsia="Times New Roman"/>
          <w:b w:val="0"/>
          <w:i w:val="0"/>
          <w:color w:val="000000"/>
          <w:sz w:val="24"/>
        </w:rPr>
        <w:t>) di berbagai negara. Di toko aplikasi digital seperti Google Play Store dan Apple App Store, Mobile Legends secara konsisten menempati peringkat teratas kategori strategi dan laga dengan ratusan juta unduhan serta puluhan juta ulasan pengguna. Eksistensi liga yang mapan dan komunitas yang aktif menunjukkan bahwa Mobile Legends bukan sekadar fenomena sesaat, melainkan ekosistem digital yang hidup dan memiliki daya tarik berkelanjutan.</w:t>
      </w:r>
    </w:p>
    <w:p>
      <w:pPr>
        <w:widowControl/>
        <w:spacing w:line="360" w:lineRule="auto" w:before="0" w:after="0"/>
        <w:ind w:firstLine="709"/>
        <w:jc w:val="both"/>
      </w:pPr>
      <w:r>
        <w:rPr>
          <w:rFonts w:ascii="Times New Roman" w:hAnsi="Times New Roman" w:cs="Times New Roman" w:eastAsia="Times New Roman"/>
          <w:b w:val="0"/>
          <w:i w:val="0"/>
          <w:color w:val="000000"/>
          <w:sz w:val="24"/>
        </w:rPr>
        <w:t>Sintesis dari ketiga konteks di atas menegaskan urgensi penelitian ini dari perspektif manajemen pemasaran. Kuatnya fondasi infrastruktur digital Generasi Z, besarnya pasar permainan seluler di Indonesia, serta keberlanjutan ekosistem kompetitif Mobile Legends membuktikan bahwa keterlibatan generasi muda dalam permainan ini memiliki relevansi praktis yang nyata. Namun demikian, tingginya penetrasi digital dan popularitas permainan tidak serta-merta menjamin timbulnya minat bermain pada setiap individu. Oleh karena itu, penelitian mengenai faktor-faktor yang mendorong niat Generasi Z untuk memainkan Mobile Legends—baik dari sisi persuasi komunikator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pengaruh percakapan komunitas daring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maupun pengalaman kenikmatan bermain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)—menjadi topik riset yang sangat penting, aktual, dan bernilai strategis bagi pengembangan strategi pemasaran digital.</w:t>
      </w:r>
    </w:p>
    <w:p>
      <w:pPr>
        <w:widowControl/>
        <w:spacing w:line="360" w:lineRule="auto" w:before="0" w:after="0"/>
        <w:ind w:firstLine="709"/>
        <w:jc w:val="both"/>
      </w:pPr>
      <w:r>
        <w:rPr>
          <w:rFonts w:ascii="Times New Roman" w:hAnsi="Times New Roman" w:cs="Times New Roman" w:eastAsia="Times New Roman"/>
          <w:b w:val="0"/>
          <w:i w:val="0"/>
          <w:color w:val="000000"/>
          <w:sz w:val="24"/>
        </w:rPr>
        <w:t>Kesenjangan penelitian (</w:t>
      </w:r>
      <w:r>
        <w:rPr>
          <w:rFonts w:ascii="Times New Roman" w:hAnsi="Times New Roman" w:cs="Times New Roman" w:eastAsia="Times New Roman"/>
          <w:b w:val="0"/>
          <w:i/>
          <w:color w:val="000000"/>
          <w:sz w:val="24"/>
        </w:rPr>
        <w:t>research gap</w:t>
      </w:r>
      <w:r>
        <w:rPr>
          <w:rFonts w:ascii="Times New Roman" w:hAnsi="Times New Roman" w:cs="Times New Roman" w:eastAsia="Times New Roman"/>
          <w:b w:val="0"/>
          <w:i w:val="0"/>
          <w:color w:val="000000"/>
          <w:sz w:val="24"/>
        </w:rPr>
        <w:t>) disusun pada tiga jalur dengan pola yang sama: temuan positif (A) berhadapan dengan temuan kontra atau parsial (B), lalu penjelasan mengapa hasilnya berbeda (</w:t>
      </w:r>
      <w:r>
        <w:rPr>
          <w:rFonts w:ascii="Times New Roman" w:hAnsi="Times New Roman" w:cs="Times New Roman" w:eastAsia="Times New Roman"/>
          <w:b w:val="0"/>
          <w:i/>
          <w:color w:val="000000"/>
          <w:sz w:val="24"/>
        </w:rPr>
        <w:t>the why</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Pada jalur X1,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ke intensi, temuan A positif berasal dari Octaviani dan Hartono (2023) terhadap 180 responden pengguna Instagram di Indonesia bahwa kredibilitas dan nilai infotainment membentuk nilai iklan (</w:t>
      </w:r>
      <w:r>
        <w:rPr>
          <w:rFonts w:ascii="Times New Roman" w:hAnsi="Times New Roman" w:cs="Times New Roman" w:eastAsia="Times New Roman"/>
          <w:b w:val="0"/>
          <w:i/>
          <w:color w:val="000000"/>
          <w:sz w:val="24"/>
        </w:rPr>
        <w:t>advertising value</w:t>
      </w:r>
      <w:r>
        <w:rPr>
          <w:rFonts w:ascii="Times New Roman" w:hAnsi="Times New Roman" w:cs="Times New Roman" w:eastAsia="Times New Roman"/>
          <w:b w:val="0"/>
          <w:i w:val="0"/>
          <w:color w:val="000000"/>
          <w:sz w:val="24"/>
        </w:rPr>
        <w:t xml:space="preserve">) lalu menggerakkan intensi beli;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pada 306 responden pengguna Instagram usia 18–34 tahun di Jerman bahwa daya tarik, kepercayaan, dan keahlian (</w:t>
      </w:r>
      <w:r>
        <w:rPr>
          <w:rFonts w:ascii="Times New Roman" w:hAnsi="Times New Roman" w:cs="Times New Roman" w:eastAsia="Times New Roman"/>
          <w:b w:val="0"/>
          <w:i/>
          <w:color w:val="000000"/>
          <w:sz w:val="24"/>
        </w:rPr>
        <w:t>attractiveness, trustworthiness, expertise</w:t>
      </w:r>
      <w:r>
        <w:rPr>
          <w:rFonts w:ascii="Times New Roman" w:hAnsi="Times New Roman" w:cs="Times New Roman" w:eastAsia="Times New Roman"/>
          <w:b w:val="0"/>
          <w:i w:val="0"/>
          <w:color w:val="000000"/>
          <w:sz w:val="24"/>
        </w:rPr>
        <w:t>) menggerakkan intensi dan pengungkapan iklan (</w:t>
      </w:r>
      <w:r>
        <w:rPr>
          <w:rFonts w:ascii="Times New Roman" w:hAnsi="Times New Roman" w:cs="Times New Roman" w:eastAsia="Times New Roman"/>
          <w:b w:val="0"/>
          <w:i/>
          <w:color w:val="000000"/>
          <w:sz w:val="24"/>
        </w:rPr>
        <w:t>advertising disclosure</w:t>
      </w:r>
      <w:r>
        <w:rPr>
          <w:rFonts w:ascii="Times New Roman" w:hAnsi="Times New Roman" w:cs="Times New Roman" w:eastAsia="Times New Roman"/>
          <w:b w:val="0"/>
          <w:i w:val="0"/>
          <w:color w:val="000000"/>
          <w:sz w:val="24"/>
        </w:rPr>
        <w:t>) hanya bekerja tidak langsung via daya tarik; serta Bevan-Dye dan Motaung (2023) terhadap 334 mahasiswa Generasi Y di Afrika Selatan bahwa nilai informatif, nilai hiburan, dan kepercayaan membentuk persepsi utilitas lalu predisposisi merek. Temuan B kontra berasal dari Putri dan Tiarawati (2021) terhadap 211 responden pengikut akun Instagram di Indonesia bahwa influencer tidak berpengaruh positif-signifikan dan citra merek (</w:t>
      </w:r>
      <w:r>
        <w:rPr>
          <w:rFonts w:ascii="Times New Roman" w:hAnsi="Times New Roman" w:cs="Times New Roman" w:eastAsia="Times New Roman"/>
          <w:b w:val="0"/>
          <w:i/>
          <w:color w:val="000000"/>
          <w:sz w:val="24"/>
        </w:rPr>
        <w:t>brand image</w:t>
      </w:r>
      <w:r>
        <w:rPr>
          <w:rFonts w:ascii="Times New Roman" w:hAnsi="Times New Roman" w:cs="Times New Roman" w:eastAsia="Times New Roman"/>
          <w:b w:val="0"/>
          <w:i w:val="0"/>
          <w:color w:val="000000"/>
          <w:sz w:val="24"/>
        </w:rPr>
        <w:t xml:space="preserve">) yang dominan; serta Maghfiroh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(2025) terhadap 290 konsumen produk kosmetik di Indonesia bahwa pengaruh langsung kredibilitas dan konten persuasif ke intensi positif tetapi tidak signifikan dan baru positif-signifikan secara tidak langsung via sikap pelanggan (</w:t>
      </w:r>
      <w:r>
        <w:rPr>
          <w:rFonts w:ascii="Times New Roman" w:hAnsi="Times New Roman" w:cs="Times New Roman" w:eastAsia="Times New Roman"/>
          <w:b w:val="0"/>
          <w:i/>
          <w:color w:val="000000"/>
          <w:sz w:val="24"/>
        </w:rPr>
        <w:t>customer attitude</w:t>
      </w:r>
      <w:r>
        <w:rPr>
          <w:rFonts w:ascii="Times New Roman" w:hAnsi="Times New Roman" w:cs="Times New Roman" w:eastAsia="Times New Roman"/>
          <w:b w:val="0"/>
          <w:i w:val="0"/>
          <w:color w:val="000000"/>
          <w:sz w:val="24"/>
        </w:rPr>
        <w:t>, mediasi penuh). Penjelasan perbedaan hasil pada jalur X1 (</w:t>
      </w:r>
      <w:r>
        <w:rPr>
          <w:rFonts w:ascii="Times New Roman" w:hAnsi="Times New Roman" w:cs="Times New Roman" w:eastAsia="Times New Roman"/>
          <w:b w:val="0"/>
          <w:i/>
          <w:color w:val="000000"/>
          <w:sz w:val="24"/>
        </w:rPr>
        <w:t>the why</w:t>
      </w:r>
      <w:r>
        <w:rPr>
          <w:rFonts w:ascii="Times New Roman" w:hAnsi="Times New Roman" w:cs="Times New Roman" w:eastAsia="Times New Roman"/>
          <w:b w:val="0"/>
          <w:i w:val="0"/>
          <w:color w:val="000000"/>
          <w:sz w:val="24"/>
        </w:rPr>
        <w:t>) menunjukkan bahwa kredibilitas komunikator semata tidak selalu cukup; pengaruh persuasif sering kali membutuhkan mediasi sikap atau nilai iklan, di samping adanya kesadaran persuasi (</w:t>
      </w:r>
      <w:r>
        <w:rPr>
          <w:rFonts w:ascii="Times New Roman" w:hAnsi="Times New Roman" w:cs="Times New Roman" w:eastAsia="Times New Roman"/>
          <w:b w:val="0"/>
          <w:i/>
          <w:color w:val="000000"/>
          <w:sz w:val="24"/>
        </w:rPr>
        <w:t>persuasion knowledge</w:t>
      </w:r>
      <w:r>
        <w:rPr>
          <w:rFonts w:ascii="Times New Roman" w:hAnsi="Times New Roman" w:cs="Times New Roman" w:eastAsia="Times New Roman"/>
          <w:b w:val="0"/>
          <w:i w:val="0"/>
          <w:color w:val="000000"/>
          <w:sz w:val="24"/>
        </w:rPr>
        <w:t>) audiens yang dapat memitigasi efektivitas pesan promosi secara langsung.</w:t>
      </w:r>
    </w:p>
    <w:p>
      <w:pPr>
        <w:widowControl/>
        <w:spacing w:line="360" w:lineRule="auto" w:before="0" w:after="0"/>
        <w:ind w:firstLine="709"/>
        <w:jc w:val="both"/>
      </w:pPr>
      <w:r>
        <w:rPr>
          <w:rFonts w:ascii="Times New Roman" w:hAnsi="Times New Roman" w:cs="Times New Roman" w:eastAsia="Times New Roman"/>
          <w:b w:val="0"/>
          <w:i w:val="0"/>
          <w:color w:val="000000"/>
          <w:sz w:val="24"/>
        </w:rPr>
        <w:t>Pada jalur X2,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xml:space="preserve">) ke intensi, temuan A positif berasal dari Rahaman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terhadap 432 mahasiswa di Bangladesh bahwa kualitas dan kredibilitas informasi membentuk kemudahan dan kegunaan lalu adopsi (</w:t>
      </w:r>
      <w:r>
        <w:rPr>
          <w:rFonts w:ascii="Times New Roman" w:hAnsi="Times New Roman" w:cs="Times New Roman" w:eastAsia="Times New Roman"/>
          <w:b w:val="0"/>
          <w:i/>
          <w:color w:val="000000"/>
          <w:sz w:val="24"/>
        </w:rPr>
        <w:t>adoption</w:t>
      </w:r>
      <w:r>
        <w:rPr>
          <w:rFonts w:ascii="Times New Roman" w:hAnsi="Times New Roman" w:cs="Times New Roman" w:eastAsia="Times New Roman"/>
          <w:b w:val="0"/>
          <w:i w:val="0"/>
          <w:color w:val="000000"/>
          <w:sz w:val="24"/>
        </w:rPr>
        <w:t>) dan intensi melalui lensa model adopsi informasi dan model penerimaan teknologi (</w:t>
      </w:r>
      <w:r>
        <w:rPr>
          <w:rFonts w:ascii="Times New Roman" w:hAnsi="Times New Roman" w:cs="Times New Roman" w:eastAsia="Times New Roman"/>
          <w:b w:val="0"/>
          <w:i/>
          <w:color w:val="000000"/>
          <w:sz w:val="24"/>
        </w:rPr>
        <w:t>information adoption model, technology acceptance model</w:t>
      </w:r>
      <w:r>
        <w:rPr>
          <w:rFonts w:ascii="Times New Roman" w:hAnsi="Times New Roman" w:cs="Times New Roman" w:eastAsia="Times New Roman"/>
          <w:b w:val="0"/>
          <w:i w:val="0"/>
          <w:color w:val="000000"/>
          <w:sz w:val="24"/>
        </w:rPr>
        <w:t xml:space="preserve">); Leong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terhadap 222 konsumen di Malaysia bahwa kualitas, kredibilitas, kesesuaian tugas (</w:t>
      </w:r>
      <w:r>
        <w:rPr>
          <w:rFonts w:ascii="Times New Roman" w:hAnsi="Times New Roman" w:cs="Times New Roman" w:eastAsia="Times New Roman"/>
          <w:b w:val="0"/>
          <w:i/>
          <w:color w:val="000000"/>
          <w:sz w:val="24"/>
        </w:rPr>
        <w:t>task-fit</w:t>
      </w:r>
      <w:r>
        <w:rPr>
          <w:rFonts w:ascii="Times New Roman" w:hAnsi="Times New Roman" w:cs="Times New Roman" w:eastAsia="Times New Roman"/>
          <w:b w:val="0"/>
          <w:i w:val="0"/>
          <w:color w:val="000000"/>
          <w:sz w:val="24"/>
        </w:rPr>
        <w:t>), dan sikap membentuk kegunaan lalu adopsi dan intensi, dengan catatan kebutuhan informasi (</w:t>
      </w:r>
      <w:r>
        <w:rPr>
          <w:rFonts w:ascii="Times New Roman" w:hAnsi="Times New Roman" w:cs="Times New Roman" w:eastAsia="Times New Roman"/>
          <w:b w:val="0"/>
          <w:i/>
          <w:color w:val="000000"/>
          <w:sz w:val="24"/>
        </w:rPr>
        <w:t>needs of information</w:t>
      </w:r>
      <w:r>
        <w:rPr>
          <w:rFonts w:ascii="Times New Roman" w:hAnsi="Times New Roman" w:cs="Times New Roman" w:eastAsia="Times New Roman"/>
          <w:b w:val="0"/>
          <w:i w:val="0"/>
          <w:color w:val="000000"/>
          <w:sz w:val="24"/>
        </w:rPr>
        <w:t>) tidak signifikan; serta Winarno dan Indrawati (2022) terhadap 300 konsumen di Indonesia bahwa pemasaran media sosial (</w:t>
      </w:r>
      <w:r>
        <w:rPr>
          <w:rFonts w:ascii="Times New Roman" w:hAnsi="Times New Roman" w:cs="Times New Roman" w:eastAsia="Times New Roman"/>
          <w:b w:val="0"/>
          <w:i/>
          <w:color w:val="000000"/>
          <w:sz w:val="24"/>
        </w:rPr>
        <w:t>social media marketing</w:t>
      </w:r>
      <w:r>
        <w:rPr>
          <w:rFonts w:ascii="Times New Roman" w:hAnsi="Times New Roman" w:cs="Times New Roman" w:eastAsia="Times New Roman"/>
          <w:b w:val="0"/>
          <w:i w:val="0"/>
          <w:color w:val="000000"/>
          <w:sz w:val="24"/>
        </w:rPr>
        <w:t xml:space="preserve">) ke komunikasi elektronik dari mulut ke mulut ke intensi seluruhnya positif-signifikan. Temuan B kontra-parsial berasal dari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terhadap 280 responden Generasi Z pengguna media sosial di Vietnam bahwa kredibilitas tidak signifikan ke kegunaan/adopsi dan kuantitas tidak signifikan ke adopsi, sementara kualitas, kuantitas, dan kebutuhan menentukan kegunaan/adopsi secara campuran; serta Sastri dan Harsoyo (2023) terhadap 100 konsumen di Indonesia bahwa komunikasi elektronik dari mulut ke mulut tidak berpengaruh positif-signifikan ke keputusan pembelian dan berhenti pada tahap niat. Penjelasan perbedaan hasil pada jalur X2 (</w:t>
      </w:r>
      <w:r>
        <w:rPr>
          <w:rFonts w:ascii="Times New Roman" w:hAnsi="Times New Roman" w:cs="Times New Roman" w:eastAsia="Times New Roman"/>
          <w:b w:val="0"/>
          <w:i/>
          <w:color w:val="000000"/>
          <w:sz w:val="24"/>
        </w:rPr>
        <w:t>the why</w:t>
      </w:r>
      <w:r>
        <w:rPr>
          <w:rFonts w:ascii="Times New Roman" w:hAnsi="Times New Roman" w:cs="Times New Roman" w:eastAsia="Times New Roman"/>
          <w:b w:val="0"/>
          <w:i w:val="0"/>
          <w:color w:val="000000"/>
          <w:sz w:val="24"/>
        </w:rPr>
        <w:t>) menegaskan bahwa bagi Generasi Z, kredibilitas ulasan semata belum memadai jika kualitas dan relevansi kebutuhan informasi tidak terpenuhi, di samping adanya perbedaan mendasar antara pembentukan niat awal dengan keputusan tindakan akhir.</w:t>
      </w:r>
    </w:p>
    <w:p>
      <w:pPr>
        <w:widowControl/>
        <w:spacing w:line="360" w:lineRule="auto" w:before="0" w:after="0"/>
        <w:ind w:firstLine="709"/>
        <w:jc w:val="both"/>
      </w:pPr>
      <w:r>
        <w:rPr>
          <w:rFonts w:ascii="Times New Roman" w:hAnsi="Times New Roman" w:cs="Times New Roman" w:eastAsia="Times New Roman"/>
          <w:b w:val="0"/>
          <w:i w:val="0"/>
          <w:color w:val="000000"/>
          <w:sz w:val="24"/>
        </w:rPr>
        <w:t>Pada jalur X3,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ke intensi, temuan A positif berasal dari Bongso dan Dewi (2021) terhadap 100 pemain permainan seluler Kota Kita di Indonesia bahwa kenikmatan, pengaruh sosial (</w:t>
      </w:r>
      <w:r>
        <w:rPr>
          <w:rFonts w:ascii="Times New Roman" w:hAnsi="Times New Roman" w:cs="Times New Roman" w:eastAsia="Times New Roman"/>
          <w:b w:val="0"/>
          <w:i/>
          <w:color w:val="000000"/>
          <w:sz w:val="24"/>
        </w:rPr>
        <w:t>social influence</w:t>
      </w:r>
      <w:r>
        <w:rPr>
          <w:rFonts w:ascii="Times New Roman" w:hAnsi="Times New Roman" w:cs="Times New Roman" w:eastAsia="Times New Roman"/>
          <w:b w:val="0"/>
          <w:i w:val="0"/>
          <w:color w:val="000000"/>
          <w:sz w:val="24"/>
        </w:rPr>
        <w:t>), dan kondisi fasilitas (</w:t>
      </w:r>
      <w:r>
        <w:rPr>
          <w:rFonts w:ascii="Times New Roman" w:hAnsi="Times New Roman" w:cs="Times New Roman" w:eastAsia="Times New Roman"/>
          <w:b w:val="0"/>
          <w:i/>
          <w:color w:val="000000"/>
          <w:sz w:val="24"/>
        </w:rPr>
        <w:t>facilitating conditions</w:t>
      </w:r>
      <w:r>
        <w:rPr>
          <w:rFonts w:ascii="Times New Roman" w:hAnsi="Times New Roman" w:cs="Times New Roman" w:eastAsia="Times New Roman"/>
          <w:b w:val="0"/>
          <w:i w:val="0"/>
          <w:color w:val="000000"/>
          <w:sz w:val="24"/>
        </w:rPr>
        <w:t>) positif-signifikan sementara aliran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ekspektasi kinerja, dan ekspektasi usaha tidak signifikan; Kurnia dan Sukarnadi (2023) pada pemain permainan seluler di Indonesia bahwa estetika desain, kemudahan, tantangan, variasi, kebaruan, dan interaktivitas secara positif membentuk kenikmatan yang selanjutnya mendorong niat bermain berkelanjutan dengan faktor interaktivitas sebagai pengaruh paling dominan; Dewi (2022) terhadap 223 pemain PUBG Mobile kalangan milenial dan Generasi Z di Indonesia bahwa kemudahan, kegunaan, sikap, dan kenikmatan menggerakkan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serta Gultom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terhadap 205 pengguna permainan seluler di Indonesia bahwa kemudahan, tantangan, kebaruan, estetika, dan interaksi sosial membentuk kenikmatan lalu menggerakkan intensi kontinuitas. Temuan B kontra-parsial berasal dari Pérez de Prado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terhadap 304 pengguna permainan daring di India bahwa persepsi kenikmatan tidak signifikan ke persepsi kegunaan dan sikap, sementara kegunaan, sikap, dan aliran yang menggerakkan intensi perilaku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Penjelasan perbedaan hasil pada jalur X3 (</w:t>
      </w:r>
      <w:r>
        <w:rPr>
          <w:rFonts w:ascii="Times New Roman" w:hAnsi="Times New Roman" w:cs="Times New Roman" w:eastAsia="Times New Roman"/>
          <w:b w:val="0"/>
          <w:i/>
          <w:color w:val="000000"/>
          <w:sz w:val="24"/>
        </w:rPr>
        <w:t>the why</w:t>
      </w:r>
      <w:r>
        <w:rPr>
          <w:rFonts w:ascii="Times New Roman" w:hAnsi="Times New Roman" w:cs="Times New Roman" w:eastAsia="Times New Roman"/>
          <w:b w:val="0"/>
          <w:i w:val="0"/>
          <w:color w:val="000000"/>
          <w:sz w:val="24"/>
        </w:rPr>
        <w:t>) mengindikasikan bahwa pada produk permainan yang bersifat hedonik, motivasi kenikmatan intrinsik memegang peranan lebih dominan daripada nilai kemanfaatan fungsional, meskipun tidak semua atribut teknis secara otomatis berhasil dikonversi menjadi rasa kenikmatan oleh pemain.</w:t>
      </w:r>
    </w:p>
    <w:p>
      <w:pPr>
        <w:widowControl/>
        <w:spacing w:line="360" w:lineRule="auto" w:before="0" w:after="0"/>
        <w:ind w:firstLine="709"/>
        <w:jc w:val="both"/>
      </w:pPr>
      <w:r>
        <w:rPr>
          <w:rFonts w:ascii="Times New Roman" w:hAnsi="Times New Roman" w:cs="Times New Roman" w:eastAsia="Times New Roman"/>
          <w:b w:val="0"/>
          <w:i w:val="0"/>
          <w:color w:val="000000"/>
          <w:sz w:val="24"/>
        </w:rPr>
        <w:t>Pola lintas jalur menegaskan pembenar model integratif: efek langsung X ke Y sering kali bervariasi bergantung pada konteks industri dan karakteristik audiens. Sejauh penelusuran literatur yang dilakukan, belum ditemukan satu studi empiris yang menguji pengaruh langsung X1, X2, dan X3 secara terintegrasi dalam satu model terhadap niat bermain Mobile Legends pada Generasi Z di Indonesia. Studi-studi terdahulu umumnya menguji variabel-variabel tersebut secara terpisah pada objek game yang berbeda atau pada komoditas non-game seperti fesyen dan kosmetik. Oleh karena itu, penelitian ini menawarkan kebaruan kontekstual (</w:t>
      </w:r>
      <w:r>
        <w:rPr>
          <w:rFonts w:ascii="Times New Roman" w:hAnsi="Times New Roman" w:cs="Times New Roman" w:eastAsia="Times New Roman"/>
          <w:b w:val="0"/>
          <w:i/>
          <w:color w:val="000000"/>
          <w:sz w:val="24"/>
        </w:rPr>
        <w:t>contextual novelty</w:t>
      </w:r>
      <w:r>
        <w:rPr>
          <w:rFonts w:ascii="Times New Roman" w:hAnsi="Times New Roman" w:cs="Times New Roman" w:eastAsia="Times New Roman"/>
          <w:b w:val="0"/>
          <w:i w:val="0"/>
          <w:color w:val="000000"/>
          <w:sz w:val="24"/>
        </w:rPr>
        <w:t>) yang kuat dengan mengintegrasikan ketiga variabel prediktor tersebut pada ekosistem permainan MOBA terpopuler di kalangan Generasi Z Indonesia.</w:t>
      </w:r>
    </w:p>
    <w:p>
      <w:pPr>
        <w:widowControl/>
        <w:spacing w:line="360" w:lineRule="auto" w:before="0" w:after="0"/>
        <w:ind w:firstLine="709"/>
        <w:jc w:val="both"/>
      </w:pPr>
      <w:r>
        <w:rPr>
          <w:rFonts w:ascii="Times New Roman" w:hAnsi="Times New Roman" w:cs="Times New Roman" w:eastAsia="Times New Roman"/>
          <w:b w:val="0"/>
          <w:i w:val="0"/>
          <w:color w:val="000000"/>
          <w:sz w:val="24"/>
        </w:rPr>
        <w:t>Teori ringkas yang dipakai mengikuti Bab 2. Model penerimaan teknologi (</w:t>
      </w:r>
      <w:r>
        <w:rPr>
          <w:rFonts w:ascii="Times New Roman" w:hAnsi="Times New Roman" w:cs="Times New Roman" w:eastAsia="Times New Roman"/>
          <w:b w:val="0"/>
          <w:i/>
          <w:color w:val="000000"/>
          <w:sz w:val="24"/>
        </w:rPr>
        <w:t>technology acceptance model</w:t>
      </w:r>
      <w:r>
        <w:rPr>
          <w:rFonts w:ascii="Times New Roman" w:hAnsi="Times New Roman" w:cs="Times New Roman" w:eastAsia="Times New Roman"/>
          <w:b w:val="0"/>
          <w:i w:val="0"/>
          <w:color w:val="000000"/>
          <w:sz w:val="24"/>
        </w:rPr>
        <w:t>) memberi dasar hubungan persepsi (kegunaan, kemudahan, kenikmatan, sikap) ke intensi; model adopsi informasi (</w:t>
      </w:r>
      <w:r>
        <w:rPr>
          <w:rFonts w:ascii="Times New Roman" w:hAnsi="Times New Roman" w:cs="Times New Roman" w:eastAsia="Times New Roman"/>
          <w:b w:val="0"/>
          <w:i/>
          <w:color w:val="000000"/>
          <w:sz w:val="24"/>
        </w:rPr>
        <w:t>information adoption model</w:t>
      </w:r>
      <w:r>
        <w:rPr>
          <w:rFonts w:ascii="Times New Roman" w:hAnsi="Times New Roman" w:cs="Times New Roman" w:eastAsia="Times New Roman"/>
          <w:b w:val="0"/>
          <w:i w:val="0"/>
          <w:color w:val="000000"/>
          <w:sz w:val="24"/>
        </w:rPr>
        <w:t>) memberi dasar rantai kualitas–kredibilitas ke kegunaan–adopsi–intensi; literatur kredibilitas sumber (</w:t>
      </w:r>
      <w:r>
        <w:rPr>
          <w:rFonts w:ascii="Times New Roman" w:hAnsi="Times New Roman" w:cs="Times New Roman" w:eastAsia="Times New Roman"/>
          <w:b w:val="0"/>
          <w:i/>
          <w:color w:val="000000"/>
          <w:sz w:val="24"/>
        </w:rPr>
        <w:t>source credibility</w:t>
      </w:r>
      <w:r>
        <w:rPr>
          <w:rFonts w:ascii="Times New Roman" w:hAnsi="Times New Roman" w:cs="Times New Roman" w:eastAsia="Times New Roman"/>
          <w:b w:val="0"/>
          <w:i w:val="0"/>
          <w:color w:val="000000"/>
          <w:sz w:val="24"/>
        </w:rPr>
        <w:t>) memberi dasar dimensi daya tarik, kepercayaan, dan keahlian pada pemasaran influencer. Hasil terdahulu diringkas pada paragraf gap di atas dan diuraikan penuh pada Bab 2 dengan format hipotesis H1–H3 positif sesuai pedoman.</w:t>
      </w:r>
    </w:p>
    <w:p>
      <w:pPr>
        <w:widowControl/>
        <w:spacing w:line="360" w:lineRule="auto" w:before="0" w:after="0"/>
        <w:ind w:firstLine="709"/>
        <w:jc w:val="both"/>
      </w:pPr>
      <w:r>
        <w:rPr>
          <w:rFonts w:ascii="Times New Roman" w:hAnsi="Times New Roman" w:cs="Times New Roman" w:eastAsia="Times New Roman"/>
          <w:b w:val="0"/>
          <w:i w:val="0"/>
          <w:color w:val="000000"/>
          <w:sz w:val="24"/>
        </w:rPr>
        <w:t>Tujuan penelitian versi ringkas adalah menguji pengaruh langsung masing-masing variabel X1, X2, dan X3 terhadap Y, pada Generasi Z Indonesia dengan objek Mobile Legends memakai data primer kuesioner. Kontribusi penulis adalah (1) menguji tiga pendorong dalam satu kerangka niat bermain permainan hedonik sehingga efek masing-masing prediktor dapat dianalisis secara komprehensif, (2) memberi bukti konteks Generasi Z Indonesia dengan Mobile Legends yang belum terisi, dan (3) mendokumentasikan mekanisme mediasi (sikap, nilai iklan, kegunaan, adopsi, kepercayaan) sebagai agenda lanjutan tanpa mengklaimnya diuji apabila kuesioner hanya model langsung (</w:t>
      </w:r>
      <w:r>
        <w:rPr>
          <w:rFonts w:ascii="Times New Roman" w:hAnsi="Times New Roman" w:cs="Times New Roman" w:eastAsia="Times New Roman"/>
          <w:b w:val="0"/>
          <w:i/>
          <w:color w:val="000000"/>
          <w:sz w:val="24"/>
        </w:rPr>
        <w:t>direct-effects</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Satu karya FEB UKRIDA disitir sebagai rujukan tematik, bukan bukti utama permainan.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terhadap 344 investor muda berusia 18–30 tahun di Bursa Efek Indonesia menguji kecanggihan investor dan pengaruh media sosial ke persepsi return lalu kepuasan investasi, dengan hasil pengaruh media sosial ke kepuasan tidak langsung (mediasi penuh via return). Kedekatan hanya tematik — subjek muda seumur Generasi Z, ada variabel pengaruh media sosial, pola mediasi penuh yang paralel dengan sikap/nilai iklan pada S05/S01 — dan dinyatakan TERBUKA tidak dipaksa sebagai landasan hipotesis permainan. Karya pemasaran FEB yang relevan langsung dengan permainan/MLBB masih TERBUKA tidak ditemukan pada penelusuran sesi matriks.</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1.2 Rumusan Masalah</w:t>
      </w:r>
    </w:p>
    <w:p>
      <w:pPr>
        <w:spacing w:line="360" w:lineRule="auto" w:before="0" w:after="0"/>
        <w:ind w:left="709" w:hanging="227"/>
        <w:jc w:val="both"/>
      </w:pPr>
      <w:r>
        <w:rPr>
          <w:rFonts w:ascii="Times New Roman" w:hAnsi="Times New Roman" w:cs="Times New Roman" w:eastAsia="Times New Roman"/>
          <w:b w:val="0"/>
          <w:i w:val="0"/>
          <w:color w:val="000000"/>
          <w:sz w:val="24"/>
        </w:rPr>
        <w:t>1. Apakah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2. Apakah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3. Apakah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berpengaruh positif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1.3 Tujuan Penelitian</w:t>
      </w:r>
    </w:p>
    <w:p>
      <w:pPr>
        <w:spacing w:line="360" w:lineRule="auto" w:before="0" w:after="0"/>
        <w:ind w:left="709" w:hanging="227"/>
        <w:jc w:val="both"/>
      </w:pPr>
      <w:r>
        <w:rPr>
          <w:rFonts w:ascii="Times New Roman" w:hAnsi="Times New Roman" w:cs="Times New Roman" w:eastAsia="Times New Roman"/>
          <w:b w:val="0"/>
          <w:i w:val="0"/>
          <w:color w:val="000000"/>
          <w:sz w:val="24"/>
        </w:rPr>
        <w:t>1. Untuk menguji pengaruh pemasaran influencer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2. Untuk menguji pengaruh komunikasi elektronik dari mulut ke mulut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spacing w:line="360" w:lineRule="auto" w:before="0" w:after="0"/>
        <w:ind w:left="709" w:hanging="227"/>
        <w:jc w:val="both"/>
      </w:pPr>
      <w:r>
        <w:rPr>
          <w:rFonts w:ascii="Times New Roman" w:hAnsi="Times New Roman" w:cs="Times New Roman" w:eastAsia="Times New Roman"/>
          <w:b w:val="0"/>
          <w:i w:val="0"/>
          <w:color w:val="000000"/>
          <w:sz w:val="24"/>
        </w:rPr>
        <w:t>3. Untuk menguji pengaruh persepsi kenikmatan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terhadap niat bermain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Mobile Legends pada Generasi Z di Indonesia.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1.4 Manfaat Penelitian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1.4.1 Manfaat Teoritis</w:t>
      </w:r>
    </w:p>
    <w:p>
      <w:pPr>
        <w:widowControl/>
        <w:spacing w:line="360" w:lineRule="auto" w:before="0" w:after="0"/>
        <w:ind w:firstLine="709"/>
        <w:jc w:val="both"/>
      </w:pPr>
      <w:r>
        <w:rPr>
          <w:rFonts w:ascii="Times New Roman" w:hAnsi="Times New Roman" w:cs="Times New Roman" w:eastAsia="Times New Roman"/>
          <w:b w:val="0"/>
          <w:i w:val="0"/>
          <w:color w:val="000000"/>
          <w:sz w:val="24"/>
        </w:rPr>
        <w:t>Penelitian ini memperluas pengujian model penerimaan teknologi (</w:t>
      </w:r>
      <w:r>
        <w:rPr>
          <w:rFonts w:ascii="Times New Roman" w:hAnsi="Times New Roman" w:cs="Times New Roman" w:eastAsia="Times New Roman"/>
          <w:b w:val="0"/>
          <w:i/>
          <w:color w:val="000000"/>
          <w:sz w:val="24"/>
        </w:rPr>
        <w:t>technology acceptance model</w:t>
      </w:r>
      <w:r>
        <w:rPr>
          <w:rFonts w:ascii="Times New Roman" w:hAnsi="Times New Roman" w:cs="Times New Roman" w:eastAsia="Times New Roman"/>
          <w:b w:val="0"/>
          <w:i w:val="0"/>
          <w:color w:val="000000"/>
          <w:sz w:val="24"/>
        </w:rPr>
        <w:t>) dan model adopsi informasi (</w:t>
      </w:r>
      <w:r>
        <w:rPr>
          <w:rFonts w:ascii="Times New Roman" w:hAnsi="Times New Roman" w:cs="Times New Roman" w:eastAsia="Times New Roman"/>
          <w:b w:val="0"/>
          <w:i/>
          <w:color w:val="000000"/>
          <w:sz w:val="24"/>
        </w:rPr>
        <w:t>information adoption model</w:t>
      </w:r>
      <w:r>
        <w:rPr>
          <w:rFonts w:ascii="Times New Roman" w:hAnsi="Times New Roman" w:cs="Times New Roman" w:eastAsia="Times New Roman"/>
          <w:b w:val="0"/>
          <w:i w:val="0"/>
          <w:color w:val="000000"/>
          <w:sz w:val="24"/>
        </w:rPr>
        <w:t>) pada konteks permainan hedonik multipemain, dengan mengintegrasikan literatur kredibilitas sumber (</w:t>
      </w:r>
      <w:r>
        <w:rPr>
          <w:rFonts w:ascii="Times New Roman" w:hAnsi="Times New Roman" w:cs="Times New Roman" w:eastAsia="Times New Roman"/>
          <w:b w:val="0"/>
          <w:i/>
          <w:color w:val="000000"/>
          <w:sz w:val="24"/>
        </w:rPr>
        <w:t>source credibility</w:t>
      </w:r>
      <w:r>
        <w:rPr>
          <w:rFonts w:ascii="Times New Roman" w:hAnsi="Times New Roman" w:cs="Times New Roman" w:eastAsia="Times New Roman"/>
          <w:b w:val="0"/>
          <w:i w:val="0"/>
          <w:color w:val="000000"/>
          <w:sz w:val="24"/>
        </w:rPr>
        <w:t>) pada satu variabel terikat yang sama. Dokumentasi inkonsistensi tiga jalur beserta penjelasnya memberi dasar bagi pengembangan model bermediasi (sikap, nilai iklan, kegunaan, adopsi, kepercayaan) pada riset lanjutan.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1.4.2 Manfaat Praktis</w:t>
      </w:r>
    </w:p>
    <w:p>
      <w:pPr>
        <w:widowControl/>
        <w:spacing w:line="360" w:lineRule="auto" w:before="0" w:after="0"/>
        <w:ind w:firstLine="709"/>
        <w:jc w:val="both"/>
      </w:pPr>
      <w:r>
        <w:rPr>
          <w:rFonts w:ascii="Times New Roman" w:hAnsi="Times New Roman" w:cs="Times New Roman" w:eastAsia="Times New Roman"/>
          <w:b w:val="0"/>
          <w:i w:val="0"/>
          <w:color w:val="000000"/>
          <w:sz w:val="24"/>
        </w:rPr>
        <w:t>Bagi pemasar permainan dan penerbit (termasuk MOONTON dan komunitas), hasil parsial memberi panduan alokasi: apakah mendorong kreator/influencer, mengelola ulasan dan percakapan komunitas, atau memperbaiki kenikmatan bermain (tantangan, kebaruan, interaktivitas). Bagi pembuat konten, hasil memberi panduan bahwa kredibilitas dan kesesuaian konten lebih menentukan daripada sekadar jumlah pengikut. Bagi kampus FEB UKRIDA, draf ini memberi bahan seminar proposal Model B yang patuh pedoman (struktur Bab 1 empat subbab, rumusan dalam bentuk tanya, tujuan dalam bentuk pernyataan) serta sitasi karya dosen FEB sebagai rujukan tematik generasi muda.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Daftar OPEN (wajib dikunci sebelum seminar)</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P04 Perangkat lunak (</w:t>
      </w:r>
      <w:r>
        <w:rPr>
          <w:rFonts w:ascii="Times New Roman" w:hAnsi="Times New Roman" w:cs="Times New Roman" w:eastAsia="Times New Roman"/>
          <w:b w:val="0"/>
          <w:i/>
          <w:color w:val="000000"/>
          <w:sz w:val="24"/>
        </w:rPr>
        <w:t>software</w:t>
      </w:r>
      <w:r>
        <w:rPr>
          <w:rFonts w:ascii="Times New Roman" w:hAnsi="Times New Roman" w:cs="Times New Roman" w:eastAsia="Times New Roman"/>
          <w:b w:val="0"/>
          <w:i w:val="0"/>
          <w:color w:val="000000"/>
          <w:sz w:val="24"/>
        </w:rPr>
        <w:t>): SPSS regresi berganda (Y = b0 + b1X1 + b2X2 + b3X3 + e) vs SmartPLS-SEM (laten reflektif) — PROPOSED, menunggu arahan pembimbing dan lisensi. Estimand (koefisien regresi parsial dan R²) mengikuti opsi terpilih.</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P06 Definisi Generasi Z, kriteria inklusi, dan target N: kandidat lahir 1997–2012 dari APJII via detikInet (sekunder) dan cuplikan BPS daerah — [MENUNGGU VERIFIKASI PDF primer APJII dan publikasi/tabel BPS SUPAS 2025]. Status bermain (pernah/aktif), teknik sampling, dan dasar power: OPEN, dilarang mengarang N.</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E01 Fenomena inti: tetap inference (proposed) berbasis triangulasi; belum ada fakta "X% Gen Z main MLBB". Butuh fetch penuh: PDF APJII 2025/2026 via survei.apjii.or.id/survei, PDF dan direktori SUPAS 2025, siaran pers BPS Mei 2026, laporan penuh Sensor Tower, halaman primer Esports Charts S15/S16/S17.</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E02 Skala X1/X2: dimensi/indikator menunggu sumber skala baku T2 tervalidasi; konteks jangkauan iklan hanya pendukung, bukan MAU.</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E03 Skala X3/Y: dimensi/indikator menunggu sumber skala baku T2 tervalidasi; konteks pasar global/SEA hanya pendukung, bukan populasi nasional.</w:t>
      </w:r>
    </w:p>
    <w:p>
      <w:pPr>
        <w:widowControl/>
        <w:spacing w:line="360" w:lineRule="auto" w:before="0" w:after="0"/>
        <w:ind w:left="709" w:hanging="227"/>
        <w:jc w:val="both"/>
      </w:pPr>
      <w:r>
        <w:rPr>
          <w:rFonts w:ascii="Times New Roman" w:hAnsi="Times New Roman" w:cs="Times New Roman" w:eastAsia="Times New Roman"/>
          <w:b w:val="0"/>
          <w:i w:val="0"/>
          <w:color w:val="000000"/>
          <w:sz w:val="24"/>
        </w:rPr>
        <w:t>E04 Kohort: samakan definisi APJII vs BPS sebelum sampling kuesioner; kontradiksi diawetkan, diputuskan via D-baru.</w:t>
      </w:r>
    </w:p>
    <w:p>
      <w:pPr>
        <w:pStyle w:val="Heading1"/>
        <w:jc w:val="center"/>
      </w:pPr>
      <w:r>
        <w:rPr>
          <w:rFonts w:ascii="Times New Roman" w:hAnsi="Times New Roman" w:cs="Times New Roman" w:eastAsia="Times New Roman"/>
          <w:b/>
          <w:i w:val="0"/>
          <w:color w:val="000000"/>
          <w:sz w:val="24"/>
        </w:rPr>
        <w:t>BAB II</w:t>
      </w:r>
      <w:r>
        <w:br/>
      </w:r>
      <w:r>
        <w:rPr>
          <w:rFonts w:ascii="Times New Roman" w:hAnsi="Times New Roman" w:cs="Times New Roman" w:eastAsia="Times New Roman"/>
          <w:b/>
          <w:i w:val="0"/>
          <w:color w:val="000000"/>
          <w:sz w:val="24"/>
        </w:rPr>
        <w:t>TINJAUAN PUSTAKA DAN PENGEMBANGAN HIPOTESIS</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2.1 Landasan Teori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2.1.1 </w:t>
      </w:r>
      <w:r>
        <w:rPr>
          <w:rFonts w:ascii="Times New Roman" w:hAnsi="Times New Roman" w:cs="Times New Roman" w:eastAsia="Times New Roman"/>
          <w:b/>
          <w:i/>
          <w:color w:val="000000"/>
          <w:sz w:val="24"/>
        </w:rPr>
        <w:t>Influencer Marketing</w:t>
      </w:r>
      <w:r>
        <w:rPr>
          <w:rFonts w:ascii="Times New Roman" w:hAnsi="Times New Roman" w:cs="Times New Roman" w:eastAsia="Times New Roman"/>
          <w:b/>
          <w:i w:val="0"/>
          <w:color w:val="000000"/>
          <w:sz w:val="24"/>
        </w:rPr>
        <w:t xml:space="preserve"> sebagai Kredibilitas Sumber</w:t>
      </w:r>
    </w:p>
    <w:p>
      <w:pPr>
        <w:widowControl/>
        <w:spacing w:line="360" w:lineRule="auto" w:before="0" w:after="0"/>
        <w:ind w:firstLine="709"/>
        <w:jc w:val="both"/>
      </w:pP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xml:space="preserve"> pada studi ini dibatasi secara ketat pada kredibilitas sumber yang dipersepsi penerima. Pembatasan tersebut diperlukan agar konstruk tidak melebar ke variabel lain seperti frekuensi unggahan, jumlah pengikut semata, atau </w:t>
      </w:r>
      <w:r>
        <w:rPr>
          <w:rFonts w:ascii="Times New Roman" w:hAnsi="Times New Roman" w:cs="Times New Roman" w:eastAsia="Times New Roman"/>
          <w:b w:val="0"/>
          <w:i/>
          <w:color w:val="000000"/>
          <w:sz w:val="24"/>
        </w:rPr>
        <w:t>engagement rate</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Acuan yang dipakai adalah Ohanian (1990). Kredibilitas sumber dimaknai sebagai persepsi penerima terhadap atribut positif komunikator yang memengaruhi penerimaan pesan. Tiga dimensinya adalah: (1) </w:t>
      </w:r>
      <w:r>
        <w:rPr>
          <w:rFonts w:ascii="Times New Roman" w:hAnsi="Times New Roman" w:cs="Times New Roman" w:eastAsia="Times New Roman"/>
          <w:b w:val="0"/>
          <w:i/>
          <w:color w:val="000000"/>
          <w:sz w:val="24"/>
        </w:rPr>
        <w:t>expertise</w:t>
      </w:r>
      <w:r>
        <w:rPr>
          <w:rFonts w:ascii="Times New Roman" w:hAnsi="Times New Roman" w:cs="Times New Roman" w:eastAsia="Times New Roman"/>
          <w:b w:val="0"/>
          <w:i w:val="0"/>
          <w:color w:val="000000"/>
          <w:sz w:val="24"/>
        </w:rPr>
        <w:t xml:space="preserve">, yaitu sejauh mana sumber dipersepsi kompeten dan berpengetahuan di bidang yang dipromosikan; (2) </w:t>
      </w:r>
      <w:r>
        <w:rPr>
          <w:rFonts w:ascii="Times New Roman" w:hAnsi="Times New Roman" w:cs="Times New Roman" w:eastAsia="Times New Roman"/>
          <w:b w:val="0"/>
          <w:i/>
          <w:color w:val="000000"/>
          <w:sz w:val="24"/>
        </w:rPr>
        <w:t>trustworthiness</w:t>
      </w:r>
      <w:r>
        <w:rPr>
          <w:rFonts w:ascii="Times New Roman" w:hAnsi="Times New Roman" w:cs="Times New Roman" w:eastAsia="Times New Roman"/>
          <w:b w:val="0"/>
          <w:i w:val="0"/>
          <w:color w:val="000000"/>
          <w:sz w:val="24"/>
        </w:rPr>
        <w:t xml:space="preserve">, yaitu keyakinan bahwa sumber menyampaikan informasi secara jujur dan objektif; (3) </w:t>
      </w:r>
      <w:r>
        <w:rPr>
          <w:rFonts w:ascii="Times New Roman" w:hAnsi="Times New Roman" w:cs="Times New Roman" w:eastAsia="Times New Roman"/>
          <w:b w:val="0"/>
          <w:i/>
          <w:color w:val="000000"/>
          <w:sz w:val="24"/>
        </w:rPr>
        <w:t>attractiveness</w:t>
      </w:r>
      <w:r>
        <w:rPr>
          <w:rFonts w:ascii="Times New Roman" w:hAnsi="Times New Roman" w:cs="Times New Roman" w:eastAsia="Times New Roman"/>
          <w:b w:val="0"/>
          <w:i w:val="0"/>
          <w:color w:val="000000"/>
          <w:sz w:val="24"/>
        </w:rPr>
        <w:t xml:space="preserve">, yaitu daya tarik dan kelas yang memfasilitasi identifikasi penerima terhadap sumber. Struktur 15 butir </w:t>
      </w:r>
      <w:r>
        <w:rPr>
          <w:rFonts w:ascii="Times New Roman" w:hAnsi="Times New Roman" w:cs="Times New Roman" w:eastAsia="Times New Roman"/>
          <w:b w:val="0"/>
          <w:i/>
          <w:color w:val="000000"/>
          <w:sz w:val="24"/>
        </w:rPr>
        <w:t>semantic differential</w:t>
      </w:r>
      <w:r>
        <w:rPr>
          <w:rFonts w:ascii="Times New Roman" w:hAnsi="Times New Roman" w:cs="Times New Roman" w:eastAsia="Times New Roman"/>
          <w:b w:val="0"/>
          <w:i w:val="0"/>
          <w:color w:val="000000"/>
          <w:sz w:val="24"/>
        </w:rPr>
        <w:t xml:space="preserve"> tujuh titik (lima butir per dimensi) tersebut berstatus VERIFIED-struktur, sedangkan redaksi Indonesia merupakan parafrase adaptasi dan wajib diuji ulang.</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Logika pengaruhnya bersifat persuasif. Ketika </w:t>
      </w:r>
      <w:r>
        <w:rPr>
          <w:rFonts w:ascii="Times New Roman" w:hAnsi="Times New Roman" w:cs="Times New Roman" w:eastAsia="Times New Roman"/>
          <w:b w:val="0"/>
          <w:i/>
          <w:color w:val="000000"/>
          <w:sz w:val="24"/>
        </w:rPr>
        <w:t>gamer</w:t>
      </w:r>
      <w:r>
        <w:rPr>
          <w:rFonts w:ascii="Times New Roman" w:hAnsi="Times New Roman" w:cs="Times New Roman" w:eastAsia="Times New Roman"/>
          <w:b w:val="0"/>
          <w:i w:val="0"/>
          <w:color w:val="000000"/>
          <w:sz w:val="24"/>
        </w:rPr>
        <w:t xml:space="preserve"> menilai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game sebagai ahli, jujur, dan menarik, pesan promosi mengenai Mobile Legends lebih mudah diterima dan menimbulkan nilai iklan serta sikap yang mendukung.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menegaskan mekanisme tersebut: ketiga dimensi kredibilitas berpengaruh positif-signifikan terhadap intensi, sedangkan keterbukaan sponsor (</w:t>
      </w:r>
      <w:r>
        <w:rPr>
          <w:rFonts w:ascii="Times New Roman" w:hAnsi="Times New Roman" w:cs="Times New Roman" w:eastAsia="Times New Roman"/>
          <w:b w:val="0"/>
          <w:i/>
          <w:color w:val="000000"/>
          <w:sz w:val="24"/>
        </w:rPr>
        <w:t>advertising disclosure</w:t>
      </w:r>
      <w:r>
        <w:rPr>
          <w:rFonts w:ascii="Times New Roman" w:hAnsi="Times New Roman" w:cs="Times New Roman" w:eastAsia="Times New Roman"/>
          <w:b w:val="0"/>
          <w:i w:val="0"/>
          <w:color w:val="000000"/>
          <w:sz w:val="24"/>
        </w:rPr>
        <w:t xml:space="preserve">) hanya bekerja melalui daya tarik. Octaviani dan Hartono (2023) serta Bevan-Dye dan Motaung (2023) menunjukkan pola yang sejalan: kredibilitas beserta nilai informasi dan hiburan membentuk nilai iklan atau utilitas yang dipersepsi, lalu menggerakkan intensi. Sebaliknya, Putri dan Tiarawati (2021) serta Maghfiroh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(2025) mencatat batasnya: pengaruh langsung kredibilitas dapat tidak signifikan apabila tidak dijembatani sikap, nilai iklan, atau citra merek.</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2.1.2 </w:t>
      </w:r>
      <w:r>
        <w:rPr>
          <w:rFonts w:ascii="Times New Roman" w:hAnsi="Times New Roman" w:cs="Times New Roman" w:eastAsia="Times New Roman"/>
          <w:b/>
          <w:i/>
          <w:color w:val="000000"/>
          <w:sz w:val="24"/>
        </w:rPr>
        <w:t>Electronic Word of Mouth</w:t>
      </w:r>
      <w:r>
        <w:rPr>
          <w:rFonts w:ascii="Times New Roman" w:hAnsi="Times New Roman" w:cs="Times New Roman" w:eastAsia="Times New Roman"/>
          <w:b/>
          <w:i w:val="0"/>
          <w:color w:val="000000"/>
          <w:sz w:val="24"/>
        </w:rPr>
        <w:t xml:space="preserve"> (</w:t>
      </w:r>
      <w:r>
        <w:rPr>
          <w:rFonts w:ascii="Times New Roman" w:hAnsi="Times New Roman" w:cs="Times New Roman" w:eastAsia="Times New Roman"/>
          <w:b/>
          <w:i/>
          <w:color w:val="000000"/>
          <w:sz w:val="24"/>
        </w:rPr>
        <w:t>eWOM</w:t>
      </w:r>
      <w:r>
        <w:rPr>
          <w:rFonts w:ascii="Times New Roman" w:hAnsi="Times New Roman" w:cs="Times New Roman" w:eastAsia="Times New Roman"/>
          <w:b/>
          <w:i w:val="0"/>
          <w:color w:val="000000"/>
          <w:sz w:val="24"/>
        </w:rPr>
        <w:t>) dan Adopsi Informasi</w:t>
      </w:r>
    </w:p>
    <w:p>
      <w:pPr>
        <w:widowControl/>
        <w:spacing w:line="360" w:lineRule="auto" w:before="0" w:after="0"/>
        <w:ind w:firstLine="709"/>
        <w:jc w:val="both"/>
      </w:pP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dimaknai sebagai pertukaran informasi yang dinamis dan berkelanjutan antarpelanggan mengenai produk, layanan, atau merek melalui internet. Perilaku penerima yang diukur pada inti bakunya adalah membaca, mengonsultasikan, dan mengumpulkan informasi dari ulasan daring sebelum memutuskan (Bambauer-Sachse &amp; Mangold, 2011). Konstruk inti lima butir tersebut berstatus VERIFIED-konstruk unidimensional.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Untuk konteks game, literatur turunan memecah karakteristik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menjadi kualitas argumen, kuantitas atau volume, kredibilitas, dan valensi (Park &amp; Lee, 2008; Cheung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2008; Cheung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2009; Fan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2013). Masing-masing sub-dimensi berstatus VERIFIED-CONSTRUCT secara terpisah, sedangkan penggabungannya sebagai satu skala baku dinyatakan PROPOSED-UNVERIFIED dan tidak boleh diklaim sebagai skala baku tunggal. Keputusan memakai Opsi A (inti perilaku membaca ulasan) atau Opsi B (komposit empat dimensi) ditetapkan di Bab III.</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Logika pengaruhnya bersifat informasional. Ulasan yang dinilai berkualitas, relevan, kredibel, dan cukup jumlahnya akan dipersepsi berguna, lalu diadopsi, dan selanjutnya menguatkan intensi. Rahaman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serta Leong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mendukung rantai kualitas–kredibilitas menuju kebermanfaatan dan adopsi. Khwaja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menambahkan rantai kepercayaan menuju adopsi. Batasnya dicatat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pada Generasi Z: kredibilitas saja tidak signifikan apabila kualitas, kuantitas, dan kesesuaian kebutuhan tidak terpenuhi. Sastri dan Harsoyo (2023) menegaskan perbedaan jenjang: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dapat berhenti pada tahap niat tanpa berlanjut ke keputusan pembelian.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2.1.3 </w:t>
      </w:r>
      <w:r>
        <w:rPr>
          <w:rFonts w:ascii="Times New Roman" w:hAnsi="Times New Roman" w:cs="Times New Roman" w:eastAsia="Times New Roman"/>
          <w:b/>
          <w:i/>
          <w:color w:val="000000"/>
          <w:sz w:val="24"/>
        </w:rPr>
        <w:t>Perceived Enjoyment</w:t>
      </w:r>
      <w:r>
        <w:rPr>
          <w:rFonts w:ascii="Times New Roman" w:hAnsi="Times New Roman" w:cs="Times New Roman" w:eastAsia="Times New Roman"/>
          <w:b/>
          <w:i w:val="0"/>
          <w:color w:val="000000"/>
          <w:sz w:val="24"/>
        </w:rPr>
        <w:t xml:space="preserve"> pada Sistem Hedonik</w:t>
      </w:r>
    </w:p>
    <w:p>
      <w:pPr>
        <w:widowControl/>
        <w:spacing w:line="360" w:lineRule="auto" w:before="0" w:after="0"/>
        <w:ind w:firstLine="709"/>
        <w:jc w:val="both"/>
      </w:pP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dimaknai sebagai sejauh mana aktivitas penggunaan suatu sistem spesifik dipersepsi menyenangkan demi aktivitas itu sendiri, terlepas dari konsekuensi kinerja yang diantisipasi (Venkatesh, 2000; Venkatesh &amp; Bala, 2008). Akarnya adalah pembedaan motivasi intrinsik dan ekstrinsik (Davis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1992). Konstruk ini unidimensional dengan tiga butir dan berstatus VERIFIED-definisi dan struktur; redaksi Indonesia merupakan parafrase yang wajib diuji keterbacaan dan pilot.</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Batasan hedoniknya ditegaskan van der Heijden (2004): untuk sistem kesenangan seperti gim, kenikmatan beserta kemudahan memprediksi niat lebih kuat daripada kebermanfaatan. Artinya,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bukan sinonim </w:t>
      </w:r>
      <w:r>
        <w:rPr>
          <w:rFonts w:ascii="Times New Roman" w:hAnsi="Times New Roman" w:cs="Times New Roman" w:eastAsia="Times New Roman"/>
          <w:b w:val="0"/>
          <w:i/>
          <w:color w:val="000000"/>
          <w:sz w:val="24"/>
        </w:rPr>
        <w:t>usefulness</w:t>
      </w:r>
      <w:r>
        <w:rPr>
          <w:rFonts w:ascii="Times New Roman" w:hAnsi="Times New Roman" w:cs="Times New Roman" w:eastAsia="Times New Roman"/>
          <w:b w:val="0"/>
          <w:i w:val="0"/>
          <w:color w:val="000000"/>
          <w:sz w:val="24"/>
        </w:rPr>
        <w:t xml:space="preserve">. Pada gim, yang menggerakkan niat adalah rasa senang, terhibur, dan menikmati waktu bermain, bukan semata persepsi bahwa gim itu bermanfaat. Antesedennya menurut literatur gim meliputi estetika desain, kemudahan, tantangan, variasi, kebaruan, interaktivitas, dan interaksi sosial (Kurnia &amp; Sukarnadi, 2023; Gultom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Batasnya dicatat Pérez de Prado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dapat tidak signifikan menuju kebermanfaatan dan sikap, sedangkan kebermanfaatan, sikap, dan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xml:space="preserve"> yang langsung menggerakkan intensi. Bongso dan Dewi (2021) menunjukkan sisi sebaliknya pada gim lokal: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justru mengalahkan ekspektasi kinerja dan kemudahan.</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Redaksi butir wajib dipisahkan dari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xml:space="preserve"> dan kecanduan. Frasa seperti lupa waktu atau tidak dapat berhenti merupakan konstruk lain dan tidak dipakai sebagai indikator </w:t>
      </w:r>
      <w:r>
        <w:rPr>
          <w:rFonts w:ascii="Times New Roman" w:hAnsi="Times New Roman" w:cs="Times New Roman" w:eastAsia="Times New Roman"/>
          <w:b w:val="0"/>
          <w:i/>
          <w:color w:val="000000"/>
          <w:sz w:val="24"/>
        </w:rPr>
        <w:t>enjoyment</w:t>
      </w:r>
      <w:r>
        <w:rPr>
          <w:rFonts w:ascii="Times New Roman" w:hAnsi="Times New Roman" w:cs="Times New Roman" w:eastAsia="Times New Roman"/>
          <w:b w:val="0"/>
          <w:i w:val="0"/>
          <w:color w:val="000000"/>
          <w:sz w:val="24"/>
        </w:rPr>
        <w:t xml:space="preserve"> pada studi ini.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 xml:space="preserve">2.1.4 </w:t>
      </w:r>
      <w:r>
        <w:rPr>
          <w:rFonts w:ascii="Times New Roman" w:hAnsi="Times New Roman" w:cs="Times New Roman" w:eastAsia="Times New Roman"/>
          <w:b/>
          <w:i/>
          <w:color w:val="000000"/>
          <w:sz w:val="24"/>
        </w:rPr>
        <w:t>Intention to Play</w:t>
      </w:r>
      <w:r>
        <w:rPr>
          <w:rFonts w:ascii="Times New Roman" w:hAnsi="Times New Roman" w:cs="Times New Roman" w:eastAsia="Times New Roman"/>
          <w:b/>
          <w:i w:val="0"/>
          <w:color w:val="000000"/>
          <w:sz w:val="24"/>
        </w:rPr>
        <w:t xml:space="preserve"> sebagai Niat Perilaku</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Niat dimaknai sebagai anteseden langsung perilaku: makin positif sikap, norma, dan kontrol yang dipersepsi, makin kuat niat, dan makin mungkin perilaku dilaksanakan ketika ada kesempatan (Ajzen, 1991; panduan penyusunan kuesioner TPB UMass). Untuk teknologi dan gim, niat dirumuskan sebagai sejauh mana pengguna ingin memakai atau memainkan kembali gim daring di masa depan (Venkatesh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2003; Hsu &amp; Lu, 2004). Pola butir baku memadukan </w:t>
      </w:r>
      <w:r>
        <w:rPr>
          <w:rFonts w:ascii="Times New Roman" w:hAnsi="Times New Roman" w:cs="Times New Roman" w:eastAsia="Times New Roman"/>
          <w:b w:val="0"/>
          <w:i/>
          <w:color w:val="000000"/>
          <w:sz w:val="24"/>
        </w:rPr>
        <w:t>intend</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predict</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plan</w:t>
      </w:r>
      <w:r>
        <w:rPr>
          <w:rFonts w:ascii="Times New Roman" w:hAnsi="Times New Roman" w:cs="Times New Roman" w:eastAsia="Times New Roman"/>
          <w:b w:val="0"/>
          <w:i w:val="0"/>
          <w:color w:val="000000"/>
          <w:sz w:val="24"/>
        </w:rPr>
        <w:t xml:space="preserve"> dengan konteks gim </w:t>
      </w:r>
      <w:r>
        <w:rPr>
          <w:rFonts w:ascii="Times New Roman" w:hAnsi="Times New Roman" w:cs="Times New Roman" w:eastAsia="Times New Roman"/>
          <w:b w:val="0"/>
          <w:i/>
          <w:color w:val="000000"/>
          <w:sz w:val="24"/>
        </w:rPr>
        <w:t>continue</w:t>
      </w:r>
      <w:r>
        <w:rPr>
          <w:rFonts w:ascii="Times New Roman" w:hAnsi="Times New Roman" w:cs="Times New Roman" w:eastAsia="Times New Roman"/>
          <w:b w:val="0"/>
          <w:i w:val="0"/>
          <w:color w:val="000000"/>
          <w:sz w:val="24"/>
        </w:rPr>
        <w:t xml:space="preserve"> atau </w:t>
      </w:r>
      <w:r>
        <w:rPr>
          <w:rFonts w:ascii="Times New Roman" w:hAnsi="Times New Roman" w:cs="Times New Roman" w:eastAsia="Times New Roman"/>
          <w:b w:val="0"/>
          <w:i/>
          <w:color w:val="000000"/>
          <w:sz w:val="24"/>
        </w:rPr>
        <w:t>keep playing</w:t>
      </w:r>
      <w:r>
        <w:rPr>
          <w:rFonts w:ascii="Times New Roman" w:hAnsi="Times New Roman" w:cs="Times New Roman" w:eastAsia="Times New Roman"/>
          <w:b w:val="0"/>
          <w:i w:val="0"/>
          <w:color w:val="000000"/>
          <w:sz w:val="24"/>
        </w:rPr>
        <w:t>, berstatus VERIFIED-konstruk dan pola butir; redaksi Indonesia berstatus ADAPTED dan wajib pilot ulang.</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Prinsip kompatibilitas_TARGET, tindakan, konteks, dan waktu (TACT) diterapkan konsisten: seluruh butir menyebut target yang sama (Mobile Legends) dan horizon waktu yang sama. Butir rekomendasi kepada orang lain tidak dipakai agar kemurnian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xml:space="preserve"> terjaga. Dewi (2022) memakai kerangka yang sama untuk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PUBG Mobile pada milenial dan Generasi Z di Indonesia dengan anteseden kemudahan, kebermanfaatan, sikap, dan kenikmatan. Bongso dan Dewi (2021) serta Kurnia dan Sukarnadi (2023) memakai padanan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continuance intention</w:t>
      </w:r>
      <w:r>
        <w:rPr>
          <w:rFonts w:ascii="Times New Roman" w:hAnsi="Times New Roman" w:cs="Times New Roman" w:eastAsia="Times New Roman"/>
          <w:b w:val="0"/>
          <w:i w:val="0"/>
          <w:color w:val="000000"/>
          <w:sz w:val="24"/>
        </w:rPr>
        <w:t xml:space="preserve"> untuk gim.</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2.1.5 Generasi Z sebagai Konteks, bukan Variabel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Generasi Z berkedudukan sebagai konteks populasi, bukan sebagai variabel atau moderator pada model usulan. Kedudukan tersebut dipilih karena perilaku gim seluler, konsumsi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dan konsultasi ulasan daring terkonsentrasi pada kohor muda yang aktif di media sosial. Bukti pembanding terverifikasi antara lain Gen Z Vietnam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pengguna 18–34 tahun di Jerman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2020), serta milenial dan Gen Z pemain PUBG Mobile di Indonesia (Dewi, 2022).</w:t>
      </w:r>
    </w:p>
    <w:p>
      <w:pPr>
        <w:widowControl/>
        <w:spacing w:line="360" w:lineRule="auto" w:before="0" w:after="0"/>
        <w:ind w:firstLine="709"/>
        <w:jc w:val="both"/>
      </w:pPr>
      <w:r>
        <w:rPr>
          <w:rFonts w:ascii="Times New Roman" w:hAnsi="Times New Roman" w:cs="Times New Roman" w:eastAsia="Times New Roman"/>
          <w:b w:val="0"/>
          <w:i w:val="0"/>
          <w:color w:val="000000"/>
          <w:sz w:val="24"/>
        </w:rPr>
        <w:t>Batasan operasional seperti rentang tahun lahir, kriteria pemain aktif, dan wilayah nasional tidak dikarang pada Bab II. Seluruhnya ditetapkan di Bab III setelah kunci pembimbing. Dengan demikian, Bab II hanya menegaskan relevansi konteks: Mobile Legends sebagai gim MOBA yang interaktif, kompetitif, dan sosial merupakan arena hedonik yang tepat untuk menguji ketiga pendorong secara bersamaan.</w:t>
      </w:r>
    </w:p>
    <w:p>
      <w:pPr>
        <w:widowControl/>
        <w:spacing w:line="360" w:lineRule="auto" w:before="0" w:after="0"/>
        <w:ind w:firstLine="709"/>
        <w:jc w:val="both"/>
      </w:pPr>
      <w:r>
        <w:rPr>
          <w:rFonts w:ascii="Times New Roman" w:hAnsi="Times New Roman" w:cs="Times New Roman" w:eastAsia="Times New Roman"/>
          <w:b w:val="0"/>
          <w:i w:val="0"/>
          <w:color w:val="000000"/>
          <w:sz w:val="24"/>
        </w:rPr>
        <w:t>Status verifikasi 2.1: seluruh definisi konstitutif di atas berstatus VERIFIED-konstruk/struktur menurut KONSTRUK_SKALA.md §2–§5. Redaksi Indonesia dan penggabungan dimensi dinyatakan PROPOSED-UNVERIFIED/ADAPTED dan wajib diuji keterbacaan, validitas, dan reliabilitas. Tidak ada angka α, muatan faktor, β, maupun p yang diklaim pada subbab ini.</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2.2 Penelitian Sebelumnya</w:t>
      </w:r>
    </w:p>
    <w:p>
      <w:pPr>
        <w:widowControl/>
        <w:spacing w:line="360" w:lineRule="auto" w:before="0" w:after="0"/>
        <w:ind w:firstLine="709"/>
        <w:jc w:val="both"/>
      </w:pPr>
      <w:r>
        <w:rPr>
          <w:rFonts w:ascii="Times New Roman" w:hAnsi="Times New Roman" w:cs="Times New Roman" w:eastAsia="Times New Roman"/>
          <w:b w:val="0"/>
          <w:i w:val="0"/>
          <w:color w:val="000000"/>
          <w:sz w:val="24"/>
        </w:rPr>
        <w:t>Tabel berikut merangkum 18 studi primer terverifikasi menurut jalur. Arah hanya ditulis sebagai positif-signifikan, tidak signifikan, atau campuran/parsial. Tidak ada koefisien β, t, p, maupun R² yang dikutip karena naskah penuh tidak dibaca pada tahap matriks.</w:t>
      </w:r>
    </w:p>
    <w:p>
      <w:pPr>
        <w:spacing w:before="240" w:after="120" w:line="240" w:lineRule="auto"/>
        <w:jc w:val="left"/>
      </w:pPr>
      <w:r>
        <w:rPr>
          <w:rFonts w:ascii="Times New Roman" w:hAnsi="Times New Roman" w:cs="Times New Roman" w:eastAsia="Times New Roman"/>
          <w:b/>
          <w:i w:val="0"/>
          <w:color w:val="000000"/>
          <w:sz w:val="22"/>
        </w:rPr>
        <w:t>Tabel 2.1 Ringkasan Penelitian Sebelumnya (S01–S18)</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sz="0" w:space="0" w:color="auto"/>
          <w:right w:val="nil" w:sz="0" w:space="0" w:color="auto"/>
          <w:insideV w:val="nil" w:sz="0" w:space="0" w:color="auto"/>
          <w:insideH w:val="nil" w:sz="0" w:space="0" w:color="auto"/>
        </w:tblBorders>
      </w:tblPr>
      <w:tblGrid>
        <w:gridCol w:w="1587"/>
        <w:gridCol w:w="1587"/>
        <w:gridCol w:w="1587"/>
        <w:gridCol w:w="1587"/>
        <w:gridCol w:w="1587"/>
      </w:tblGrid>
      <w:tr>
        <w:trPr>
          <w:tblHeader w:val="true"/>
          <w:cantSplit w:val="true"/>
        </w:trPr>
        <w:tc>
          <w:tcPr>
            <w:tcW w:type="dxa" w:w="680"/>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Kode</w:t>
            </w:r>
          </w:p>
        </w:tc>
        <w:tc>
          <w:tcPr>
            <w:tcW w:type="dxa" w:w="2381"/>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Studi (bukti)</w:t>
            </w:r>
          </w:p>
        </w:tc>
        <w:tc>
          <w:tcPr>
            <w:tcW w:type="dxa" w:w="1814"/>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Jalur</w:t>
            </w:r>
          </w:p>
        </w:tc>
        <w:tc>
          <w:tcPr>
            <w:tcW w:type="dxa" w:w="1701"/>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Pola temuan (tanpa angka)</w:t>
            </w:r>
          </w:p>
        </w:tc>
        <w:tc>
          <w:tcPr>
            <w:tcW w:type="dxa" w:w="1361"/>
            <w:shd w:fill="F2F2F2" w:val="clear"/>
            <w:tcBorders>
              <w:bottom w:val="single" w:sz="6" w:space="0" w:color="000000"/>
            </w:tcBorders>
          </w:tcPr>
          <w:p>
            <w:pPr>
              <w:spacing w:before="40" w:after="40" w:line="240" w:lineRule="auto"/>
              <w:jc w:val="left"/>
            </w:pPr>
            <w:r/>
            <w:r>
              <w:rPr>
                <w:rFonts w:ascii="Times New Roman" w:hAnsi="Times New Roman" w:cs="Times New Roman" w:eastAsia="Times New Roman"/>
                <w:b/>
                <w:i w:val="0"/>
                <w:color w:val="000000"/>
                <w:sz w:val="20"/>
              </w:rPr>
              <w:t>Peran: A pendukung / B pembatas</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S01</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Octaviani dan Hartono (2023), Indonesia, N=180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Kredibilitas dan infotainment → nilai iklan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via nilai iklan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Weismueller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(2020), Jerman, N=306</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Kredibilitas 3 dimensi; disclosure; pengikut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disclosure hanya tak langsung via daya tarik</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dengan mekanisme</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S03</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Bevan-Dye dan Motaung (2023), Afrika Selatan, N=334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Nilai informasi, hiburan, dan kepercayaan → utilitas → predisposisi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generasi muda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Putri dan Tiarawati (2021), Indonesia, N=211</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Influencer</w:t>
            </w:r>
            <w:r>
              <w:rPr>
                <w:rFonts w:ascii="Times New Roman" w:hAnsi="Times New Roman" w:cs="Times New Roman" w:eastAsia="Times New Roman"/>
                <w:b w:val="0"/>
                <w:i w:val="0"/>
                <w:color w:val="000000"/>
                <w:sz w:val="20"/>
              </w:rPr>
              <w:t xml:space="preserve"> dan citra merek → intensi daring</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Influencer</w:t>
            </w:r>
            <w:r>
              <w:rPr>
                <w:rFonts w:ascii="Times New Roman" w:hAnsi="Times New Roman" w:cs="Times New Roman" w:eastAsia="Times New Roman"/>
                <w:b w:val="0"/>
                <w:i w:val="0"/>
                <w:color w:val="000000"/>
                <w:sz w:val="20"/>
              </w:rPr>
              <w:t xml:space="preserve"> tidak signifikan; citra merek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X1</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S05</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Maghfiroh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(2025), Indonesia, N=290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Kredibilitas dan konten persuasif → intensi langsung dan via sikap</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Langsung tidak signifikan; tak langsung via sikap signifikan (mediasi penuh)</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langsung</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S06</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Rahaman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(2022), Bangladesh, N=432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Kualitas dan kredibilitas </w:t>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kemudahan dan kebermanfaatan → adopsi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IAM dan TAM</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S07</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Leong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(2022), Malaysia, N=222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Kualitas, kredibilitas, kesesuaian tugas, dan sikap → kebermanfaatan → adopsi → intensi; kebutuhan informasi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dengan satu anteseden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dengan catatan</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S08</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Ngo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(2024), Vietnam Gen Z, N=280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Kualitas, kuantitas, kebutuhan, dan sikap → kebermanfaatan/adopsi → intensi; kredibilitas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Campuran/parsial; kunci Gen Z</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parsial</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S09</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Winarno dan Indrawati (2022), Indonesia, N=300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Pemasaran media sosial → </w:t>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langsung dan tak langsung</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Indonesia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S10</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Sastri dan Harsoyo (2023), Indonesia,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kualitas, pemasaran media sosial → keputusan pembelian</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tidak signifikan; pembanding signifikan; DOI UNVERIFIED</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niat vs keputusan</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S11</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Pérez de Prado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(2021), India, N=304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TAM gim: kebermanfaatan, sikap, </w:t>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kenikmatan, kemudahan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Kenikmatan tidak signifikan ke kebermanfaatan/sikap; kebermanfaatan, sikap, dan </w:t>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xml:space="preserve">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 kontra parsial X3</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Bongso dan Dewi (2021), Indonesia gim Kota Kita,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kenikmatan, ekspektasi, pengaruh sosial, fasilitas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Kenikmatan, sosial, fasilitas signifikan; </w:t>
            </w:r>
            <w:r>
              <w:rPr>
                <w:rFonts w:ascii="Times New Roman" w:hAnsi="Times New Roman" w:cs="Times New Roman" w:eastAsia="Times New Roman"/>
                <w:b w:val="0"/>
                <w:i/>
                <w:color w:val="000000"/>
                <w:sz w:val="20"/>
              </w:rPr>
              <w:t>flow</w:t>
            </w:r>
            <w:r>
              <w:rPr>
                <w:rFonts w:ascii="Times New Roman" w:hAnsi="Times New Roman" w:cs="Times New Roman" w:eastAsia="Times New Roman"/>
                <w:b w:val="0"/>
                <w:i w:val="0"/>
                <w:color w:val="000000"/>
                <w:sz w:val="20"/>
              </w:rPr>
              <w:t xml:space="preserve"> dan ekspektasi tidak signifikan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X3, dengan kontra pembanding</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S13</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Kurnia dan Sukarnadi (2023), Indonesia, N tidak diklaim</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Estetika, kemudahan, tantangan, variasi, kebaruan, interaktivitas → kenikmatan → kontinuitas</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interaktivitas dominan arah</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anteseden, dekat MLBB</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S14</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Dewi (2022), Indonesia PUBG Gen Z, N=223</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Kemudahan, kebermanfaatan, sikap, dan kenikmatan → </w:t>
            </w:r>
            <w:r>
              <w:rPr>
                <w:rFonts w:ascii="Times New Roman" w:hAnsi="Times New Roman" w:cs="Times New Roman" w:eastAsia="Times New Roman"/>
                <w:b w:val="0"/>
                <w:i/>
                <w:color w:val="000000"/>
                <w:sz w:val="20"/>
              </w:rPr>
              <w:t>intention to play</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keempatnya</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pembanding genre terdekat</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S15</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Gultom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(2020), Indonesia, N=205</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Kemudahan main, desain, sosial → kenikmatan → kontinuitas</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Kenikmatan signifikan kuat; anteseden campuran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A, dengan nuansa kontra anteseden</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S16</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Ranti dan Setiyaningrum (2022), Indonesia,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intensi langsung dan via sikap merek dan citra</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langsung dan tak langsung</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Pembanding mediasi ganda</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S17</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 xml:space="preserve">Khwaja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(2020), N=342</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Kualitas, kebermanfaatan, risiko, kualitas argumen → kepercayaan → adopsi → intensi</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Positif-signifikan berjenjang</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Pembanding rantai trust–adopsi</w:t>
            </w:r>
          </w:p>
        </w:tc>
      </w:tr>
      <w:tr>
        <w:tc>
          <w:tcPr>
            <w:tcW w:type="dxa" w:w="1587"/>
          </w:tcPr>
          <w:p>
            <w:pPr>
              <w:spacing w:before="40" w:after="40" w:line="240" w:lineRule="auto"/>
              <w:jc w:val="left"/>
            </w:pPr>
            <w:r/>
            <w:r>
              <w:rPr>
                <w:rFonts w:ascii="Times New Roman" w:hAnsi="Times New Roman" w:cs="Times New Roman" w:eastAsia="Times New Roman"/>
                <w:b w:val="0"/>
                <w:i w:val="0"/>
                <w:color w:val="000000"/>
                <w:sz w:val="20"/>
              </w:rPr>
              <w:t>S18</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Dyego dan Oktavianti (2020), Indonesia Jakarta, N=100</w:t>
            </w:r>
          </w:p>
        </w:tc>
        <w:tc>
          <w:tcPr>
            <w:tcW w:type="dxa" w:w="1587"/>
          </w:tcPr>
          <w:p>
            <w:pPr>
              <w:spacing w:before="40" w:after="40" w:line="240" w:lineRule="auto"/>
              <w:jc w:val="left"/>
            </w:pPr>
            <w:r/>
            <w:r>
              <w:rPr>
                <w:rFonts w:ascii="Times New Roman" w:hAnsi="Times New Roman" w:cs="Times New Roman" w:eastAsia="Times New Roman"/>
                <w:b w:val="0"/>
                <w:i/>
                <w:color w:val="000000"/>
                <w:sz w:val="20"/>
              </w:rPr>
              <w:t>eWOM</w:t>
            </w:r>
            <w:r>
              <w:rPr>
                <w:rFonts w:ascii="Times New Roman" w:hAnsi="Times New Roman" w:cs="Times New Roman" w:eastAsia="Times New Roman"/>
                <w:b w:val="0"/>
                <w:i w:val="0"/>
                <w:color w:val="000000"/>
                <w:sz w:val="20"/>
              </w:rPr>
              <w:t xml:space="preserve"> → intensi pembelian</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Positif kuat; objek otomotif, bukan gim</w:t>
            </w:r>
          </w:p>
        </w:tc>
        <w:tc>
          <w:tcPr>
            <w:tcW w:type="dxa" w:w="1587"/>
          </w:tcPr>
          <w:p>
            <w:pPr>
              <w:spacing w:before="40" w:after="40" w:line="240" w:lineRule="auto"/>
              <w:jc w:val="left"/>
            </w:pPr>
            <w:r/>
            <w:r>
              <w:rPr>
                <w:rFonts w:ascii="Times New Roman" w:hAnsi="Times New Roman" w:cs="Times New Roman" w:eastAsia="Times New Roman"/>
                <w:b w:val="0"/>
                <w:i w:val="0"/>
                <w:color w:val="000000"/>
                <w:sz w:val="20"/>
              </w:rPr>
              <w:t>Pembanding efek langsung</w:t>
            </w:r>
          </w:p>
        </w:tc>
      </w:tr>
    </w:tbl>
    <w:p>
      <w:pPr>
        <w:spacing w:before="40" w:after="240" w:line="240" w:lineRule="auto"/>
        <w:jc w:val="left"/>
      </w:pPr>
      <w:r>
        <w:rPr>
          <w:rFonts w:ascii="Times New Roman" w:hAnsi="Times New Roman" w:cs="Times New Roman" w:eastAsia="Times New Roman"/>
          <w:b w:val="0"/>
          <w:i/>
          <w:color w:val="000000"/>
          <w:sz w:val="20"/>
        </w:rPr>
        <w:t>Sumber: Diolah penulis dari LITERATURE_MATRIX.md (S01–S18, S-FEB) (2026).</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Karya dosen FEB UKRIDA yang terverifikasi adalah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terhadap 344 investor muda di Indonesia: kecanggihan investor dan </w:t>
      </w:r>
      <w:r>
        <w:rPr>
          <w:rFonts w:ascii="Times New Roman" w:hAnsi="Times New Roman" w:cs="Times New Roman" w:eastAsia="Times New Roman"/>
          <w:b w:val="0"/>
          <w:i/>
          <w:color w:val="000000"/>
          <w:sz w:val="24"/>
        </w:rPr>
        <w:t>return</w:t>
      </w:r>
      <w:r>
        <w:rPr>
          <w:rFonts w:ascii="Times New Roman" w:hAnsi="Times New Roman" w:cs="Times New Roman" w:eastAsia="Times New Roman"/>
          <w:b w:val="0"/>
          <w:i w:val="0"/>
          <w:color w:val="000000"/>
          <w:sz w:val="24"/>
        </w:rPr>
        <w:t xml:space="preserve"> berpengaruh positif-signifikan terhadap kepuasan, sedangkan pengaruh media sosial hanya tak langsung via </w:t>
      </w:r>
      <w:r>
        <w:rPr>
          <w:rFonts w:ascii="Times New Roman" w:hAnsi="Times New Roman" w:cs="Times New Roman" w:eastAsia="Times New Roman"/>
          <w:b w:val="0"/>
          <w:i/>
          <w:color w:val="000000"/>
          <w:sz w:val="24"/>
        </w:rPr>
        <w:t>return</w:t>
      </w:r>
      <w:r>
        <w:rPr>
          <w:rFonts w:ascii="Times New Roman" w:hAnsi="Times New Roman" w:cs="Times New Roman" w:eastAsia="Times New Roman"/>
          <w:b w:val="0"/>
          <w:i w:val="0"/>
          <w:color w:val="000000"/>
          <w:sz w:val="24"/>
        </w:rPr>
        <w:t xml:space="preserve"> (mediasi penuh). Relevansinya dinyatakan TERBATAS: kedekatan hanya tematik (pengaruh sosial dan subjek muda), bukan bukti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maupun kenikmatan menuju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gim. Karya tersebut dipakai sebagai rujukan tematik generasi muda dan pola mediasi penuh, bukan sebagai landasan utama hipotesis gim. Karya pemasaran FEB yang relevan langsung dengan gim masih TERBUKA dan perlu ditambahkan bila ditemukan.</w:t>
      </w:r>
    </w:p>
    <w:p>
      <w:pPr>
        <w:widowControl/>
        <w:spacing w:line="360" w:lineRule="auto" w:before="0" w:after="0"/>
        <w:ind w:firstLine="709"/>
        <w:jc w:val="both"/>
      </w:pPr>
      <w:r>
        <w:rPr>
          <w:rFonts w:ascii="Times New Roman" w:hAnsi="Times New Roman" w:cs="Times New Roman" w:eastAsia="Times New Roman"/>
          <w:b w:val="0"/>
          <w:i w:val="0"/>
          <w:color w:val="000000"/>
          <w:sz w:val="24"/>
        </w:rPr>
        <w:t>Pola lintas jalur: pengaruh langsung X→Y kerap pecah. X1 pecah oleh sikap, nilai iklan, dan citra merek; X2 pecah oleh kebermanfaatan, adopsi, dan kepercayaan serta perbedaan niat versus keputusan; X3 pecah oleh anteseden gim dan perbedaan hedonik versus utilitarian. Celah tersebut membenarkan model integratif tiga X pada satu Y yang sama, bukan tiga regresi terpisah tanpa mekanisme.</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Status verifikasi 2.2: S01–S09 dan S11–S18 berstatus VERIFIED (judul, jurnal, tahun, DOI/URL hidup cocok menurut LITERATURE_MATRIX.md §8). S10 berstatus VERIFIED parsial dengan DOI UNVERIFIED dan wajib disitir dengan label tersebut. Tidak ada β, p, R², indeks Sinta/Scopus, maupun N tambahan yang diklaim di luar matriks. Daftar penulis lengkap S11 dinyatakan UNVERIFIED-rinci sehingga disitir dengan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N S13 tidak diklaim.</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2.3 Pengembangan Hipotesis</w:t>
      </w:r>
    </w:p>
    <w:p>
      <w:pPr>
        <w:widowControl/>
        <w:spacing w:line="360" w:lineRule="auto" w:before="0" w:after="0"/>
        <w:ind w:firstLine="709"/>
        <w:jc w:val="both"/>
      </w:pPr>
      <w:r>
        <w:rPr>
          <w:rFonts w:ascii="Times New Roman" w:hAnsi="Times New Roman" w:cs="Times New Roman" w:eastAsia="Times New Roman"/>
          <w:b w:val="0"/>
          <w:i w:val="0"/>
          <w:color w:val="000000"/>
          <w:sz w:val="24"/>
        </w:rPr>
        <w:t>Uraian per jalur disusun dari studi relevan beserta variabelnya sebelum pernyataan hipotesis, sesuai format wajib pedoman.</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H1 —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Studi pendukung (Temuan A) menunjukkan kredibilitas tiga dimensi beserta nilai infotainment bekerja melalui nilai iklan atau utilitas menuju intensi (S01, S02, S03). Studi pembatas (Temuan B) menunjukkan pengaruh langsung dapat tidak signifikan tanpa sikap atau citra merek sebagai jembatan (S04, S05). Dengan demikian, pada konteks gim hedonik yang mengandalkan demonstrasi dan figur panutan, kredibilitas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diduga tetap mendorong niat bermain. Hipotesis dirumuskan sebagai proposisi yang diuji, bukan sebagai temuan:</w:t>
      </w:r>
    </w:p>
    <w:p>
      <w:pPr>
        <w:spacing w:line="360" w:lineRule="auto" w:before="0" w:after="0"/>
        <w:ind w:firstLine="709"/>
        <w:jc w:val="both"/>
      </w:pPr>
      <w:r>
        <w:rPr>
          <w:rFonts w:ascii="Times New Roman" w:hAnsi="Times New Roman" w:cs="Times New Roman" w:eastAsia="Times New Roman"/>
          <w:b/>
          <w:i w:val="0"/>
          <w:color w:val="000000"/>
          <w:sz w:val="24"/>
        </w:rPr>
        <w:t>H1:</w:t>
      </w:r>
      <w:r>
        <w:rPr>
          <w:rFonts w:ascii="Times New Roman" w:hAnsi="Times New Roman" w:cs="Times New Roman" w:eastAsia="Times New Roman"/>
          <w:b w:val="0"/>
          <w:i w:val="0"/>
          <w:color w:val="000000"/>
          <w:sz w:val="24"/>
        </w:rPr>
        <w:t xml:space="preserve"> Variabel X1 (</w:t>
      </w:r>
      <w:r>
        <w:rPr>
          <w:rFonts w:ascii="Times New Roman" w:hAnsi="Times New Roman" w:cs="Times New Roman" w:eastAsia="Times New Roman"/>
          <w:b w:val="0"/>
          <w:i/>
          <w:color w:val="000000"/>
          <w:sz w:val="24"/>
        </w:rPr>
        <w:t>influencer marketing</w:t>
      </w:r>
      <w:r>
        <w:rPr>
          <w:rFonts w:ascii="Times New Roman" w:hAnsi="Times New Roman" w:cs="Times New Roman" w:eastAsia="Times New Roman"/>
          <w:b w:val="0"/>
          <w:i w:val="0"/>
          <w:color w:val="000000"/>
          <w:sz w:val="24"/>
        </w:rPr>
        <w:t>)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H2 —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Studi pendukung menunjukkan kualitas dan kredibilitas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bekerja melalui kebermanfaatan dan adopsi menuju intensi (S06, S07, S09), diperkuat rantai kepercayaan–adopsi (S17) dan mediasi sikap–citra (S16, S18). Studi pembatas menunjukkan kredibilitas saja tidak cukup bagi Gen Z tanpa kualitas, kuantitas, dan kesesuaian kebutuhan (S08), serta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berhenti pada niat tanpa berlanjut ke keputusan (S10). Pada Mobile Legends yang keputusan memainkannya berisiko rendah tetapi sarat informasi komunitas,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yang berkualitas diduga memperkuat niat. Pernyataan uji:</w:t>
      </w:r>
    </w:p>
    <w:p>
      <w:pPr>
        <w:spacing w:line="360" w:lineRule="auto" w:before="0" w:after="0"/>
        <w:ind w:firstLine="709"/>
        <w:jc w:val="both"/>
      </w:pPr>
      <w:r>
        <w:rPr>
          <w:rFonts w:ascii="Times New Roman" w:hAnsi="Times New Roman" w:cs="Times New Roman" w:eastAsia="Times New Roman"/>
          <w:b/>
          <w:i w:val="0"/>
          <w:color w:val="000000"/>
          <w:sz w:val="24"/>
        </w:rPr>
        <w:t>H2:</w:t>
      </w:r>
      <w:r>
        <w:rPr>
          <w:rFonts w:ascii="Times New Roman" w:hAnsi="Times New Roman" w:cs="Times New Roman" w:eastAsia="Times New Roman"/>
          <w:b w:val="0"/>
          <w:i w:val="0"/>
          <w:color w:val="000000"/>
          <w:sz w:val="24"/>
        </w:rPr>
        <w:t xml:space="preserve"> Variabel X2 (</w:t>
      </w:r>
      <w:r>
        <w:rPr>
          <w:rFonts w:ascii="Times New Roman" w:hAnsi="Times New Roman" w:cs="Times New Roman" w:eastAsia="Times New Roman"/>
          <w:b w:val="0"/>
          <w:i/>
          <w:color w:val="000000"/>
          <w:sz w:val="24"/>
        </w:rPr>
        <w:t>electronic word-of-mouth</w:t>
      </w:r>
      <w:r>
        <w:rPr>
          <w:rFonts w:ascii="Times New Roman" w:hAnsi="Times New Roman" w:cs="Times New Roman" w:eastAsia="Times New Roman"/>
          <w:b w:val="0"/>
          <w:i w:val="0"/>
          <w:color w:val="000000"/>
          <w:sz w:val="24"/>
        </w:rPr>
        <w:t>)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H3 —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Studi pendukung menunjukkan kenikmatan beserta anteseden interaktivitas, kebaruan, tantangan, dan estetika menggerakkan intensi dan kontinuitas gim (S12, S13, S14, S15). Studi pembatas menunjukkan kenikmatan tidak otomatis menjadi kebermanfaatan atau sikap, sedangkan kebermanfaatan, sikap, dan </w:t>
      </w:r>
      <w:r>
        <w:rPr>
          <w:rFonts w:ascii="Times New Roman" w:hAnsi="Times New Roman" w:cs="Times New Roman" w:eastAsia="Times New Roman"/>
          <w:b w:val="0"/>
          <w:i/>
          <w:color w:val="000000"/>
          <w:sz w:val="24"/>
        </w:rPr>
        <w:t>flow</w:t>
      </w:r>
      <w:r>
        <w:rPr>
          <w:rFonts w:ascii="Times New Roman" w:hAnsi="Times New Roman" w:cs="Times New Roman" w:eastAsia="Times New Roman"/>
          <w:b w:val="0"/>
          <w:i w:val="0"/>
          <w:color w:val="000000"/>
          <w:sz w:val="24"/>
        </w:rPr>
        <w:t xml:space="preserve"> yang langsung menggerakkan intensi pada konteks tertentu (S11). Karena Mobile Legends merupakan sistem hedonik yang dimainkan demi kesenangan itu sendiri, kenikmatan intrinsik diduga mendorong niat bermain dan dipisahkan tegas dari kebermanfaatan. Pernyataan uji:</w:t>
      </w:r>
    </w:p>
    <w:p>
      <w:pPr>
        <w:spacing w:line="360" w:lineRule="auto" w:before="0" w:after="0"/>
        <w:ind w:firstLine="709"/>
        <w:jc w:val="both"/>
      </w:pPr>
      <w:r>
        <w:rPr>
          <w:rFonts w:ascii="Times New Roman" w:hAnsi="Times New Roman" w:cs="Times New Roman" w:eastAsia="Times New Roman"/>
          <w:b/>
          <w:i w:val="0"/>
          <w:color w:val="000000"/>
          <w:sz w:val="24"/>
        </w:rPr>
        <w:t>H3:</w:t>
      </w:r>
      <w:r>
        <w:rPr>
          <w:rFonts w:ascii="Times New Roman" w:hAnsi="Times New Roman" w:cs="Times New Roman" w:eastAsia="Times New Roman"/>
          <w:b w:val="0"/>
          <w:i w:val="0"/>
          <w:color w:val="000000"/>
          <w:sz w:val="24"/>
        </w:rPr>
        <w:t xml:space="preserve"> Variabel X3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berpengaruh positif terhadap variabel Y (</w:t>
      </w:r>
      <w:r>
        <w:rPr>
          <w:rFonts w:ascii="Times New Roman" w:hAnsi="Times New Roman" w:cs="Times New Roman" w:eastAsia="Times New Roman"/>
          <w:b w:val="0"/>
          <w:i/>
          <w:color w:val="000000"/>
          <w:sz w:val="24"/>
        </w:rPr>
        <w:t>intention to play</w:t>
      </w:r>
      <w:r>
        <w:rPr>
          <w:rFonts w:ascii="Times New Roman" w:hAnsi="Times New Roman" w:cs="Times New Roman" w:eastAsia="Times New Roman"/>
          <w:b w:val="0"/>
          <w:i w:val="0"/>
          <w:color w:val="000000"/>
          <w:sz w:val="24"/>
        </w:rPr>
        <w:t xml:space="preserve">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Seluruh hipotesis berstatus proposisi uji arah positif (H1: b1 &gt; 0, H2: b2 &gt; 0, H3: b3 &gt; 0). Pembuktian menunggu Bab III–IV (uji validitas, reliabilitas, asumsi klasik, dan uji hipotesis dengan perangkat lunak bernama).</w:t>
      </w:r>
    </w:p>
    <w:p>
      <w:pPr>
        <w:widowControl/>
        <w:spacing w:line="360" w:lineRule="auto" w:before="0" w:after="0"/>
        <w:ind w:firstLine="709"/>
        <w:jc w:val="both"/>
      </w:pPr>
      <w:r>
        <w:rPr>
          <w:rFonts w:ascii="Times New Roman" w:hAnsi="Times New Roman" w:cs="Times New Roman" w:eastAsia="Times New Roman"/>
          <w:b w:val="0"/>
          <w:i w:val="0"/>
          <w:color w:val="000000"/>
          <w:sz w:val="24"/>
        </w:rPr>
        <w:t>Status verifikasi 2.3: format H1–H3 mengikuti template wajib H: X berpengaruh positif terhadap Y. Uraian studi relevan mendahului setiap pernyataan. Tidak ada klaim signifikansi, besaran pengaruh, maupun mediasi yang diuji pada studi ini. S10 disitir dengan label DOI UNVERIFIED.</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2.4 Rerangka Penelitian</w:t>
      </w:r>
    </w:p>
    <w:p>
      <w:pPr>
        <w:widowControl/>
        <w:spacing w:line="360" w:lineRule="auto" w:before="0" w:after="0"/>
        <w:ind w:firstLine="709"/>
        <w:jc w:val="both"/>
      </w:pPr>
      <w:r>
        <w:rPr>
          <w:rFonts w:ascii="Times New Roman" w:hAnsi="Times New Roman" w:cs="Times New Roman" w:eastAsia="Times New Roman"/>
          <w:b w:val="0"/>
          <w:i w:val="0"/>
          <w:color w:val="000000"/>
          <w:sz w:val="24"/>
        </w:rPr>
        <w:t>Rerangka berupa bagan hubungan antarvariabel termasuk hipotesisnya, tanpa mediator maupun moderator (model pengaruh langsung).</w:t>
      </w:r>
    </w:p>
    <w:p>
      <w:pPr>
        <w:spacing w:before="240" w:after="40"/>
        <w:ind w:firstLine="0"/>
        <w:jc w:val="center"/>
      </w:pPr>
      <w:r>
        <w:drawing>
          <wp:inline xmlns:a="http://schemas.openxmlformats.org/drawingml/2006/main" xmlns:pic="http://schemas.openxmlformats.org/drawingml/2006/picture">
            <wp:extent cx="5040000" cy="2246138"/>
            <wp:docPr id="2" name="Picture 2"/>
            <wp:cNvGraphicFramePr>
              <a:graphicFrameLocks noChangeAspect="1"/>
            </wp:cNvGraphicFramePr>
            <a:graphic>
              <a:graphicData uri="http://schemas.openxmlformats.org/drawingml/2006/picture">
                <pic:pic>
                  <pic:nvPicPr>
                    <pic:cNvPr id="0" name="fig_rerangka_21.png"/>
                    <pic:cNvPicPr/>
                  </pic:nvPicPr>
                  <pic:blipFill>
                    <a:blip r:embed="rId16"/>
                    <a:stretch>
                      <a:fillRect/>
                    </a:stretch>
                  </pic:blipFill>
                  <pic:spPr>
                    <a:xfrm>
                      <a:off x="0" y="0"/>
                      <a:ext cx="5040000" cy="2246138"/>
                    </a:xfrm>
                    <a:prstGeom prst="rect"/>
                  </pic:spPr>
                </pic:pic>
              </a:graphicData>
            </a:graphic>
          </wp:inline>
        </w:drawing>
      </w:r>
    </w:p>
    <w:p>
      <w:pPr>
        <w:spacing w:before="240" w:after="120" w:line="240" w:lineRule="auto"/>
        <w:jc w:val="center"/>
      </w:pPr>
      <w:r>
        <w:rPr>
          <w:rFonts w:ascii="Times New Roman" w:hAnsi="Times New Roman" w:cs="Times New Roman" w:eastAsia="Times New Roman"/>
          <w:b/>
          <w:i w:val="0"/>
          <w:color w:val="000000"/>
          <w:sz w:val="22"/>
        </w:rPr>
        <w:t>Gambar 2.1 Model Rerangka Konseptual Penelitian</w:t>
      </w:r>
    </w:p>
    <w:p>
      <w:pPr>
        <w:spacing w:before="40" w:after="240" w:line="240" w:lineRule="auto"/>
        <w:jc w:val="center"/>
      </w:pPr>
      <w:r>
        <w:rPr>
          <w:rFonts w:ascii="Times New Roman" w:hAnsi="Times New Roman" w:cs="Times New Roman" w:eastAsia="Times New Roman"/>
          <w:b w:val="0"/>
          <w:i/>
          <w:color w:val="000000"/>
          <w:sz w:val="20"/>
        </w:rPr>
        <w:t>Sumber: Diolah penulis (2026).</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Deskripsi: X1 memotret sisi persuasif (apakah </w:t>
      </w:r>
      <w:r>
        <w:rPr>
          <w:rFonts w:ascii="Times New Roman" w:hAnsi="Times New Roman" w:cs="Times New Roman" w:eastAsia="Times New Roman"/>
          <w:b w:val="0"/>
          <w:i/>
          <w:color w:val="000000"/>
          <w:sz w:val="24"/>
        </w:rPr>
        <w:t>influencer</w:t>
      </w:r>
      <w:r>
        <w:rPr>
          <w:rFonts w:ascii="Times New Roman" w:hAnsi="Times New Roman" w:cs="Times New Roman" w:eastAsia="Times New Roman"/>
          <w:b w:val="0"/>
          <w:i w:val="0"/>
          <w:color w:val="000000"/>
          <w:sz w:val="24"/>
        </w:rPr>
        <w:t xml:space="preserve"> dipersepsi ahli, jujur, dan menarik); X2 memotret sisi informasional (apakah ulasan komunitas dibaca, dinilai berkualitas, dan diadopsi); X3 memotret sisi hedonik (apakah bermain itu sendiri menyenangkan). Ketiganya diduga menggerakkan Y, yaitu niat memainkan kembali Mobile Legends dalam horizon waktu yang sama pada seluruh butir (prinsip TACT). H1–H3 menguji pengaruh masing-masing variabel independen (X1, X2, X3) secara langsung terhadap variabel dependen (Y). Mediasi melalui sikap, nilai iklan, kebermanfaatan, adopsi, atau kepercayaan dicatat sebagai agenda pengembangan (merujuk S05, S01, S06–S08, S17), bukan sebagai jalur yang diuji pada model usulan.</w:t>
      </w:r>
    </w:p>
    <w:p>
      <w:pPr>
        <w:widowControl/>
        <w:spacing w:line="360" w:lineRule="auto" w:before="0" w:after="0"/>
        <w:ind w:firstLine="709"/>
        <w:jc w:val="both"/>
      </w:pPr>
      <w:r>
        <w:rPr>
          <w:rFonts w:ascii="Times New Roman" w:hAnsi="Times New Roman" w:cs="Times New Roman" w:eastAsia="Times New Roman"/>
          <w:b w:val="0"/>
          <w:i w:val="0"/>
          <w:color w:val="000000"/>
          <w:sz w:val="24"/>
        </w:rPr>
        <w:t>Status verifikasi 2.4: bagan berstatus PROPOSED direct-effect dan konsisten dengan H1–H3 serta persamaan Bab III (Opsi A regresi atau Opsi B SEM, menunggu kunci pembimbing). Tidak ada variabel, panah, maupun interaksi tambahan yang diklaim.</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Catatan Kecukupan Acuan dan Daftar Acuan Sementara Bab II</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Kebutuhan pedoman: minimal 20 acuan; bahan berupa artikel jurnal, tesis, atau disertasi lima tahun terakhir ditambah </w:t>
      </w:r>
      <w:r>
        <w:rPr>
          <w:rFonts w:ascii="Times New Roman" w:hAnsi="Times New Roman" w:cs="Times New Roman" w:eastAsia="Times New Roman"/>
          <w:b w:val="0"/>
          <w:i/>
          <w:color w:val="000000"/>
          <w:sz w:val="24"/>
        </w:rPr>
        <w:t>textbook</w:t>
      </w:r>
      <w:r>
        <w:rPr>
          <w:rFonts w:ascii="Times New Roman" w:hAnsi="Times New Roman" w:cs="Times New Roman" w:eastAsia="Times New Roman"/>
          <w:b w:val="0"/>
          <w:i w:val="0"/>
          <w:color w:val="000000"/>
          <w:sz w:val="24"/>
        </w:rPr>
        <w:t xml:space="preserve"> edisi terbaru; skripsi DILARANG; minimal lima jurnal Sinta/internasional; wajib sitasi karya dosen FEB UKRIDA yang relevan dengan topik. Draf ini memakai 12 acuan teori inti ditambah 18 studi primer matriks ditambah satu karya FEB (total 31 entri unik), sehingga syarat jumlah terpenuhi secara hitungan. Kekurangan yang wajib dilengkapi sebelum seminar: (1) verifikasi full-text tiap studi yang akan disitir final; (2) satu slot pembanding Y keempat masih TERBUKA menurut matriks; (3) karya pemasaran FEB yang relevan langsung dengan gim masih TERBUKA —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hanya tematik sehingga perlu ditambah karya pemasaran bila tersedia; (4) </w:t>
      </w:r>
      <w:r>
        <w:rPr>
          <w:rFonts w:ascii="Times New Roman" w:hAnsi="Times New Roman" w:cs="Times New Roman" w:eastAsia="Times New Roman"/>
          <w:b w:val="0"/>
          <w:i/>
          <w:color w:val="000000"/>
          <w:sz w:val="24"/>
        </w:rPr>
        <w:t>textbook</w:t>
      </w:r>
      <w:r>
        <w:rPr>
          <w:rFonts w:ascii="Times New Roman" w:hAnsi="Times New Roman" w:cs="Times New Roman" w:eastAsia="Times New Roman"/>
          <w:b w:val="0"/>
          <w:i w:val="0"/>
          <w:color w:val="000000"/>
          <w:sz w:val="24"/>
        </w:rPr>
        <w:t xml:space="preserve"> edisi terbaru untuk definisi umum pemasaran/perilaku konsumen perlu ditambahkan; (5) contoh redaksi skala final mengikuti KONSTRUK_SKALA.md dan diuji pilot.</w:t>
      </w:r>
    </w:p>
    <w:p>
      <w:pPr>
        <w:widowControl/>
        <w:spacing w:line="360" w:lineRule="auto" w:before="0" w:after="0"/>
        <w:ind w:firstLine="709"/>
        <w:jc w:val="both"/>
      </w:pPr>
      <w:r>
        <w:rPr>
          <w:rFonts w:ascii="Times New Roman" w:hAnsi="Times New Roman" w:cs="Times New Roman" w:eastAsia="Times New Roman"/>
          <w:b w:val="0"/>
          <w:i w:val="0"/>
          <w:color w:val="000000"/>
          <w:sz w:val="24"/>
        </w:rPr>
        <w:t>Daftar sementara (format APA ringkas; DOI/URL lengkap merujuk LITERATURE_MATRIX.md §8 dan KONSTRUK_SKALA.md §8, tidak disalin ulang untuk menghindari salah kutip):</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Teori inti: Ohanian (1990); Ajzen (1991) dan panduan TPB UMass; Venkatesh (2000); Venkatesh dan Bala (2008); Venkatesh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(2003); Davis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(1992); van der Heijden (2004); Hsu dan Lu (2004); Bambauer-Sachse dan Mangold (2011); Fan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(2013); Park dan Lee (2008); Cheung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(2008).</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Studi primer: Octaviani dan Hartono (2023) [S01]; Weismueller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[S02]; Bevan-Dye dan Motaung (2023) [S03]; Putri dan Tiarawati (2021) [S04]; Maghfiroh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(2025) [S05]; Rahaman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[S06]; Leong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(2022) [S07]; Ngo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[S08]; Winarno dan Indrawati (2022) [S09]; Sastri dan Harsoyo (2023) [S10, DOI UNVERIFIED]; Pérez de Prado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[S11, penulis lengkap UNVERIFIED-rinci]; Bongso dan Dewi (2021) [S12]; Kurnia dan Sukarnadi (2023) [S13, N tidak diklaim]; Dewi (2022) [S14]; Gultom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[S15]; Ranti dan Setiyaningrum (2022) [S16]; Khwaja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(2020) [S17]; Dyego dan Oktavianti (2020) [S18].</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Karya FEB UKRIDA: Colline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(2024) [S-FEB, relevansi terbatas, tematik generasi muda dan pengaruh sosial].</w:t>
      </w:r>
    </w:p>
    <w:p>
      <w:pPr>
        <w:pStyle w:val="Heading1"/>
        <w:jc w:val="center"/>
      </w:pPr>
      <w:r>
        <w:rPr>
          <w:rFonts w:ascii="Times New Roman" w:hAnsi="Times New Roman" w:cs="Times New Roman" w:eastAsia="Times New Roman"/>
          <w:b/>
          <w:i w:val="0"/>
          <w:color w:val="000000"/>
          <w:sz w:val="24"/>
        </w:rPr>
        <w:t>BAB III</w:t>
      </w:r>
      <w:r>
        <w:br/>
      </w:r>
      <w:r>
        <w:rPr>
          <w:rFonts w:ascii="Times New Roman" w:hAnsi="Times New Roman" w:cs="Times New Roman" w:eastAsia="Times New Roman"/>
          <w:b/>
          <w:i w:val="0"/>
          <w:color w:val="000000"/>
          <w:sz w:val="24"/>
        </w:rPr>
        <w:t>METODE PENELITIAN</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3.1 Jenis dan Sumber Data</w:t>
      </w:r>
    </w:p>
    <w:p>
      <w:pPr>
        <w:widowControl/>
        <w:spacing w:line="360" w:lineRule="auto" w:before="0" w:after="0"/>
        <w:ind w:firstLine="709"/>
        <w:jc w:val="both"/>
      </w:pPr>
      <w:r>
        <w:rPr>
          <w:rFonts w:ascii="Times New Roman" w:hAnsi="Times New Roman" w:cs="Times New Roman" w:eastAsia="Times New Roman"/>
          <w:b w:val="0"/>
          <w:i w:val="0"/>
          <w:color w:val="000000"/>
          <w:sz w:val="24"/>
        </w:rPr>
        <w:t>Jenis data yang digunakan dalam penelitian ini adalah data kuantitatif. Data kuantitatif berupa skor tanggapan responden atas kuesioner terstruktur yang mengukur variabel Influencer Marketing (X1), Electronic Word-of-Mouth (X2), Perceived Enjoyment (X3), dan Intention to Play (Y) pada konteks permainan Mobile Legends.</w:t>
      </w:r>
    </w:p>
    <w:p>
      <w:pPr>
        <w:widowControl/>
        <w:spacing w:line="360" w:lineRule="auto" w:before="0" w:after="0"/>
        <w:ind w:firstLine="709"/>
        <w:jc w:val="both"/>
      </w:pPr>
      <w:r>
        <w:rPr>
          <w:rFonts w:ascii="Times New Roman" w:hAnsi="Times New Roman" w:cs="Times New Roman" w:eastAsia="Times New Roman"/>
          <w:b w:val="0"/>
          <w:i w:val="0"/>
          <w:color w:val="000000"/>
          <w:sz w:val="24"/>
        </w:rPr>
        <w:t>Sumber data terdiri atas:</w:t>
      </w:r>
    </w:p>
    <w:p>
      <w:pPr>
        <w:spacing w:line="360" w:lineRule="auto" w:before="0" w:after="0"/>
        <w:ind w:left="709" w:hanging="227"/>
        <w:jc w:val="both"/>
      </w:pPr>
      <w:r>
        <w:rPr>
          <w:rFonts w:ascii="Times New Roman" w:hAnsi="Times New Roman" w:cs="Times New Roman" w:eastAsia="Times New Roman"/>
          <w:b w:val="0"/>
          <w:i w:val="0"/>
          <w:color w:val="000000"/>
          <w:sz w:val="24"/>
        </w:rPr>
        <w:t>1. Data primer. Data primer diperoleh langsung dari responden Generasi Z di Indonesia melalui kuesioner daring (Google Forms). Kuesioner merupakan instrumen utama pengumpulan data, sesuai karakteristik Model B kuantitatif primer. Status instrumen: OPEN — kuesioner rinci (butir final, tata letak Google Forms, prosedur sebar) disusun setelah operasionalisasi pada Subbab 3.4 dikunci pembimbing.</w:t>
      </w:r>
    </w:p>
    <w:p>
      <w:pPr>
        <w:spacing w:line="360" w:lineRule="auto" w:before="0" w:after="0"/>
        <w:ind w:left="709" w:hanging="227"/>
        <w:jc w:val="both"/>
      </w:pPr>
      <w:r>
        <w:rPr>
          <w:rFonts w:ascii="Times New Roman" w:hAnsi="Times New Roman" w:cs="Times New Roman" w:eastAsia="Times New Roman"/>
          <w:b w:val="0"/>
          <w:i w:val="0"/>
          <w:color w:val="000000"/>
          <w:sz w:val="24"/>
        </w:rPr>
        <w:t>2. Data sekunder. Data sekunder digunakan terbatas sebagai konteks (gambaran objek/konteks Mobile Legends dan populasi Generasi Z Indonesia), bukan sebagai dasar pengujian hipotesis. Setiap angka konteks wajib merujuk sumber terverifikasi pada Evidence Ledger; tanpa sumber terverifikasi, angka tidak ditulis sebagai fakta.</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Periode data penelitian meliputi data tahun 20xx </w:t>
      </w:r>
      <w:r>
        <w:rPr>
          <w:rFonts w:ascii="Times New Roman" w:hAnsi="Times New Roman" w:cs="Times New Roman" w:eastAsia="Times New Roman"/>
          <w:b/>
          <w:i w:val="0"/>
          <w:color w:val="000000"/>
          <w:sz w:val="24"/>
        </w:rPr>
        <w:t>[OPEN — diisi tahun riil setelah pengumpulan data selesai; DILARANG mengarang tahun]</w:t>
      </w:r>
      <w:r>
        <w:rPr>
          <w:rFonts w:ascii="Times New Roman" w:hAnsi="Times New Roman" w:cs="Times New Roman" w:eastAsia="Times New Roman"/>
          <w:b w:val="0"/>
          <w:i w:val="0"/>
          <w:color w:val="000000"/>
          <w:sz w:val="24"/>
        </w:rPr>
        <w:t>.</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3.2 Populasi dan Sampel</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a. Identifikasi populasi</w:t>
      </w:r>
    </w:p>
    <w:p>
      <w:pPr>
        <w:widowControl/>
        <w:spacing w:line="360" w:lineRule="auto" w:before="0" w:after="0"/>
        <w:ind w:firstLine="709"/>
        <w:jc w:val="both"/>
      </w:pPr>
      <w:r>
        <w:rPr>
          <w:rFonts w:ascii="Times New Roman" w:hAnsi="Times New Roman" w:cs="Times New Roman" w:eastAsia="Times New Roman"/>
          <w:b w:val="0"/>
          <w:i w:val="0"/>
          <w:color w:val="000000"/>
          <w:sz w:val="24"/>
        </w:rPr>
        <w:t>Populasi penelitian ini adalah Generasi Z di Indonesia yang terpapar konteks permainan Mobile Legends. Penetapan populasi mengikuti judul penelitian yang terkunci pada Source of Truth (V06, VERIFIED sebagai label).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Kriteria inklusi responden ditetapkan sebagai berikut </w:t>
      </w:r>
      <w:r>
        <w:rPr>
          <w:rFonts w:ascii="Times New Roman" w:hAnsi="Times New Roman" w:cs="Times New Roman" w:eastAsia="Times New Roman"/>
          <w:b/>
          <w:i w:val="0"/>
          <w:color w:val="000000"/>
          <w:sz w:val="24"/>
        </w:rPr>
        <w:t>[OPEN — diisi setelah kunci P06 dan persetujuan pembimbing; DILARANG mengarang rentang lahir/angka]</w:t>
      </w:r>
      <w:r>
        <w:rPr>
          <w:rFonts w:ascii="Times New Roman" w:hAnsi="Times New Roman" w:cs="Times New Roman" w:eastAsia="Times New Roman"/>
          <w:b w:val="0"/>
          <w:i w:val="0"/>
          <w:color w:val="000000"/>
          <w:sz w:val="24"/>
        </w:rPr>
        <w:t>:</w:t>
      </w:r>
    </w:p>
    <w:p>
      <w:pPr>
        <w:spacing w:line="360" w:lineRule="auto" w:before="0" w:after="0"/>
        <w:ind w:left="709" w:hanging="227"/>
        <w:jc w:val="both"/>
      </w:pPr>
      <w:r>
        <w:rPr>
          <w:rFonts w:ascii="Times New Roman" w:hAnsi="Times New Roman" w:cs="Times New Roman" w:eastAsia="Times New Roman"/>
          <w:b w:val="0"/>
          <w:i w:val="0"/>
          <w:color w:val="000000"/>
          <w:sz w:val="24"/>
        </w:rPr>
        <w:t>1. Termasuk kohort Generasi Z (rentang tahun lahir: OPEN — ditetapkan mengacu definisi kohort yang dikutip eksplisit).</w:t>
      </w:r>
    </w:p>
    <w:p>
      <w:pPr>
        <w:spacing w:line="360" w:lineRule="auto" w:before="0" w:after="0"/>
        <w:ind w:left="709" w:hanging="227"/>
        <w:jc w:val="both"/>
      </w:pPr>
      <w:r>
        <w:rPr>
          <w:rFonts w:ascii="Times New Roman" w:hAnsi="Times New Roman" w:cs="Times New Roman" w:eastAsia="Times New Roman"/>
          <w:b w:val="0"/>
          <w:i w:val="0"/>
          <w:color w:val="000000"/>
          <w:sz w:val="24"/>
        </w:rPr>
        <w:t>2. Berdomisili di Indonesia (cakupan nasional; kota/kanal spesifik: OPEN).</w:t>
      </w:r>
    </w:p>
    <w:p>
      <w:pPr>
        <w:spacing w:line="360" w:lineRule="auto" w:before="0" w:after="0"/>
        <w:ind w:left="709" w:hanging="227"/>
        <w:jc w:val="both"/>
      </w:pPr>
      <w:r>
        <w:rPr>
          <w:rFonts w:ascii="Times New Roman" w:hAnsi="Times New Roman" w:cs="Times New Roman" w:eastAsia="Times New Roman"/>
          <w:b w:val="0"/>
          <w:i w:val="0"/>
          <w:color w:val="000000"/>
          <w:sz w:val="24"/>
        </w:rPr>
        <w:t>3. Kriteria keterpaparan terhadap Mobile Legends (misalnya pernah/memainkan aktif/mengetahui permainan: OPEN — ditetapkan satu kriteria yang dapat diverifikasi melalui pertanyaan saring pada kuesioner).</w:t>
      </w:r>
    </w:p>
    <w:p>
      <w:pPr>
        <w:spacing w:line="360" w:lineRule="auto" w:before="0" w:after="0"/>
        <w:ind w:left="709" w:hanging="227"/>
        <w:jc w:val="both"/>
      </w:pPr>
      <w:r>
        <w:rPr>
          <w:rFonts w:ascii="Times New Roman" w:hAnsi="Times New Roman" w:cs="Times New Roman" w:eastAsia="Times New Roman"/>
          <w:b w:val="0"/>
          <w:i w:val="0"/>
          <w:color w:val="000000"/>
          <w:sz w:val="24"/>
        </w:rPr>
        <w:t>4. Kriteria tambahan bila diperlukan pembimbing (misalnya usia minimal, persetujuan informed consent: OPEN).</w:t>
      </w:r>
    </w:p>
    <w:p>
      <w:pPr>
        <w:widowControl/>
        <w:spacing w:line="360" w:lineRule="auto" w:before="0" w:after="0"/>
        <w:ind w:firstLine="709"/>
        <w:jc w:val="both"/>
      </w:pPr>
      <w:r>
        <w:rPr>
          <w:rFonts w:ascii="Times New Roman" w:hAnsi="Times New Roman" w:cs="Times New Roman" w:eastAsia="Times New Roman"/>
          <w:b w:val="0"/>
          <w:i w:val="0"/>
          <w:color w:val="000000"/>
          <w:sz w:val="24"/>
        </w:rPr>
        <w:t>Karakteristik populasi dirumuskan secara akurat agar sampel yang diambil dapat ditentukan, sesuai ketentuan pedoman bahwa sampel harus representatif dan perbedaan sampel dari populasi memperbesar kekeliruan generalisasi.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b. Prosedur dan teknik pengambilan sampel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Usulan teknik pengambilan sampel adalah non-probabilitas dengan purposive sampling, yaitu pemilihan responden berdasarkan kesesuaian dengan kriteria inklusi pada huruf a di atas. Status: </w:t>
      </w:r>
      <w:r>
        <w:rPr>
          <w:rFonts w:ascii="Times New Roman" w:hAnsi="Times New Roman" w:cs="Times New Roman" w:eastAsia="Times New Roman"/>
          <w:b/>
          <w:i w:val="0"/>
          <w:color w:val="000000"/>
          <w:sz w:val="24"/>
        </w:rPr>
        <w:t>PROPOSED — usulan penulis, menunggu persetujuan pembimbing (P06 OPEN)</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Justifikasi usulan: kerangka sampling (daftar lengkap seluruh Generasi Z pemain Mobile Legends di Indonesia) tidak tersedia, sehingga penarikan acak berpeluang sama tidak dapat dilaksanakan secara kredibel. Konsekuensi metodis dinyatakan eksplisit: hasil hanya digeneralisasikan secara analitis pada karakteristik sampel yang memenuhi kriteria inklusi; generalisasi ke seluruh Generasi Z Indonesia, generasi lain, negara lain, atau permainan lain tidak diklaim. Keterbatasan ini dilaporkan apa adanya pada Bab 5 dan tidak disembunyikan.</w:t>
      </w:r>
    </w:p>
    <w:p>
      <w:pPr>
        <w:widowControl/>
        <w:spacing w:line="360" w:lineRule="auto" w:before="0" w:after="0"/>
        <w:ind w:firstLine="709"/>
        <w:jc w:val="both"/>
      </w:pPr>
      <w:r>
        <w:rPr>
          <w:rFonts w:ascii="Times New Roman" w:hAnsi="Times New Roman" w:cs="Times New Roman" w:eastAsia="Times New Roman"/>
          <w:b w:val="0"/>
          <w:i w:val="0"/>
          <w:color w:val="000000"/>
          <w:sz w:val="24"/>
        </w:rPr>
        <w:t>Prosedur sebar (tautan Google Forms, kanal distribusi, periode survei, pertanyaan saring, informed consent): OPEN — ditetapkan setelah teknik final dikunci.</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c. Besarnya sampel</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Besarnya sampel final yang dipakai: </w:t>
      </w:r>
      <w:r>
        <w:rPr>
          <w:rFonts w:ascii="Times New Roman" w:hAnsi="Times New Roman" w:cs="Times New Roman" w:eastAsia="Times New Roman"/>
          <w:b/>
          <w:i w:val="0"/>
          <w:color w:val="000000"/>
          <w:sz w:val="24"/>
        </w:rPr>
        <w:t>[OPEN — N TIDAK ditetapkan pada draf ini; DILARANG mengarang N maupun rumus sampling final]</w:t>
      </w:r>
      <w:r>
        <w:rPr>
          <w:rFonts w:ascii="Times New Roman" w:hAnsi="Times New Roman" w:cs="Times New Roman" w:eastAsia="Times New Roman"/>
          <w:b w:val="0"/>
          <w:i w:val="0"/>
          <w:color w:val="000000"/>
          <w:sz w:val="24"/>
        </w:rPr>
        <w:t>.</w:t>
      </w:r>
    </w:p>
    <w:p>
      <w:pPr>
        <w:widowControl/>
        <w:spacing w:line="360" w:lineRule="auto" w:before="0" w:after="0"/>
        <w:ind w:firstLine="709"/>
        <w:jc w:val="both"/>
      </w:pPr>
      <w:r>
        <w:rPr>
          <w:rFonts w:ascii="Times New Roman" w:hAnsi="Times New Roman" w:cs="Times New Roman" w:eastAsia="Times New Roman"/>
          <w:b w:val="0"/>
          <w:i w:val="0"/>
          <w:color w:val="000000"/>
          <w:sz w:val="24"/>
        </w:rPr>
        <w:t>Sebagai bahan keputusan pembimbing, tiga opsi kaidah penentuan ukuran sampel diajukan sebagai opsi (bukan keputusan):</w:t>
      </w:r>
    </w:p>
    <w:p>
      <w:pPr>
        <w:spacing w:line="360" w:lineRule="auto" w:before="0" w:after="0"/>
        <w:ind w:left="709" w:hanging="227"/>
        <w:jc w:val="both"/>
      </w:pPr>
      <w:r>
        <w:rPr>
          <w:rFonts w:ascii="Times New Roman" w:hAnsi="Times New Roman" w:cs="Times New Roman" w:eastAsia="Times New Roman"/>
          <w:b w:val="0"/>
          <w:i w:val="0"/>
          <w:color w:val="000000"/>
          <w:sz w:val="24"/>
        </w:rPr>
        <w:t>1. Opsi kaidah Green (regresi berganda). Kaidah praktis untuk pengujian koefisien regresi dan daya uji model; dipakai bila Opsi A (SPSS regresi) dipilih.</w:t>
      </w:r>
    </w:p>
    <w:p>
      <w:pPr>
        <w:spacing w:line="360" w:lineRule="auto" w:before="0" w:after="0"/>
        <w:ind w:left="709" w:hanging="227"/>
        <w:jc w:val="both"/>
      </w:pPr>
      <w:r>
        <w:rPr>
          <w:rFonts w:ascii="Times New Roman" w:hAnsi="Times New Roman" w:cs="Times New Roman" w:eastAsia="Times New Roman"/>
          <w:b w:val="0"/>
          <w:i w:val="0"/>
          <w:color w:val="000000"/>
          <w:sz w:val="24"/>
        </w:rPr>
        <w:t xml:space="preserve">2. Opsi kaidah Hair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(rasio indikator–sampel / ketentuan SEM-PLS). Kaidah kecukupan sampel berbasis jumlah indikator/konstruks; dipakai bila Opsi B (SmartPLS-SEM) dipilih.</w:t>
      </w:r>
    </w:p>
    <w:p>
      <w:pPr>
        <w:spacing w:line="360" w:lineRule="auto" w:before="0" w:after="0"/>
        <w:ind w:left="709" w:hanging="227"/>
        <w:jc w:val="both"/>
      </w:pPr>
      <w:r>
        <w:rPr>
          <w:rFonts w:ascii="Times New Roman" w:hAnsi="Times New Roman" w:cs="Times New Roman" w:eastAsia="Times New Roman"/>
          <w:b w:val="0"/>
          <w:i w:val="0"/>
          <w:color w:val="000000"/>
          <w:sz w:val="24"/>
        </w:rPr>
        <w:t>3. Opsi tabel Krejcie-Morgan (populasi terhingga). Dipakai bila ukuran populasi acuan terverifikasi tersedia; tanpa angka populasi terverifikasi, opsi ini tidak dapat dieksekusi dan tetap OPEN.</w:t>
      </w:r>
    </w:p>
    <w:p>
      <w:pPr>
        <w:widowControl/>
        <w:spacing w:line="360" w:lineRule="auto" w:before="0" w:after="0"/>
        <w:ind w:firstLine="709"/>
        <w:jc w:val="both"/>
      </w:pPr>
      <w:r>
        <w:rPr>
          <w:rFonts w:ascii="Times New Roman" w:hAnsi="Times New Roman" w:cs="Times New Roman" w:eastAsia="Times New Roman"/>
          <w:b w:val="0"/>
          <w:i w:val="0"/>
          <w:color w:val="000000"/>
          <w:sz w:val="24"/>
        </w:rPr>
        <w:t>Keputusan mengenai opsi yang dipakai, angka N final, dan dasar daya uji ditetapkan setelah P04 (software) dan P06 (kriteria populasi) dikunci. Rumus final tidak ditulis pada draf ini agar tidak dikarang.</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3.3 Model Penelitian</w:t>
      </w:r>
    </w:p>
    <w:p>
      <w:pPr>
        <w:widowControl/>
        <w:spacing w:line="360" w:lineRule="auto" w:before="0" w:after="0"/>
        <w:ind w:firstLine="709"/>
        <w:jc w:val="both"/>
      </w:pPr>
      <w:r>
        <w:rPr>
          <w:rFonts w:ascii="Times New Roman" w:hAnsi="Times New Roman" w:cs="Times New Roman" w:eastAsia="Times New Roman"/>
          <w:b w:val="0"/>
          <w:i w:val="0"/>
          <w:color w:val="000000"/>
          <w:sz w:val="24"/>
        </w:rPr>
        <w:t>Hubungan teoretis yang diuji bersifat langsung: masing-masing variabel independen (X1, X2, X3) berpengaruh terhadap variabel dependen (Y), tanpa moderator dan tanpa mediator, pada populasi Generasi Z di Indonesia. Rerangka berbentuk bagan tercantum pada Bab 2 (Subbab 2.7).</w:t>
      </w:r>
    </w:p>
    <w:p>
      <w:pPr>
        <w:widowControl/>
        <w:spacing w:line="360" w:lineRule="auto" w:before="0" w:after="0"/>
        <w:ind w:firstLine="709"/>
        <w:jc w:val="both"/>
      </w:pPr>
      <w:r>
        <w:rPr>
          <w:rFonts w:ascii="Times New Roman" w:hAnsi="Times New Roman" w:cs="Times New Roman" w:eastAsia="Times New Roman"/>
          <w:b w:val="0"/>
          <w:i w:val="0"/>
          <w:color w:val="000000"/>
          <w:sz w:val="24"/>
        </w:rPr>
        <w:t>Spesifikasi statistik mengikuti keputusan software (P04, OPEN). Kedua opsi ditulis di bawah; satu opsi dipilih setelah kunci pembimbing, opsi yang tidak dipakai dihapus dari naskah final dengan jejak keputusan dicatat.</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Opsi A — regresi linear berganda (untuk SPSS):</w:t>
      </w:r>
    </w:p>
    <w:p>
      <w:pPr>
        <w:spacing w:before="120" w:after="120" w:line="360" w:lineRule="auto"/>
        <w:ind w:firstLine="0"/>
        <w:jc w:val="center"/>
        <w:tabs>
          <w:tab w:val="right" w:pos="7938"/>
        </w:tabs>
      </w:pPr>
      <w:r>
        <w:rPr>
          <w:rFonts w:ascii="Times New Roman" w:hAnsi="Times New Roman" w:cs="Times New Roman" w:eastAsia="Times New Roman"/>
          <w:b w:val="0"/>
          <w:i/>
          <w:color w:val="000000"/>
          <w:sz w:val="24"/>
        </w:rPr>
        <w:t>Y = b₀ + b₁X1 + b₂X2 + b₃X3 + e</w:t>
      </w:r>
      <w:r>
        <w:rPr>
          <w:rFonts w:ascii="Times New Roman" w:hAnsi="Times New Roman" w:cs="Times New Roman" w:eastAsia="Times New Roman"/>
          <w:b w:val="0"/>
          <w:i w:val="0"/>
          <w:color w:val="000000"/>
          <w:sz w:val="24"/>
        </w:rPr>
        <w:tab/>
        <w:t>(3.1)</w:t>
      </w:r>
    </w:p>
    <w:p>
      <w:pPr>
        <w:widowControl/>
        <w:spacing w:line="360" w:lineRule="auto" w:before="0" w:after="0"/>
        <w:ind w:firstLine="709"/>
        <w:jc w:val="both"/>
      </w:pPr>
      <w:r>
        <w:rPr>
          <w:rFonts w:ascii="Times New Roman" w:hAnsi="Times New Roman" w:cs="Times New Roman" w:eastAsia="Times New Roman"/>
          <w:b w:val="0"/>
          <w:i w:val="0"/>
          <w:color w:val="000000"/>
          <w:sz w:val="24"/>
        </w:rPr>
        <w:t>Keterangan: Y = Intention to Play Mobile Legends; X1 = Influencer Marketing; X2 = Electronic Word-of-Mouth; X3 = Perceived Enjoyment; b0 = konstanta; b1, b2, b3 = koefisien regresi parsial; e = galat. Hipotesis yang diuji: H1: b1 &gt; 0; H2: b2 &gt; 0; H3: b3 &gt; 0. Arah positif merupakan proposisi yang diuji, bukan temuan.</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Opsi B — model persamaan struktural berbasis varians (untuk SmartPLS, konstruk laten reflektif):</w:t>
      </w:r>
    </w:p>
    <w:p>
      <w:pPr>
        <w:spacing w:before="120" w:after="120" w:line="360" w:lineRule="auto"/>
        <w:ind w:firstLine="0"/>
        <w:jc w:val="center"/>
        <w:tabs>
          <w:tab w:val="right" w:pos="7938"/>
        </w:tabs>
      </w:pPr>
      <w:r>
        <w:rPr>
          <w:rFonts w:ascii="Times New Roman" w:hAnsi="Times New Roman" w:cs="Times New Roman" w:eastAsia="Times New Roman"/>
          <w:b w:val="0"/>
          <w:i/>
          <w:color w:val="000000"/>
          <w:sz w:val="24"/>
        </w:rPr>
        <w:t>Y = p₁X1 + p₂X2 + p₃X3 + e</w:t>
      </w:r>
      <w:r>
        <w:rPr>
          <w:rFonts w:ascii="Times New Roman" w:hAnsi="Times New Roman" w:cs="Times New Roman" w:eastAsia="Times New Roman"/>
          <w:b w:val="0"/>
          <w:i w:val="0"/>
          <w:color w:val="000000"/>
          <w:sz w:val="24"/>
        </w:rPr>
        <w:tab/>
        <w:t>(3.2)</w:t>
      </w:r>
    </w:p>
    <w:p>
      <w:pPr>
        <w:widowControl/>
        <w:spacing w:line="360" w:lineRule="auto" w:before="0" w:after="0"/>
        <w:ind w:firstLine="709"/>
        <w:jc w:val="both"/>
      </w:pPr>
      <w:r>
        <w:rPr>
          <w:rFonts w:ascii="Times New Roman" w:hAnsi="Times New Roman" w:cs="Times New Roman" w:eastAsia="Times New Roman"/>
          <w:b w:val="0"/>
          <w:i w:val="0"/>
          <w:color w:val="000000"/>
          <w:sz w:val="24"/>
        </w:rPr>
        <w:t>Keterangan: p1, p2, p3 = koefisien jalur (path coefficient); indikator tiap konstruk laten bersifat reflektif dan ditetapkan pada Subbab 3.4. Hipotesis H1–H3 analog dalam koefisien jalur; evaluasi R kuadrat, Q kuadrat, dan f kuadrat menyusul kunci P04.</w:t>
      </w:r>
    </w:p>
    <w:p>
      <w:pPr>
        <w:widowControl/>
        <w:spacing w:line="360" w:lineRule="auto" w:before="0" w:after="0"/>
        <w:ind w:firstLine="709"/>
        <w:jc w:val="both"/>
      </w:pPr>
      <w:r>
        <w:rPr>
          <w:rFonts w:ascii="Times New Roman" w:hAnsi="Times New Roman" w:cs="Times New Roman" w:eastAsia="Times New Roman"/>
          <w:b w:val="0"/>
          <w:i w:val="0"/>
          <w:color w:val="000000"/>
          <w:sz w:val="24"/>
        </w:rPr>
        <w:t>Catatan: mean-centering tidak relevan untuk model ini karena model bersifat langsung tanpa suku interaksi. Teknik tersebut hanya diperlukan bila terdapat perkalian variabel (moderasi/interaksi), yang tidak ada pada penelitian ini.</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3.4 Operasionalisasi Variabel</w:t>
      </w:r>
    </w:p>
    <w:p>
      <w:pPr>
        <w:widowControl/>
        <w:spacing w:line="360" w:lineRule="auto" w:before="0" w:after="0"/>
        <w:ind w:firstLine="709"/>
        <w:jc w:val="both"/>
      </w:pPr>
      <w:r>
        <w:rPr>
          <w:rFonts w:ascii="Times New Roman" w:hAnsi="Times New Roman" w:cs="Times New Roman" w:eastAsia="Times New Roman"/>
          <w:b w:val="0"/>
          <w:i w:val="0"/>
          <w:color w:val="000000"/>
          <w:sz w:val="24"/>
        </w:rPr>
        <w:t>Definisi operasional dirumuskan secara jelas dan tegas agar pengumpulan data dan pengujian tidak salah. Tabel berikut memuat variabel, definisi operasional ringkas, dimensi, indikator, skala pengukuran, dan sumber acuan. Seluruh redaksi Indonesia di bawah merupakan parafrase adaptasi penulis (PROPOSED-UNVERIFIED / ADAPTED), bukan kutipan verbatim instrumen asli; fidelitas struktur mengikuti sumber primer yang tercantum pada kolom sumber.</w:t>
      </w:r>
    </w:p>
    <w:p>
      <w:pPr>
        <w:widowControl/>
        <w:spacing w:line="360" w:lineRule="auto" w:before="0" w:after="0"/>
        <w:ind w:firstLine="709"/>
        <w:jc w:val="both"/>
      </w:pPr>
      <w:r>
        <w:rPr>
          <w:rFonts w:ascii="Times New Roman" w:hAnsi="Times New Roman" w:cs="Times New Roman" w:eastAsia="Times New Roman"/>
          <w:b w:val="0"/>
          <w:i w:val="0"/>
          <w:color w:val="000000"/>
          <w:sz w:val="24"/>
        </w:rPr>
        <w:t>Ketentuan pengukuran:</w:t>
      </w:r>
    </w:p>
    <w:p>
      <w:pPr>
        <w:spacing w:line="360" w:lineRule="auto" w:before="0" w:after="0"/>
        <w:ind w:left="709" w:hanging="227"/>
        <w:jc w:val="both"/>
      </w:pPr>
      <w:r>
        <w:rPr>
          <w:rFonts w:ascii="Times New Roman" w:hAnsi="Times New Roman" w:cs="Times New Roman" w:eastAsia="Times New Roman"/>
          <w:b w:val="0"/>
          <w:i w:val="0"/>
          <w:color w:val="000000"/>
          <w:sz w:val="24"/>
        </w:rPr>
        <w:t>1. X1 dipertahankan pada semantic differential 7-titik mengikuti sumber aslinya; X2–X3–Y menggunakan Likert 5-titik (1 = sangat tidak setuju, 2 = tidak setuju, 3 = netral/ragu-ragu, 4 = setuju, 5 = sangat setuju). Bila pembimbing menuntut keseragaman skala, perubahan dinyatakan eksplisit sebagai adaptasi dan diuji ulang penuh.</w:t>
      </w:r>
    </w:p>
    <w:p>
      <w:pPr>
        <w:spacing w:line="360" w:lineRule="auto" w:before="0" w:after="0"/>
        <w:ind w:left="709" w:hanging="227"/>
        <w:jc w:val="both"/>
      </w:pPr>
      <w:r>
        <w:rPr>
          <w:rFonts w:ascii="Times New Roman" w:hAnsi="Times New Roman" w:cs="Times New Roman" w:eastAsia="Times New Roman"/>
          <w:b w:val="0"/>
          <w:i w:val="0"/>
          <w:color w:val="000000"/>
          <w:sz w:val="24"/>
        </w:rPr>
        <w:t>2. Skor dimensi dihitung sebagai rerata butir penyusunnya; skor variabel dihitung sebagai rerata dimensinya (atau second-order pada SEM bila Opsi B dipilih — ditetapkan satu dan konsisten Bab 3–Bab 4).</w:t>
      </w:r>
    </w:p>
    <w:p>
      <w:pPr>
        <w:spacing w:line="360" w:lineRule="auto" w:before="0" w:after="0"/>
        <w:ind w:left="709" w:hanging="227"/>
        <w:jc w:val="both"/>
      </w:pPr>
      <w:r>
        <w:rPr>
          <w:rFonts w:ascii="Times New Roman" w:hAnsi="Times New Roman" w:cs="Times New Roman" w:eastAsia="Times New Roman"/>
          <w:b w:val="0"/>
          <w:i w:val="0"/>
          <w:color w:val="000000"/>
          <w:sz w:val="24"/>
        </w:rPr>
        <w:t>3. Seluruh butir asli berbahasa Inggris dialihbahasakan melalui prosedur penerjemahan-maju–balik (</w:t>
      </w:r>
      <w:r>
        <w:rPr>
          <w:rFonts w:ascii="Times New Roman" w:hAnsi="Times New Roman" w:cs="Times New Roman" w:eastAsia="Times New Roman"/>
          <w:b w:val="0"/>
          <w:i/>
          <w:color w:val="000000"/>
          <w:sz w:val="24"/>
        </w:rPr>
        <w:t>forward–back translation</w:t>
      </w:r>
      <w:r>
        <w:rPr>
          <w:rFonts w:ascii="Times New Roman" w:hAnsi="Times New Roman" w:cs="Times New Roman" w:eastAsia="Times New Roman"/>
          <w:b w:val="0"/>
          <w:i w:val="0"/>
          <w:color w:val="000000"/>
          <w:sz w:val="24"/>
        </w:rPr>
        <w:t>): penerjemah pertama menerjemahkan Inggris–Indonesia dengan memahami konteks permainan; penerjemah kedua yang independen menerjemahkan kembali Indonesia–Inggris tanpa melihat naskah asli; hasil direkonsiliasi, ditelaah ahli isi dan bahasa, diuji keterbacaan (5–10 responden), direvisi, dan diuji perintis (pilot 30–50 responden). Matriks jejak terjemahan disimpan sebagai Lampiran.</w:t>
      </w:r>
    </w:p>
    <w:p>
      <w:pPr>
        <w:spacing w:line="360" w:lineRule="auto" w:before="0" w:after="0"/>
        <w:ind w:left="709" w:hanging="227"/>
        <w:jc w:val="both"/>
      </w:pPr>
      <w:r>
        <w:rPr>
          <w:rFonts w:ascii="Times New Roman" w:hAnsi="Times New Roman" w:cs="Times New Roman" w:eastAsia="Times New Roman"/>
          <w:b w:val="0"/>
          <w:i w:val="0"/>
          <w:color w:val="000000"/>
          <w:sz w:val="24"/>
        </w:rPr>
        <w:t>4. Kolom reliabilitas (α) dikosongkan dan diisi setelah uji pilot/studi utama; DILARANG mengutip α dari studi sekunder sebagai milik skala ini.</w:t>
      </w:r>
    </w:p>
    <w:p>
      <w:pPr>
        <w:spacing w:before="240" w:after="120" w:line="240" w:lineRule="auto"/>
        <w:jc w:val="left"/>
      </w:pPr>
      <w:r>
        <w:rPr>
          <w:rFonts w:ascii="Times New Roman" w:hAnsi="Times New Roman" w:cs="Times New Roman" w:eastAsia="Times New Roman"/>
          <w:b/>
          <w:i w:val="0"/>
          <w:color w:val="000000"/>
          <w:sz w:val="22"/>
        </w:rPr>
        <w:t>Tabel 3.1. Operasionalisasi Variabel</w:t>
      </w:r>
    </w:p>
    <w:p>
      <w:pPr>
        <w:spacing w:before="240" w:after="120" w:line="240" w:lineRule="auto"/>
        <w:jc w:val="left"/>
      </w:pPr>
      <w:r>
        <w:rPr>
          <w:rFonts w:ascii="Times New Roman" w:hAnsi="Times New Roman" w:cs="Times New Roman" w:eastAsia="Times New Roman"/>
          <w:b/>
          <w:i w:val="0"/>
          <w:color w:val="000000"/>
          <w:sz w:val="22"/>
        </w:rPr>
        <w:t>Tabel 3.1 Operasionalisasi Variabel</w:t>
      </w:r>
    </w:p>
    <w:tbl>
      <w:tblPr>
        <w:tblStyle w:val="TableGrid"/>
        <w:tblW w:type="auto" w:w="0"/>
        <w:jc w:val="center"/>
        <w:tblLayout w:type="fixed"/>
        <w:tblLook w:firstColumn="1" w:firstRow="1" w:lastColumn="0" w:lastRow="0" w:noHBand="0" w:noVBand="1" w:val="04A0"/>
        <w:tblBorders>
          <w:top w:val="single" w:sz="8" w:space="0" w:color="000000"/>
          <w:bottom w:val="single" w:sz="8" w:space="0" w:color="000000"/>
          <w:left w:val="nil" w:sz="0" w:space="0" w:color="auto"/>
          <w:right w:val="nil" w:sz="0" w:space="0" w:color="auto"/>
          <w:insideV w:val="nil" w:sz="0" w:space="0" w:color="auto"/>
          <w:insideH w:val="nil" w:sz="0" w:space="0" w:color="auto"/>
        </w:tblBorders>
      </w:tblPr>
      <w:tblGrid>
        <w:gridCol w:w="1984"/>
        <w:gridCol w:w="1984"/>
        <w:gridCol w:w="1984"/>
        <w:gridCol w:w="1984"/>
      </w:tblGrid>
      <w:tr>
        <w:trPr>
          <w:tblHeader w:val="true"/>
          <w:cantSplit w:val="true"/>
        </w:trPr>
        <w:tc>
          <w:tcPr>
            <w:tcW w:type="dxa" w:w="1701"/>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Variabel</w:t>
            </w:r>
          </w:p>
        </w:tc>
        <w:tc>
          <w:tcPr>
            <w:tcW w:type="dxa" w:w="1587"/>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Dimensi</w:t>
            </w:r>
          </w:p>
        </w:tc>
        <w:tc>
          <w:tcPr>
            <w:tcW w:type="dxa" w:w="2948"/>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Indikator</w:t>
            </w:r>
          </w:p>
        </w:tc>
        <w:tc>
          <w:tcPr>
            <w:tcW w:type="dxa" w:w="1701"/>
            <w:shd w:fill="F2F2F2" w:val="clear"/>
            <w:tcBorders>
              <w:bottom w:val="single" w:sz="6" w:space="0" w:color="000000"/>
            </w:tcBorders>
          </w:tcPr>
          <w:p>
            <w:pPr>
              <w:jc w:val="center"/>
            </w:pPr>
            <w:r/>
            <w:r>
              <w:rPr>
                <w:rFonts w:ascii="Times New Roman" w:hAnsi="Times New Roman" w:cs="Times New Roman" w:eastAsia="Times New Roman"/>
                <w:b/>
                <w:i w:val="0"/>
                <w:color w:val="000000"/>
                <w:sz w:val="20"/>
              </w:rPr>
              <w:t>Sumber</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X1 Influencer Marketing (kredibilitas influencer) — Persepsi responden terhadap keahlian, kepercayaan, dan daya tarik influencer yang mempromosikan Mobile Legends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Expertise</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X1.1.1 tidak ahli – ahli di bidang permainan yang dipromosikan; X1.1.2 tidak berpengalaman – berpengalaman; X1.1.3 tidak berpengetahuan – berpengetahuan; X1.1.4 tidak terkualifikasi – terkualifikasi; X1.1.5 tidak terampil memainkan/menjelaskan – terampil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Ohanian (1990)</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Trustworthiness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X1.2.1 tidak dapat diandalkan – dapat diandalkan; X1.2.2 tidak jujur – jujur; X1.2.3 tidak dapat dipercaya – dapat dipercaya; X1.2.4 tidak tulus – tulus; X1.2.5 meragukan – tidak meragukan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Ohanian (1990)</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Attractiveness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X1.3.1 tidak menarik – menarik; X1.3.2 tidak berkelas – berkelas; X1.3.3 berpenampilan tidak menarik – berpenampilan menarik; X1.3.4 membosankan – elegan/memesona (dipilih satu yang lolos uji keterbacaan); X1.3.5 tidak memikat dilihat – memikat dilihat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Ohanian (1990)</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X2 Electronic Word-of-Mouth — Opsi A (dipilih: ___A / ___B; pilih satu) — Intensitas perilaku membaca dan mengonsultasikan ulasan daring sebelum memutuskan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(Unidimensional)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X2.1 Sering membaca ulasan daring pemain lain untuk mengetahui kesan terhadap permainan ini; X2.2 Sering membaca ulasan daring untuk memastikan pilihan tepat; X2.3 Sering berkonsultasi pada ulasan daring untuk membantu memilih permainan yang tepat; X2.4 Kerap mengumpulkan informasi dari ulasan daring sebelum memainkan/membeli; X2.5 Khawatir terhadap keputusan bila tidak membaca ulasan daring</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Bambauer-Sachse dan Mangold (2011)</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X2 Electronic Word-of-Mouth — Opsi B (komposit penulis; bila Opsi A dipilih, baris ini dihapus dari naskah final) — Persepsi terhadap karakteristik ulasan daring permainan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Kualitas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Ql1 ulasan jelas/mudah dipahami; Ql2 relevan dengan kebutuhan; Ql3 didukung argumen/fakta</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Park dan Lee (2008); Cheung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(2008, 2009)</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Kuantitas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Qn1 tersedia banyak ulasan; Qn2 mudah menemukan ulasan dalam jumlah besar; Qn3 volume diskusi tinggi</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Park dan Lee (2008); Fan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(2013)</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Kredibilitas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Cr1 ulasan dapat dipercaya; Cr2 jujur; Cr3 penyaji ulasan tampak kompeten/berpengalaman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Fan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(2013); Cheung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(2008, 2009)</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Valensi</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Va1 mayoritas ulasan bernada positif; Va2 peringkat tinggi; Va3 direkomendasikan untuk dimainkan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Park dan Lee (2008)</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X3 Perceived Enjoyment — Kesenangan intrinsik saat memainkan Mobile Legends, terlepas dari hadiah atau konsekuensi kinerja</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(Unidimensional)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X3.1 Memainkan Mobile Legends menurut responden menyenangkan; X3.2 Proses memainkannya itu sendiri sudah menghibur (terlepas dari menang/kalah/hadiah); X3.3 Responden menikmati waktu saat memainkan Mobile Legends</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Venkatesh (2000); Venkatesh dan Bala (2008); Davis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(1992); van der Heijden (2004)</w:t>
            </w:r>
          </w:p>
        </w:tc>
      </w:tr>
      <w:tr>
        <w:tc>
          <w:tcPr>
            <w:tcW w:type="dxa" w:w="1984"/>
          </w:tcPr>
          <w:p>
            <w:pPr>
              <w:spacing w:before="40" w:after="40" w:line="240" w:lineRule="auto"/>
              <w:jc w:val="left"/>
            </w:pPr>
            <w:r/>
            <w:r>
              <w:rPr>
                <w:rFonts w:ascii="Times New Roman" w:hAnsi="Times New Roman" w:cs="Times New Roman" w:eastAsia="Times New Roman"/>
                <w:b w:val="0"/>
                <w:i w:val="0"/>
                <w:color w:val="000000"/>
                <w:sz w:val="20"/>
              </w:rPr>
              <w:t>Y Intention to Play — Niat memainkan kembali Mobile Legends dalam [___ bulan ke depan; OPEN — horizon ditetapkan satu dan dipakai konsisten di semua butir]</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(Unidimensional)</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Y.1 Berniat memainkan Mobile Legends dalam waktu dekat; Y.2 Memprediksi akan memainkan secara rutin seperti sekarang; Y.3 Berencana meluangkan waktu untuk memainkan sesering mungkin</w:t>
            </w:r>
          </w:p>
        </w:tc>
        <w:tc>
          <w:tcPr>
            <w:tcW w:type="dxa" w:w="1984"/>
          </w:tcPr>
          <w:p>
            <w:pPr>
              <w:spacing w:before="40" w:after="40" w:line="240" w:lineRule="auto"/>
              <w:jc w:val="left"/>
            </w:pPr>
            <w:r/>
            <w:r>
              <w:rPr>
                <w:rFonts w:ascii="Times New Roman" w:hAnsi="Times New Roman" w:cs="Times New Roman" w:eastAsia="Times New Roman"/>
                <w:b w:val="0"/>
                <w:i w:val="0"/>
                <w:color w:val="000000"/>
                <w:sz w:val="20"/>
              </w:rPr>
              <w:t xml:space="preserve">Ajzen (1991); Ajzen (n.d., panduan penyusunan kuesioner); Venkatesh </w:t>
            </w:r>
            <w:r>
              <w:rPr>
                <w:rFonts w:ascii="Times New Roman" w:hAnsi="Times New Roman" w:cs="Times New Roman" w:eastAsia="Times New Roman"/>
                <w:b w:val="0"/>
                <w:i/>
                <w:color w:val="000000"/>
                <w:sz w:val="20"/>
              </w:rPr>
              <w:t>et al.</w:t>
            </w:r>
            <w:r>
              <w:rPr>
                <w:rFonts w:ascii="Times New Roman" w:hAnsi="Times New Roman" w:cs="Times New Roman" w:eastAsia="Times New Roman"/>
                <w:b w:val="0"/>
                <w:i w:val="0"/>
                <w:color w:val="000000"/>
                <w:sz w:val="20"/>
              </w:rPr>
              <w:t xml:space="preserve"> (2003); Hsu dan Lu (2004)</w:t>
            </w:r>
          </w:p>
        </w:tc>
      </w:tr>
    </w:tbl>
    <w:p>
      <w:pPr>
        <w:spacing w:before="40" w:after="240" w:line="240" w:lineRule="auto"/>
        <w:jc w:val="left"/>
      </w:pPr>
      <w:r>
        <w:rPr>
          <w:rFonts w:ascii="Times New Roman" w:hAnsi="Times New Roman" w:cs="Times New Roman" w:eastAsia="Times New Roman"/>
          <w:b w:val="0"/>
          <w:i/>
          <w:color w:val="000000"/>
          <w:sz w:val="20"/>
        </w:rPr>
        <w:t>Sumber: Diolah penulis dari KONSTRUK_SKALA.md (Ohanian, 1990; Bambauer-Sachse &amp; Mangold, 2011; Venkatesh, 2000; Ajzen, 1991; dan lain-lain) (2026).</w:t>
      </w:r>
    </w:p>
    <w:p>
      <w:pPr>
        <w:widowControl/>
        <w:spacing w:line="360" w:lineRule="auto" w:before="0" w:after="0"/>
        <w:ind w:firstLine="709"/>
        <w:jc w:val="both"/>
      </w:pPr>
      <w:r>
        <w:rPr>
          <w:rFonts w:ascii="Times New Roman" w:hAnsi="Times New Roman" w:cs="Times New Roman" w:eastAsia="Times New Roman"/>
          <w:b w:val="0"/>
          <w:i w:val="0"/>
          <w:color w:val="000000"/>
          <w:sz w:val="24"/>
        </w:rPr>
        <w:t>Catatan Tabel 3.1: X1 memakai diferensial semantik 7-titik; X2–X3–Y memakai Likert 5-titik (1 = sangat tidak setuju sampai 5 = sangat setuju) kecuali ditetapkan lain oleh pembimbing. Skor dimensi dihitung sebagai rerata butir; skor variabel sebagai rerata dimensi (atau second-order pada SEM bila Opsi B dipilih). Seluruh redaksi Indonesia adalah parafrase adaptasi (PROPOSED-UNVERIFIED/ADAPTED) dan wajib uji keterbacaan serta pilot; kolom α dikosongkan sampai uji pilot/utama. Pilihan X2 Opsi A atau Opsi B, skala 5- atau 7-titik, dan horizon waktu Y [OPEN] ditetapkan setelah kunci pembimbing.</w:t>
      </w:r>
    </w:p>
    <w:p>
      <w:pPr>
        <w:widowControl/>
        <w:spacing w:line="360" w:lineRule="auto" w:before="0" w:after="0"/>
        <w:ind w:firstLine="709"/>
        <w:jc w:val="both"/>
      </w:pPr>
      <w:r>
        <w:rPr>
          <w:rFonts w:ascii="Times New Roman" w:hAnsi="Times New Roman" w:cs="Times New Roman" w:eastAsia="Times New Roman"/>
          <w:b w:val="0"/>
          <w:i w:val="0"/>
          <w:color w:val="000000"/>
          <w:sz w:val="24"/>
        </w:rPr>
        <w:t>Catatan: butir rekomendasi kepada orang lain tidak dipakai sebagai indikator Y agar kemurnian niat berperilaku terjaga.</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3.5 Metode Analisis Data</w:t>
      </w:r>
    </w:p>
    <w:p>
      <w:pPr>
        <w:widowControl/>
        <w:spacing w:line="360" w:lineRule="auto" w:before="0" w:after="0"/>
        <w:ind w:firstLine="709"/>
        <w:jc w:val="both"/>
      </w:pPr>
      <w:r>
        <w:rPr>
          <w:rFonts w:ascii="Times New Roman" w:hAnsi="Times New Roman" w:cs="Times New Roman" w:eastAsia="Times New Roman"/>
          <w:b w:val="0"/>
          <w:i w:val="0"/>
          <w:color w:val="000000"/>
          <w:sz w:val="24"/>
        </w:rPr>
        <w:t xml:space="preserve">Jenis analisis yang digunakan adalah analisis regresi parametrik sampai pada pengujian hipotesis, dengan perangkat lunak: </w:t>
      </w:r>
      <w:r>
        <w:rPr>
          <w:rFonts w:ascii="Times New Roman" w:hAnsi="Times New Roman" w:cs="Times New Roman" w:eastAsia="Times New Roman"/>
          <w:b/>
          <w:i w:val="0"/>
          <w:color w:val="000000"/>
          <w:sz w:val="24"/>
        </w:rPr>
        <w:t>[OPEN — ditetapkan satu: SPSS atau SmartPLS, menunggu kunci P04 dan ketersediaan lisensi; pedoman mencontohkan SPSS for Windows / Lisrel / Eviews]</w:t>
      </w:r>
      <w:r>
        <w:rPr>
          <w:rFonts w:ascii="Times New Roman" w:hAnsi="Times New Roman" w:cs="Times New Roman" w:eastAsia="Times New Roman"/>
          <w:b w:val="0"/>
          <w:i w:val="0"/>
          <w:color w:val="000000"/>
          <w:sz w:val="24"/>
        </w:rPr>
        <w:t>. Langkah analisis mengikuti opsi terpilih di bawah; satu jalur dikerjakan konsisten sampai Bab 4.</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Jalur A — bila Opsi A (SPSS, regresi berganda) dipilih:</w:t>
      </w:r>
    </w:p>
    <w:p>
      <w:pPr>
        <w:spacing w:line="360" w:lineRule="auto" w:before="0" w:after="0"/>
        <w:ind w:left="709" w:hanging="227"/>
        <w:jc w:val="both"/>
      </w:pPr>
      <w:r>
        <w:rPr>
          <w:rFonts w:ascii="Times New Roman" w:hAnsi="Times New Roman" w:cs="Times New Roman" w:eastAsia="Times New Roman"/>
          <w:b w:val="0"/>
          <w:i w:val="0"/>
          <w:color w:val="000000"/>
          <w:sz w:val="24"/>
        </w:rPr>
        <w:t>1. Uji kualitas instrumen. Uji validitas (korelasi butir–total terkoreksi; ambang dan butir gugur dilaporkan apa adanya) dan uji reliabilitas (</w:t>
      </w:r>
      <w:r>
        <w:rPr>
          <w:rFonts w:ascii="Times New Roman" w:hAnsi="Times New Roman" w:cs="Times New Roman" w:eastAsia="Times New Roman"/>
          <w:b w:val="0"/>
          <w:i/>
          <w:color w:val="000000"/>
          <w:sz w:val="24"/>
        </w:rPr>
        <w:t>Cronbach's alpha</w:t>
      </w:r>
      <w:r>
        <w:rPr>
          <w:rFonts w:ascii="Times New Roman" w:hAnsi="Times New Roman" w:cs="Times New Roman" w:eastAsia="Times New Roman"/>
          <w:b w:val="0"/>
          <w:i w:val="0"/>
          <w:color w:val="000000"/>
          <w:sz w:val="24"/>
        </w:rPr>
        <w:t>; ambang di atas 0,70; hasil pilot dan studi utama dilaporkan terpisah).</w:t>
      </w:r>
    </w:p>
    <w:p>
      <w:pPr>
        <w:spacing w:line="360" w:lineRule="auto" w:before="0" w:after="0"/>
        <w:ind w:left="709" w:hanging="227"/>
        <w:jc w:val="both"/>
      </w:pPr>
      <w:r>
        <w:rPr>
          <w:rFonts w:ascii="Times New Roman" w:hAnsi="Times New Roman" w:cs="Times New Roman" w:eastAsia="Times New Roman"/>
          <w:b w:val="0"/>
          <w:i w:val="0"/>
          <w:color w:val="000000"/>
          <w:sz w:val="24"/>
        </w:rPr>
        <w:t>2. Uji asumsi klasik, lengkap empat uji: (i) normalitas galat; (ii) multikolinearitas; (iii) heteroskedastisitas; (iv) autokorelasi. Keempatnya wajib dipenuhi/dilaporkan sebelum interpretasi regresi; bila asumsi dilanggar, penanganan dinyatakan eksplisit.</w:t>
      </w:r>
    </w:p>
    <w:p>
      <w:pPr>
        <w:spacing w:line="360" w:lineRule="auto" w:before="0" w:after="0"/>
        <w:ind w:left="709" w:hanging="227"/>
        <w:jc w:val="both"/>
      </w:pPr>
      <w:r>
        <w:rPr>
          <w:rFonts w:ascii="Times New Roman" w:hAnsi="Times New Roman" w:cs="Times New Roman" w:eastAsia="Times New Roman"/>
          <w:b w:val="0"/>
          <w:i w:val="0"/>
          <w:color w:val="000000"/>
          <w:sz w:val="24"/>
        </w:rPr>
        <w:t>3. Analisis regresi linear berganda sesuai persamaan (3.1), pelaporan koefisien regresi parsial, koefisien determinasi (R kuadrat), dan pengujian signifikansi parsial (uji t).</w:t>
      </w:r>
    </w:p>
    <w:p>
      <w:pPr>
        <w:spacing w:line="360" w:lineRule="auto" w:before="0" w:after="0"/>
        <w:ind w:left="709" w:hanging="227"/>
        <w:jc w:val="both"/>
      </w:pPr>
      <w:r>
        <w:rPr>
          <w:rFonts w:ascii="Times New Roman" w:hAnsi="Times New Roman" w:cs="Times New Roman" w:eastAsia="Times New Roman"/>
          <w:b w:val="0"/>
          <w:i w:val="0"/>
          <w:color w:val="000000"/>
          <w:sz w:val="24"/>
        </w:rPr>
        <w:t>4. Pengujian hipotesis. Kaidah simpulan: hipotesis diterima bila koefisien bertanda positif dan nilai-p di bawah taraf signifikansi; bila tidak memenuhi, hipotesis dinyatakan tidak berpengaruh. Taraf signifikansi: OPEN (ditetapkan konvensional 5% setelah kunci pembimbing).</w:t>
      </w:r>
    </w:p>
    <w:p>
      <w:pPr>
        <w:pStyle w:val="Heading3"/>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Jalur B — bila Opsi B (SmartPLS-SEM) dipilih:</w:t>
      </w:r>
    </w:p>
    <w:p>
      <w:pPr>
        <w:spacing w:line="360" w:lineRule="auto" w:before="0" w:after="0"/>
        <w:ind w:left="709" w:hanging="227"/>
        <w:jc w:val="both"/>
      </w:pPr>
      <w:r>
        <w:rPr>
          <w:rFonts w:ascii="Times New Roman" w:hAnsi="Times New Roman" w:cs="Times New Roman" w:eastAsia="Times New Roman"/>
          <w:b w:val="0"/>
          <w:i w:val="0"/>
          <w:color w:val="000000"/>
          <w:sz w:val="24"/>
        </w:rPr>
        <w:t>1. Evaluasi model pengukuran (outer model): validitas konvergen (loading di atas 0,70; AVE di atas 0,50), validitas diskriminan (</w:t>
      </w:r>
      <w:r>
        <w:rPr>
          <w:rFonts w:ascii="Times New Roman" w:hAnsi="Times New Roman" w:cs="Times New Roman" w:eastAsia="Times New Roman"/>
          <w:b w:val="0"/>
          <w:i/>
          <w:color w:val="000000"/>
          <w:sz w:val="24"/>
        </w:rPr>
        <w:t>Fornell-Larcker</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HTMT</w:t>
      </w:r>
      <w:r>
        <w:rPr>
          <w:rFonts w:ascii="Times New Roman" w:hAnsi="Times New Roman" w:cs="Times New Roman" w:eastAsia="Times New Roman"/>
          <w:b w:val="0"/>
          <w:i w:val="0"/>
          <w:color w:val="000000"/>
          <w:sz w:val="24"/>
        </w:rPr>
        <w:t>), reliabilitas konstruk (</w:t>
      </w:r>
      <w:r>
        <w:rPr>
          <w:rFonts w:ascii="Times New Roman" w:hAnsi="Times New Roman" w:cs="Times New Roman" w:eastAsia="Times New Roman"/>
          <w:b w:val="0"/>
          <w:i/>
          <w:color w:val="000000"/>
          <w:sz w:val="24"/>
        </w:rPr>
        <w:t>composite reliability</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Cronbach's alpha</w:t>
      </w:r>
      <w:r>
        <w:rPr>
          <w:rFonts w:ascii="Times New Roman" w:hAnsi="Times New Roman" w:cs="Times New Roman" w:eastAsia="Times New Roman"/>
          <w:b w:val="0"/>
          <w:i w:val="0"/>
          <w:color w:val="000000"/>
          <w:sz w:val="24"/>
        </w:rPr>
        <w:t xml:space="preserve"> di atas 0,70). Konstruk multidimensi (X1 tiga dimensi; X2 bila Opsi B komposit dipakai) diuji sebagai second-order/hierarkis.</w:t>
      </w:r>
    </w:p>
    <w:p>
      <w:pPr>
        <w:spacing w:line="360" w:lineRule="auto" w:before="0" w:after="0"/>
        <w:ind w:left="709" w:hanging="227"/>
        <w:jc w:val="both"/>
      </w:pPr>
      <w:r>
        <w:rPr>
          <w:rFonts w:ascii="Times New Roman" w:hAnsi="Times New Roman" w:cs="Times New Roman" w:eastAsia="Times New Roman"/>
          <w:b w:val="0"/>
          <w:i w:val="0"/>
          <w:color w:val="000000"/>
          <w:sz w:val="24"/>
        </w:rPr>
        <w:t>2. Evaluasi model struktural (inner model): koefisien jalur, R kuadrat, relevansi prediktif (Q kuadrat), dan ukuran efek (f kuadrat), beserta signifikansi melalui bootstrapping.</w:t>
      </w:r>
    </w:p>
    <w:p>
      <w:pPr>
        <w:spacing w:line="360" w:lineRule="auto" w:before="0" w:after="0"/>
        <w:ind w:left="709" w:hanging="227"/>
        <w:jc w:val="both"/>
      </w:pPr>
      <w:r>
        <w:rPr>
          <w:rFonts w:ascii="Times New Roman" w:hAnsi="Times New Roman" w:cs="Times New Roman" w:eastAsia="Times New Roman"/>
          <w:b w:val="0"/>
          <w:i w:val="0"/>
          <w:color w:val="000000"/>
          <w:sz w:val="24"/>
        </w:rPr>
        <w:t>3. Pengujian hipotesis H1–H3 analog dalam koefisien jalur dengan kaidah tanda dan nilai-p yang sama.</w:t>
      </w:r>
    </w:p>
    <w:p>
      <w:pPr>
        <w:widowControl/>
        <w:spacing w:line="360" w:lineRule="auto" w:before="0" w:after="0"/>
        <w:ind w:firstLine="709"/>
        <w:jc w:val="both"/>
      </w:pPr>
      <w:r>
        <w:rPr>
          <w:rFonts w:ascii="Times New Roman" w:hAnsi="Times New Roman" w:cs="Times New Roman" w:eastAsia="Times New Roman"/>
          <w:b w:val="0"/>
          <w:i w:val="0"/>
          <w:color w:val="000000"/>
          <w:sz w:val="24"/>
        </w:rPr>
        <w:t>Alur Bab 4 yang disiapkan untuk konsistensi (tidak dikerjakan pada proposal): gambaran demografi responden, uji validitas, uji reliabilitas, uji asumsi klasik (Jalur A) atau evaluasi outer–inner model (Jalur B), pengujian hipotesis, dan pembahasan.</w:t>
      </w:r>
    </w:p>
    <w:p>
      <w:pPr>
        <w:pStyle w:val="Heading2"/>
        <w:jc w:val="left"/>
      </w:pPr>
      <w:r>
        <w:rPr>
          <w:rFonts w:ascii="Times New Roman" w:hAnsi="Times New Roman" w:cs="Times New Roman" w:eastAsia="Times New Roman"/>
          <w:b/>
          <w:color w:val="000000"/>
          <w:sz w:val="24"/>
        </w:rPr>
      </w:r>
      <w:r>
        <w:rPr>
          <w:rFonts w:ascii="Times New Roman" w:hAnsi="Times New Roman" w:cs="Times New Roman" w:eastAsia="Times New Roman"/>
          <w:b/>
          <w:i w:val="0"/>
          <w:color w:val="000000"/>
          <w:sz w:val="24"/>
        </w:rPr>
        <w:t>Daftar OPEN (wajib dikunci sebelum seminar/lapangan)</w:t>
      </w:r>
    </w:p>
    <w:p>
      <w:pPr>
        <w:spacing w:line="360" w:lineRule="auto" w:before="0" w:after="0"/>
        <w:ind w:left="709" w:hanging="227"/>
        <w:jc w:val="both"/>
      </w:pPr>
      <w:r>
        <w:rPr>
          <w:rFonts w:ascii="Times New Roman" w:hAnsi="Times New Roman" w:cs="Times New Roman" w:eastAsia="Times New Roman"/>
          <w:b w:val="0"/>
          <w:i w:val="0"/>
          <w:color w:val="000000"/>
          <w:sz w:val="24"/>
        </w:rPr>
        <w:t>1. Tahun data 20xx — diisi tahun riil pengumpulan (Subbab 3.1).</w:t>
      </w:r>
    </w:p>
    <w:p>
      <w:pPr>
        <w:spacing w:line="360" w:lineRule="auto" w:before="0" w:after="0"/>
        <w:ind w:left="709" w:hanging="227"/>
        <w:jc w:val="both"/>
      </w:pPr>
      <w:r>
        <w:rPr>
          <w:rFonts w:ascii="Times New Roman" w:hAnsi="Times New Roman" w:cs="Times New Roman" w:eastAsia="Times New Roman"/>
          <w:b w:val="0"/>
          <w:i w:val="0"/>
          <w:color w:val="000000"/>
          <w:sz w:val="24"/>
        </w:rPr>
        <w:t>2. Rentang tahun lahir Generasi Z, kriteria inklusi rinci, dan horizon waktu Y (mis. 3 bulan) — kunci P06 (Subbab 3.2a, 3.4).</w:t>
      </w:r>
    </w:p>
    <w:p>
      <w:pPr>
        <w:spacing w:line="360" w:lineRule="auto" w:before="0" w:after="0"/>
        <w:ind w:left="709" w:hanging="227"/>
        <w:jc w:val="both"/>
      </w:pPr>
      <w:r>
        <w:rPr>
          <w:rFonts w:ascii="Times New Roman" w:hAnsi="Times New Roman" w:cs="Times New Roman" w:eastAsia="Times New Roman"/>
          <w:b w:val="0"/>
          <w:i w:val="0"/>
          <w:color w:val="000000"/>
          <w:sz w:val="24"/>
        </w:rPr>
        <w:t>3. Teknik sampling final, prosedur sebar, periode survei, dan pertanyaan saring — persetujuan pembimbing atas usulan purposive (Subbab 3.2b).</w:t>
      </w:r>
    </w:p>
    <w:p>
      <w:pPr>
        <w:spacing w:line="360" w:lineRule="auto" w:before="0" w:after="0"/>
        <w:ind w:left="709" w:hanging="227"/>
        <w:jc w:val="both"/>
      </w:pPr>
      <w:r>
        <w:rPr>
          <w:rFonts w:ascii="Times New Roman" w:hAnsi="Times New Roman" w:cs="Times New Roman" w:eastAsia="Times New Roman"/>
          <w:b w:val="0"/>
          <w:i w:val="0"/>
          <w:color w:val="000000"/>
          <w:sz w:val="24"/>
        </w:rPr>
        <w:t>4. N final, kaidah yang dipakai (satu dari tiga opsi), dan taraf signifikansi — kunci P04/P06 (Subbab 3.2c, 3.5).</w:t>
      </w:r>
    </w:p>
    <w:p>
      <w:pPr>
        <w:spacing w:line="360" w:lineRule="auto" w:before="0" w:after="0"/>
        <w:ind w:left="709" w:hanging="227"/>
        <w:jc w:val="both"/>
      </w:pPr>
      <w:r>
        <w:rPr>
          <w:rFonts w:ascii="Times New Roman" w:hAnsi="Times New Roman" w:cs="Times New Roman" w:eastAsia="Times New Roman"/>
          <w:b w:val="0"/>
          <w:i w:val="0"/>
          <w:color w:val="000000"/>
          <w:sz w:val="24"/>
        </w:rPr>
        <w:t>5. Software final (SPSS atau SmartPLS) beserta jalur analisis yang dikerjakan — kunci P04 (Subbab 3.5).</w:t>
      </w:r>
    </w:p>
    <w:p>
      <w:pPr>
        <w:spacing w:line="360" w:lineRule="auto" w:before="0" w:after="0"/>
        <w:ind w:left="709" w:hanging="227"/>
        <w:jc w:val="both"/>
      </w:pPr>
      <w:r>
        <w:rPr>
          <w:rFonts w:ascii="Times New Roman" w:hAnsi="Times New Roman" w:cs="Times New Roman" w:eastAsia="Times New Roman"/>
          <w:b w:val="0"/>
          <w:i w:val="0"/>
          <w:color w:val="000000"/>
          <w:sz w:val="24"/>
        </w:rPr>
        <w:t>6. Pilihan X2 Opsi A atau Opsi B; pilihan skala X2–X3–Y 5- atau 7-titik; pilihan perlakuan X1 (tetap 7-titik atau diseragamkan) — kunci pembimbing (Subbab 3.4).</w:t>
      </w:r>
    </w:p>
    <w:p>
      <w:pPr>
        <w:spacing w:line="360" w:lineRule="auto" w:before="0" w:after="0"/>
        <w:ind w:left="709" w:hanging="227"/>
        <w:jc w:val="both"/>
      </w:pPr>
      <w:r>
        <w:rPr>
          <w:rFonts w:ascii="Times New Roman" w:hAnsi="Times New Roman" w:cs="Times New Roman" w:eastAsia="Times New Roman"/>
          <w:b w:val="0"/>
          <w:i w:val="0"/>
          <w:color w:val="000000"/>
          <w:sz w:val="24"/>
        </w:rPr>
        <w:t>7. Hasil penerjemahan-maju–balik, uji keterbacaan, uji pilot (n, butir gugur, α), bukti permohonan izin adaptasi skala — Lampiran (Subbab 3.4–3.5).</w:t>
      </w:r>
    </w:p>
    <w:p>
      <w:pPr>
        <w:pStyle w:val="Heading1"/>
        <w:pageBreakBefore/>
        <w:jc w:val="center"/>
      </w:pPr>
      <w:r>
        <w:rPr>
          <w:rFonts w:ascii="Times New Roman" w:hAnsi="Times New Roman" w:cs="Times New Roman" w:eastAsia="Times New Roman"/>
          <w:b/>
          <w:i w:val="0"/>
          <w:color w:val="000000"/>
          <w:sz w:val="24"/>
        </w:rPr>
        <w:t>DAFTAR PUSTAKA</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Ajzen, I. (1991). The theory of planned behavior. </w:t>
      </w:r>
      <w:r>
        <w:rPr>
          <w:rFonts w:ascii="Times New Roman" w:hAnsi="Times New Roman" w:cs="Times New Roman" w:eastAsia="Times New Roman"/>
          <w:b w:val="0"/>
          <w:i/>
          <w:color w:val="000000"/>
          <w:sz w:val="24"/>
        </w:rPr>
        <w:t>Organizational Behavior and Human Decision Processes, 50</w:t>
      </w:r>
      <w:r>
        <w:rPr>
          <w:rFonts w:ascii="Times New Roman" w:hAnsi="Times New Roman" w:cs="Times New Roman" w:eastAsia="Times New Roman"/>
          <w:b w:val="0"/>
          <w:i w:val="0"/>
          <w:color w:val="000000"/>
          <w:sz w:val="24"/>
        </w:rPr>
        <w:t>(2), 179–211</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Ajzen, I. (n.d.). </w:t>
      </w:r>
      <w:r>
        <w:rPr>
          <w:rFonts w:ascii="Times New Roman" w:hAnsi="Times New Roman" w:cs="Times New Roman" w:eastAsia="Times New Roman"/>
          <w:b w:val="0"/>
          <w:i/>
          <w:color w:val="000000"/>
          <w:sz w:val="24"/>
        </w:rPr>
        <w:t>Constructing a Theory of Planned Behavior questionnaire.</w:t>
      </w:r>
      <w:r>
        <w:rPr>
          <w:rFonts w:ascii="Times New Roman" w:hAnsi="Times New Roman" w:cs="Times New Roman" w:eastAsia="Times New Roman"/>
          <w:b w:val="0"/>
          <w:i w:val="0"/>
          <w:color w:val="000000"/>
          <w:sz w:val="24"/>
        </w:rPr>
        <w:t xml:space="preserve"> University of Massachusetts</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Apple. (n.d.). </w:t>
      </w:r>
      <w:r>
        <w:rPr>
          <w:rFonts w:ascii="Times New Roman" w:hAnsi="Times New Roman" w:cs="Times New Roman" w:eastAsia="Times New Roman"/>
          <w:b w:val="0"/>
          <w:i/>
          <w:color w:val="000000"/>
          <w:sz w:val="24"/>
        </w:rPr>
        <w:t>Mobile Legends: Bang Bang</w:t>
      </w:r>
      <w:r>
        <w:rPr>
          <w:rFonts w:ascii="Times New Roman" w:hAnsi="Times New Roman" w:cs="Times New Roman" w:eastAsia="Times New Roman"/>
          <w:b w:val="0"/>
          <w:i w:val="0"/>
          <w:color w:val="000000"/>
          <w:sz w:val="24"/>
        </w:rPr>
        <w:t xml:space="preserve"> [App Store listing, </w:t>
      </w:r>
      <w:r>
        <w:rPr>
          <w:rFonts w:ascii="Times New Roman" w:hAnsi="Times New Roman" w:cs="Times New Roman" w:eastAsia="Times New Roman"/>
          <w:b w:val="0"/>
          <w:i/>
          <w:color w:val="000000"/>
          <w:sz w:val="24"/>
        </w:rPr>
        <w:t>storefront</w:t>
      </w:r>
      <w:r>
        <w:rPr>
          <w:rFonts w:ascii="Times New Roman" w:hAnsi="Times New Roman" w:cs="Times New Roman" w:eastAsia="Times New Roman"/>
          <w:b w:val="0"/>
          <w:i w:val="0"/>
          <w:color w:val="000000"/>
          <w:sz w:val="24"/>
        </w:rPr>
        <w:t xml:space="preserve"> GE: 4,7/2,9k </w:t>
      </w:r>
      <w:r>
        <w:rPr>
          <w:rFonts w:ascii="Times New Roman" w:hAnsi="Times New Roman" w:cs="Times New Roman" w:eastAsia="Times New Roman"/>
          <w:b w:val="0"/>
          <w:i/>
          <w:color w:val="000000"/>
          <w:sz w:val="24"/>
        </w:rPr>
        <w:t>ratings</w:t>
      </w:r>
      <w:r>
        <w:rPr>
          <w:rFonts w:ascii="Times New Roman" w:hAnsi="Times New Roman" w:cs="Times New Roman" w:eastAsia="Times New Roman"/>
          <w:b w:val="0"/>
          <w:i w:val="0"/>
          <w:color w:val="000000"/>
          <w:sz w:val="24"/>
        </w:rPr>
        <w:t xml:space="preserve">, No. 17 </w:t>
      </w:r>
      <w:r>
        <w:rPr>
          <w:rFonts w:ascii="Times New Roman" w:hAnsi="Times New Roman" w:cs="Times New Roman" w:eastAsia="Times New Roman"/>
          <w:b w:val="0"/>
          <w:i/>
          <w:color w:val="000000"/>
          <w:sz w:val="24"/>
        </w:rPr>
        <w:t>Strategy</w:t>
      </w:r>
      <w:r>
        <w:rPr>
          <w:rFonts w:ascii="Times New Roman" w:hAnsi="Times New Roman" w:cs="Times New Roman" w:eastAsia="Times New Roman"/>
          <w:b w:val="0"/>
          <w:i w:val="0"/>
          <w:color w:val="000000"/>
          <w:sz w:val="24"/>
        </w:rPr>
        <w:t xml:space="preserve">, 13 tahun ke atas, versi 2.2.16.1232.1]. Retrieved October 1, 2026, from </w:t>
      </w:r>
      <w:hyperlink r:id="rId17">
        <w:r>
          <w:rPr>
            <w:rFonts w:ascii="Times New Roman" w:hAnsi="Times New Roman" w:cs="Times New Roman" w:eastAsia="Times New Roman"/>
            <w:sz w:val="24"/>
            <w:szCs w:val="24"/>
            <w:color w:val="000000"/>
          </w:rPr>
          <w:t>https://apps.apple.com/ge/app/mobile-legends-bang-bang/id1160056295</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Asosiasi Penyelenggara Jasa Internet Indonesia. (n.d.). </w:t>
      </w:r>
      <w:r>
        <w:rPr>
          <w:rFonts w:ascii="Times New Roman" w:hAnsi="Times New Roman" w:cs="Times New Roman" w:eastAsia="Times New Roman"/>
          <w:b w:val="0"/>
          <w:i/>
          <w:color w:val="000000"/>
          <w:sz w:val="24"/>
        </w:rPr>
        <w:t>Survei Internet APJII</w:t>
      </w:r>
      <w:r>
        <w:rPr>
          <w:rFonts w:ascii="Times New Roman" w:hAnsi="Times New Roman" w:cs="Times New Roman" w:eastAsia="Times New Roman"/>
          <w:b w:val="0"/>
          <w:i w:val="0"/>
          <w:color w:val="000000"/>
          <w:sz w:val="24"/>
        </w:rPr>
        <w:t xml:space="preserve"> [portal]. Retrieved October 1, 2026, from </w:t>
      </w:r>
      <w:hyperlink r:id="rId18">
        <w:r>
          <w:rPr>
            <w:rFonts w:ascii="Times New Roman" w:hAnsi="Times New Roman" w:cs="Times New Roman" w:eastAsia="Times New Roman"/>
            <w:sz w:val="24"/>
            <w:szCs w:val="24"/>
            <w:color w:val="000000"/>
          </w:rPr>
          <w:t>https://survei.apjii.or.id/</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Badan Pusat Statistik. (2025, January 31). </w:t>
      </w:r>
      <w:r>
        <w:rPr>
          <w:rFonts w:ascii="Times New Roman" w:hAnsi="Times New Roman" w:cs="Times New Roman" w:eastAsia="Times New Roman"/>
          <w:b w:val="0"/>
          <w:i/>
          <w:color w:val="000000"/>
          <w:sz w:val="24"/>
        </w:rPr>
        <w:t>Statistik demografi Indonesia — Hasil sensus penduduk 2020</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publication page</w:t>
      </w:r>
      <w:r>
        <w:rPr>
          <w:rFonts w:ascii="Times New Roman" w:hAnsi="Times New Roman" w:cs="Times New Roman" w:eastAsia="Times New Roman"/>
          <w:b w:val="0"/>
          <w:i w:val="0"/>
          <w:color w:val="000000"/>
          <w:sz w:val="24"/>
        </w:rPr>
        <w:t xml:space="preserve">: No. Katalog 2201007, No. Publikasi 04100.25001, 13,59 MB]. Retrieved October 1, 2026, from </w:t>
      </w:r>
      <w:hyperlink r:id="rId19">
        <w:r>
          <w:rPr>
            <w:rFonts w:ascii="Times New Roman" w:hAnsi="Times New Roman" w:cs="Times New Roman" w:eastAsia="Times New Roman"/>
            <w:sz w:val="24"/>
            <w:szCs w:val="24"/>
            <w:color w:val="000000"/>
          </w:rPr>
          <w:t>https://www.bps.go.id/id/publication/2025/01/31/29a40174e02f20a7a31b5bc3/statistik-demografi-indonesia--hasil-sensus-penduduk-2020-.html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Badan Pusat Statistik. (2026, June 30). </w:t>
      </w:r>
      <w:r>
        <w:rPr>
          <w:rFonts w:ascii="Times New Roman" w:hAnsi="Times New Roman" w:cs="Times New Roman" w:eastAsia="Times New Roman"/>
          <w:b w:val="0"/>
          <w:i/>
          <w:color w:val="000000"/>
          <w:sz w:val="24"/>
        </w:rPr>
        <w:t>Penduduk dan indikator kependudukan — Hasil survei penduduk antar-sensus 2025</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publication page</w:t>
      </w:r>
      <w:r>
        <w:rPr>
          <w:rFonts w:ascii="Times New Roman" w:hAnsi="Times New Roman" w:cs="Times New Roman" w:eastAsia="Times New Roman"/>
          <w:b w:val="0"/>
          <w:i w:val="0"/>
          <w:color w:val="000000"/>
          <w:sz w:val="24"/>
        </w:rPr>
        <w:t xml:space="preserve">: No. Katalog 2101048, No. Publikasi 04100.26029, 26,21 MB]. Retrieved October 1, 2026, from </w:t>
      </w:r>
      <w:hyperlink r:id="rId20">
        <w:r>
          <w:rPr>
            <w:rFonts w:ascii="Times New Roman" w:hAnsi="Times New Roman" w:cs="Times New Roman" w:eastAsia="Times New Roman"/>
            <w:sz w:val="24"/>
            <w:szCs w:val="24"/>
            <w:color w:val="000000"/>
          </w:rPr>
          <w:t>https://www.bps.go.id/id/publication/2026/06/30/bdc814f38edf0a941f4f9d34/penduduk-dan-indikator-kependudukan-hasil-survei-penduduk-antar-sensus-2025.html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Bambauer-Sachse, S., &amp; Mangold, S. (2011). Brand equity dilution through negative online word-of-mouth communication. </w:t>
      </w:r>
      <w:r>
        <w:rPr>
          <w:rFonts w:ascii="Times New Roman" w:hAnsi="Times New Roman" w:cs="Times New Roman" w:eastAsia="Times New Roman"/>
          <w:b w:val="0"/>
          <w:i/>
          <w:color w:val="000000"/>
          <w:sz w:val="24"/>
        </w:rPr>
        <w:t>Journal of Retailing and Consumer Services</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Bevan-Dye, A. L., &amp; Motaung, L. G. (2023). Ascertaining the antecedents of Generation Y consumers' perceived utility of celebrity influencers' fashion content on Instagram and consequent fashion brand predispositions and purchase intentions. </w:t>
      </w:r>
      <w:r>
        <w:rPr>
          <w:rFonts w:ascii="Times New Roman" w:hAnsi="Times New Roman" w:cs="Times New Roman" w:eastAsia="Times New Roman"/>
          <w:b w:val="0"/>
          <w:i/>
          <w:color w:val="000000"/>
          <w:sz w:val="24"/>
        </w:rPr>
        <w:t>Innovative Marketing, 19</w:t>
      </w:r>
      <w:r>
        <w:rPr>
          <w:rFonts w:ascii="Times New Roman" w:hAnsi="Times New Roman" w:cs="Times New Roman" w:eastAsia="Times New Roman"/>
          <w:b w:val="0"/>
          <w:i w:val="0"/>
          <w:color w:val="000000"/>
          <w:sz w:val="24"/>
        </w:rPr>
        <w:t xml:space="preserve">(4), 81–94. </w:t>
      </w:r>
      <w:hyperlink r:id="rId21">
        <w:r>
          <w:rPr>
            <w:rFonts w:ascii="Times New Roman" w:hAnsi="Times New Roman" w:cs="Times New Roman" w:eastAsia="Times New Roman"/>
            <w:sz w:val="24"/>
            <w:szCs w:val="24"/>
            <w:color w:val="000000"/>
          </w:rPr>
          <w:t>https://doi.org/10.21511/im.19(4).2023.07</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Bongso, R. W., &amp; Dewi, C. K. (2021). Pengaruh </w:t>
      </w:r>
      <w:r>
        <w:rPr>
          <w:rFonts w:ascii="Times New Roman" w:hAnsi="Times New Roman" w:cs="Times New Roman" w:eastAsia="Times New Roman"/>
          <w:b w:val="0"/>
          <w:i/>
          <w:color w:val="000000"/>
          <w:sz w:val="24"/>
        </w:rPr>
        <w:t>flow experience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performance expectancy</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effort expectancy</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social influence</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facilitating conditions</w:t>
      </w:r>
      <w:r>
        <w:rPr>
          <w:rFonts w:ascii="Times New Roman" w:hAnsi="Times New Roman" w:cs="Times New Roman" w:eastAsia="Times New Roman"/>
          <w:b w:val="0"/>
          <w:i w:val="0"/>
          <w:color w:val="000000"/>
          <w:sz w:val="24"/>
        </w:rPr>
        <w:t xml:space="preserve"> terhadap </w:t>
      </w:r>
      <w:r>
        <w:rPr>
          <w:rFonts w:ascii="Times New Roman" w:hAnsi="Times New Roman" w:cs="Times New Roman" w:eastAsia="Times New Roman"/>
          <w:b w:val="0"/>
          <w:i/>
          <w:color w:val="000000"/>
          <w:sz w:val="24"/>
        </w:rPr>
        <w:t>behavioral intention</w:t>
      </w:r>
      <w:r>
        <w:rPr>
          <w:rFonts w:ascii="Times New Roman" w:hAnsi="Times New Roman" w:cs="Times New Roman" w:eastAsia="Times New Roman"/>
          <w:b w:val="0"/>
          <w:i w:val="0"/>
          <w:color w:val="000000"/>
          <w:sz w:val="24"/>
        </w:rPr>
        <w:t xml:space="preserve"> pemain </w:t>
      </w:r>
      <w:r>
        <w:rPr>
          <w:rFonts w:ascii="Times New Roman" w:hAnsi="Times New Roman" w:cs="Times New Roman" w:eastAsia="Times New Roman"/>
          <w:b w:val="0"/>
          <w:i/>
          <w:color w:val="000000"/>
          <w:sz w:val="24"/>
        </w:rPr>
        <w:t>mobile game</w:t>
      </w:r>
      <w:r>
        <w:rPr>
          <w:rFonts w:ascii="Times New Roman" w:hAnsi="Times New Roman" w:cs="Times New Roman" w:eastAsia="Times New Roman"/>
          <w:b w:val="0"/>
          <w:i w:val="0"/>
          <w:color w:val="000000"/>
          <w:sz w:val="24"/>
        </w:rPr>
        <w:t xml:space="preserve"> Kota Kita. </w:t>
      </w:r>
      <w:r>
        <w:rPr>
          <w:rFonts w:ascii="Times New Roman" w:hAnsi="Times New Roman" w:cs="Times New Roman" w:eastAsia="Times New Roman"/>
          <w:b w:val="0"/>
          <w:i/>
          <w:color w:val="000000"/>
          <w:sz w:val="24"/>
        </w:rPr>
        <w:t>Abiwara: Jurnal Vokasi Administrasi Bisnis, 2</w:t>
      </w:r>
      <w:r>
        <w:rPr>
          <w:rFonts w:ascii="Times New Roman" w:hAnsi="Times New Roman" w:cs="Times New Roman" w:eastAsia="Times New Roman"/>
          <w:b w:val="0"/>
          <w:i w:val="0"/>
          <w:color w:val="000000"/>
          <w:sz w:val="24"/>
        </w:rPr>
        <w:t xml:space="preserve">(2), 27–40. </w:t>
      </w:r>
      <w:hyperlink r:id="rId22">
        <w:r>
          <w:rPr>
            <w:rFonts w:ascii="Times New Roman" w:hAnsi="Times New Roman" w:cs="Times New Roman" w:eastAsia="Times New Roman"/>
            <w:sz w:val="24"/>
            <w:szCs w:val="24"/>
            <w:color w:val="000000"/>
          </w:rPr>
          <w:t>https://doi.org/10.31334/abiwara.v2i2.772</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CNN Indonesia. (2026, May 21). </w:t>
      </w:r>
      <w:r>
        <w:rPr>
          <w:rFonts w:ascii="Times New Roman" w:hAnsi="Times New Roman" w:cs="Times New Roman" w:eastAsia="Times New Roman"/>
          <w:b w:val="0"/>
          <w:i/>
          <w:color w:val="000000"/>
          <w:sz w:val="24"/>
        </w:rPr>
        <w:t>Survei pengguna internet Indonesia tumbuh 6 juta di 2026</w:t>
      </w:r>
      <w:r>
        <w:rPr>
          <w:rFonts w:ascii="Times New Roman" w:hAnsi="Times New Roman" w:cs="Times New Roman" w:eastAsia="Times New Roman"/>
          <w:b w:val="0"/>
          <w:i w:val="0"/>
          <w:color w:val="000000"/>
          <w:sz w:val="24"/>
        </w:rPr>
        <w:t xml:space="preserve"> [pelapor SEKUNDER APJII Survei Profil Internet Indonesia 2026, rilis 19 Mei 2026]. Retrieved October 1, 2026, from </w:t>
      </w:r>
      <w:hyperlink r:id="rId23">
        <w:r>
          <w:rPr>
            <w:rFonts w:ascii="Times New Roman" w:hAnsi="Times New Roman" w:cs="Times New Roman" w:eastAsia="Times New Roman"/>
            <w:sz w:val="24"/>
            <w:szCs w:val="24"/>
            <w:color w:val="000000"/>
          </w:rPr>
          <w:t>https://www.cnnindonesia.com/teknologi/20260521122201-213-1360738/survei-pengguna-internet-indonesia-tumbuh-6-juta-di-2026</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Colline, F., Rusmanto, T., Warganegara, D. L., &amp; Hutagaol, Y. R. I. (2024). Determinants of investment satisfaction among young investors in Indonesia. </w:t>
      </w:r>
      <w:r>
        <w:rPr>
          <w:rFonts w:ascii="Times New Roman" w:hAnsi="Times New Roman" w:cs="Times New Roman" w:eastAsia="Times New Roman"/>
          <w:b w:val="0"/>
          <w:i/>
          <w:color w:val="000000"/>
          <w:sz w:val="24"/>
        </w:rPr>
        <w:t>Investment Management and Financial Innovations, 21</w:t>
      </w:r>
      <w:r>
        <w:rPr>
          <w:rFonts w:ascii="Times New Roman" w:hAnsi="Times New Roman" w:cs="Times New Roman" w:eastAsia="Times New Roman"/>
          <w:b w:val="0"/>
          <w:i w:val="0"/>
          <w:color w:val="000000"/>
          <w:sz w:val="24"/>
        </w:rPr>
        <w:t xml:space="preserve">(4), 239–253. </w:t>
      </w:r>
      <w:hyperlink r:id="rId24">
        <w:r>
          <w:rPr>
            <w:rFonts w:ascii="Times New Roman" w:hAnsi="Times New Roman" w:cs="Times New Roman" w:eastAsia="Times New Roman"/>
            <w:sz w:val="24"/>
            <w:szCs w:val="24"/>
            <w:color w:val="000000"/>
          </w:rPr>
          <w:t>https://doi.org/10.21511/imfi.21(4).2024.19</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DataReportal. (2025, November 5). </w:t>
      </w:r>
      <w:r>
        <w:rPr>
          <w:rFonts w:ascii="Times New Roman" w:hAnsi="Times New Roman" w:cs="Times New Roman" w:eastAsia="Times New Roman"/>
          <w:b w:val="0"/>
          <w:i/>
          <w:color w:val="000000"/>
          <w:sz w:val="24"/>
        </w:rPr>
        <w:t>Digital 2026: Indonesia.</w:t>
      </w:r>
      <w:r>
        <w:rPr>
          <w:rFonts w:ascii="Times New Roman" w:hAnsi="Times New Roman" w:cs="Times New Roman" w:eastAsia="Times New Roman"/>
          <w:b w:val="0"/>
          <w:i w:val="0"/>
          <w:color w:val="000000"/>
          <w:sz w:val="24"/>
        </w:rPr>
        <w:t xml:space="preserve"> Retrieved October 1, 2026, from </w:t>
      </w:r>
      <w:hyperlink r:id="rId25">
        <w:r>
          <w:rPr>
            <w:rFonts w:ascii="Times New Roman" w:hAnsi="Times New Roman" w:cs="Times New Roman" w:eastAsia="Times New Roman"/>
            <w:sz w:val="24"/>
            <w:szCs w:val="24"/>
            <w:color w:val="000000"/>
          </w:rPr>
          <w:t>https://datareportal.com/reports/digital-2026-indonesia</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Davis, F. D., Bagozzi, R. P., &amp; Warshaw, P. R. (1992). Extrinsic and intrinsic motivation to use computers in the workplace. </w:t>
      </w:r>
      <w:r>
        <w:rPr>
          <w:rFonts w:ascii="Times New Roman" w:hAnsi="Times New Roman" w:cs="Times New Roman" w:eastAsia="Times New Roman"/>
          <w:b w:val="0"/>
          <w:i/>
          <w:color w:val="000000"/>
          <w:sz w:val="24"/>
        </w:rPr>
        <w:t>Journal of Applied Social Psychology, 22</w:t>
      </w:r>
      <w:r>
        <w:rPr>
          <w:rFonts w:ascii="Times New Roman" w:hAnsi="Times New Roman" w:cs="Times New Roman" w:eastAsia="Times New Roman"/>
          <w:b w:val="0"/>
          <w:i w:val="0"/>
          <w:color w:val="000000"/>
          <w:sz w:val="24"/>
        </w:rPr>
        <w:t>(14), 1111–1132</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detikInet. (2025, August 6). </w:t>
      </w:r>
      <w:r>
        <w:rPr>
          <w:rFonts w:ascii="Times New Roman" w:hAnsi="Times New Roman" w:cs="Times New Roman" w:eastAsia="Times New Roman"/>
          <w:b w:val="0"/>
          <w:i/>
          <w:color w:val="000000"/>
          <w:sz w:val="24"/>
        </w:rPr>
        <w:t>Survei APJII: Pengguna internet Indonesia 2025 tembus 229 juta jiwa</w:t>
      </w:r>
      <w:r>
        <w:rPr>
          <w:rFonts w:ascii="Times New Roman" w:hAnsi="Times New Roman" w:cs="Times New Roman" w:eastAsia="Times New Roman"/>
          <w:b w:val="0"/>
          <w:i w:val="0"/>
          <w:color w:val="000000"/>
          <w:sz w:val="24"/>
        </w:rPr>
        <w:t xml:space="preserve"> [pelapor SEKUNDER APJII Survei Profil Internet Indonesia 2025]. Retrieved October 1, 2026, from </w:t>
      </w:r>
      <w:hyperlink r:id="rId26">
        <w:r>
          <w:rPr>
            <w:rFonts w:ascii="Times New Roman" w:hAnsi="Times New Roman" w:cs="Times New Roman" w:eastAsia="Times New Roman"/>
            <w:sz w:val="24"/>
            <w:szCs w:val="24"/>
            <w:color w:val="000000"/>
          </w:rPr>
          <w:t>https://inet.detik.com/telecommunication/d-8047759/survei-apjii-pengguna-internet-indonesia-2025-tembus-229-juta-jiwa</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Dewi, B. D. L. (2022). Measuring the impact of ease of use, usefulness, attitude, and enjoyment toward intention to play PUBG Mobile. </w:t>
      </w:r>
      <w:r>
        <w:rPr>
          <w:rFonts w:ascii="Times New Roman" w:hAnsi="Times New Roman" w:cs="Times New Roman" w:eastAsia="Times New Roman"/>
          <w:b w:val="0"/>
          <w:i/>
          <w:color w:val="000000"/>
          <w:sz w:val="24"/>
        </w:rPr>
        <w:t>Journal of Business, Management, and Social Studies, 2</w:t>
      </w:r>
      <w:r>
        <w:rPr>
          <w:rFonts w:ascii="Times New Roman" w:hAnsi="Times New Roman" w:cs="Times New Roman" w:eastAsia="Times New Roman"/>
          <w:b w:val="0"/>
          <w:i w:val="0"/>
          <w:color w:val="000000"/>
          <w:sz w:val="24"/>
        </w:rPr>
        <w:t xml:space="preserve">(4), 204–217. </w:t>
      </w:r>
      <w:hyperlink r:id="rId27">
        <w:r>
          <w:rPr>
            <w:rFonts w:ascii="Times New Roman" w:hAnsi="Times New Roman" w:cs="Times New Roman" w:eastAsia="Times New Roman"/>
            <w:sz w:val="24"/>
            <w:szCs w:val="24"/>
            <w:color w:val="000000"/>
          </w:rPr>
          <w:t>https://doi.org/10.53748/jbms.v2i4.61</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Dyego, A., &amp; Oktavianti, R. (2020). The impact of electronic word-of-mouth on the purchase intention. In </w:t>
      </w:r>
      <w:r>
        <w:rPr>
          <w:rFonts w:ascii="Times New Roman" w:hAnsi="Times New Roman" w:cs="Times New Roman" w:eastAsia="Times New Roman"/>
          <w:b w:val="0"/>
          <w:i/>
          <w:color w:val="000000"/>
          <w:sz w:val="24"/>
        </w:rPr>
        <w:t>Proceedings of the 2nd Tarumanagara International Conference on the Applications of Social Sciences and Humanities (TICASH 2020)</w:t>
      </w:r>
      <w:r>
        <w:rPr>
          <w:rFonts w:ascii="Times New Roman" w:hAnsi="Times New Roman" w:cs="Times New Roman" w:eastAsia="Times New Roman"/>
          <w:b w:val="0"/>
          <w:i w:val="0"/>
          <w:color w:val="000000"/>
          <w:sz w:val="24"/>
        </w:rPr>
        <w:t xml:space="preserve"> (pp. 410–415). Atlantis Press. </w:t>
      </w:r>
      <w:hyperlink r:id="rId28">
        <w:r>
          <w:rPr>
            <w:rFonts w:ascii="Times New Roman" w:hAnsi="Times New Roman" w:cs="Times New Roman" w:eastAsia="Times New Roman"/>
            <w:sz w:val="24"/>
            <w:szCs w:val="24"/>
            <w:color w:val="000000"/>
          </w:rPr>
          <w:t>https://doi.org/10.2991/assehr.k.201209.063</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Fakultas Ekonomi dan Bisnis, Universitas Kristen Krida Wacana. (2023). </w:t>
      </w:r>
      <w:r>
        <w:rPr>
          <w:rFonts w:ascii="Times New Roman" w:hAnsi="Times New Roman" w:cs="Times New Roman" w:eastAsia="Times New Roman"/>
          <w:b w:val="0"/>
          <w:i/>
          <w:color w:val="000000"/>
          <w:sz w:val="24"/>
        </w:rPr>
        <w:t>Buku pedoman penyusunan tugas akhir 2023</w:t>
      </w:r>
      <w:r>
        <w:rPr>
          <w:rFonts w:ascii="Times New Roman" w:hAnsi="Times New Roman" w:cs="Times New Roman" w:eastAsia="Times New Roman"/>
          <w:b w:val="0"/>
          <w:i w:val="0"/>
          <w:color w:val="000000"/>
          <w:sz w:val="24"/>
        </w:rPr>
        <w:t xml:space="preserve"> (SK Dekan FEB UKRIDA No. 350a/SK/UKKW/FEB/D/VI/2023)</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Fan, Y.-W., Miao, Y.-F., Fang, Y.-H., &amp; Lin, R.-Y. (2013). Establishing the adoption of electronic word-of-mouth through consumers' perceived credibility. </w:t>
      </w:r>
      <w:r>
        <w:rPr>
          <w:rFonts w:ascii="Times New Roman" w:hAnsi="Times New Roman" w:cs="Times New Roman" w:eastAsia="Times New Roman"/>
          <w:b w:val="0"/>
          <w:i/>
          <w:color w:val="000000"/>
          <w:sz w:val="24"/>
        </w:rPr>
        <w:t>International Business Research, 6</w:t>
      </w:r>
      <w:r>
        <w:rPr>
          <w:rFonts w:ascii="Times New Roman" w:hAnsi="Times New Roman" w:cs="Times New Roman" w:eastAsia="Times New Roman"/>
          <w:b w:val="0"/>
          <w:i w:val="0"/>
          <w:color w:val="000000"/>
          <w:sz w:val="24"/>
        </w:rPr>
        <w:t>(3)</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Google Play. (n.d.). </w:t>
      </w:r>
      <w:r>
        <w:rPr>
          <w:rFonts w:ascii="Times New Roman" w:hAnsi="Times New Roman" w:cs="Times New Roman" w:eastAsia="Times New Roman"/>
          <w:b w:val="0"/>
          <w:i/>
          <w:color w:val="000000"/>
          <w:sz w:val="24"/>
        </w:rPr>
        <w:t>Mobile Legends: Bang Bang</w:t>
      </w:r>
      <w:r>
        <w:rPr>
          <w:rFonts w:ascii="Times New Roman" w:hAnsi="Times New Roman" w:cs="Times New Roman" w:eastAsia="Times New Roman"/>
          <w:b w:val="0"/>
          <w:i w:val="0"/>
          <w:color w:val="000000"/>
          <w:sz w:val="24"/>
        </w:rPr>
        <w:t xml:space="preserve"> [listing, region gl=UK: 500 juta unduhan ke atas (</w:t>
      </w:r>
      <w:r>
        <w:rPr>
          <w:rFonts w:ascii="Times New Roman" w:hAnsi="Times New Roman" w:cs="Times New Roman" w:eastAsia="Times New Roman"/>
          <w:b w:val="0"/>
          <w:i/>
          <w:color w:val="000000"/>
          <w:sz w:val="24"/>
        </w:rPr>
        <w:t>bucket</w:t>
      </w:r>
      <w:r>
        <w:rPr>
          <w:rFonts w:ascii="Times New Roman" w:hAnsi="Times New Roman" w:cs="Times New Roman" w:eastAsia="Times New Roman"/>
          <w:b w:val="0"/>
          <w:i w:val="0"/>
          <w:color w:val="000000"/>
          <w:sz w:val="24"/>
        </w:rPr>
        <w:t xml:space="preserve">), 3,9 star, PEGI 12, update 22 Sep 2026]. Retrieved October 1, 2026, from </w:t>
      </w:r>
      <w:hyperlink r:id="rId29">
        <w:r>
          <w:rPr>
            <w:rFonts w:ascii="Times New Roman" w:hAnsi="Times New Roman" w:cs="Times New Roman" w:eastAsia="Times New Roman"/>
            <w:sz w:val="24"/>
            <w:szCs w:val="24"/>
            <w:color w:val="000000"/>
          </w:rPr>
          <w:t>https://play.google.com/store/apps/details?gl=UK&amp;hl=en&amp;id=com.mobile.legends</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Gultom, R., Moch, B. N., Khafri, R., &amp; Puspasari, M. A. (2020). Analysis of factors which affecting perceived enjoyment and customer continuance intention on mobile games users. </w:t>
      </w:r>
      <w:r>
        <w:rPr>
          <w:rFonts w:ascii="Times New Roman" w:hAnsi="Times New Roman" w:cs="Times New Roman" w:eastAsia="Times New Roman"/>
          <w:b w:val="0"/>
          <w:i/>
          <w:color w:val="000000"/>
          <w:sz w:val="24"/>
        </w:rPr>
        <w:t>Journal of Games, Game Art, and Gamification, 5</w:t>
      </w:r>
      <w:r>
        <w:rPr>
          <w:rFonts w:ascii="Times New Roman" w:hAnsi="Times New Roman" w:cs="Times New Roman" w:eastAsia="Times New Roman"/>
          <w:b w:val="0"/>
          <w:i w:val="0"/>
          <w:color w:val="000000"/>
          <w:sz w:val="24"/>
        </w:rPr>
        <w:t xml:space="preserve">(1), 15–22. </w:t>
      </w:r>
      <w:hyperlink r:id="rId30">
        <w:r>
          <w:rPr>
            <w:rFonts w:ascii="Times New Roman" w:hAnsi="Times New Roman" w:cs="Times New Roman" w:eastAsia="Times New Roman"/>
            <w:sz w:val="24"/>
            <w:szCs w:val="24"/>
            <w:color w:val="000000"/>
          </w:rPr>
          <w:t>https://doi.org/10.21512/jggag.v5i1.7471</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Hsu, C.-L., &amp; Lu, H.-P. (2004). Why do people play on-line games? An extended TAM with social influences and flow experience. </w:t>
      </w:r>
      <w:r>
        <w:rPr>
          <w:rFonts w:ascii="Times New Roman" w:hAnsi="Times New Roman" w:cs="Times New Roman" w:eastAsia="Times New Roman"/>
          <w:b w:val="0"/>
          <w:i/>
          <w:color w:val="000000"/>
          <w:sz w:val="24"/>
        </w:rPr>
        <w:t>Information &amp; Management, 41</w:t>
      </w:r>
      <w:r>
        <w:rPr>
          <w:rFonts w:ascii="Times New Roman" w:hAnsi="Times New Roman" w:cs="Times New Roman" w:eastAsia="Times New Roman"/>
          <w:b w:val="0"/>
          <w:i w:val="0"/>
          <w:color w:val="000000"/>
          <w:sz w:val="24"/>
        </w:rPr>
        <w:t>(7), 853–868</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Khwaja, M. G., Mahmood, S., &amp; Zaman, U. (2020). Examining the effects of eWOM, trust inclination, and information adoption on purchase intentions in an accelerated digital marketing context. </w:t>
      </w:r>
      <w:r>
        <w:rPr>
          <w:rFonts w:ascii="Times New Roman" w:hAnsi="Times New Roman" w:cs="Times New Roman" w:eastAsia="Times New Roman"/>
          <w:b w:val="0"/>
          <w:i/>
          <w:color w:val="000000"/>
          <w:sz w:val="24"/>
        </w:rPr>
        <w:t>Information, 11</w:t>
      </w:r>
      <w:r>
        <w:rPr>
          <w:rFonts w:ascii="Times New Roman" w:hAnsi="Times New Roman" w:cs="Times New Roman" w:eastAsia="Times New Roman"/>
          <w:b w:val="0"/>
          <w:i w:val="0"/>
          <w:color w:val="000000"/>
          <w:sz w:val="24"/>
        </w:rPr>
        <w:t xml:space="preserve">(10), 478. </w:t>
      </w:r>
      <w:hyperlink r:id="rId31">
        <w:r>
          <w:rPr>
            <w:rFonts w:ascii="Times New Roman" w:hAnsi="Times New Roman" w:cs="Times New Roman" w:eastAsia="Times New Roman"/>
            <w:sz w:val="24"/>
            <w:szCs w:val="24"/>
            <w:color w:val="000000"/>
          </w:rPr>
          <w:t>https://doi.org/10.3390/info11100478</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Kurnia, K., &amp; Sukarnadi, N. (2023). Anteseden </w:t>
      </w:r>
      <w:r>
        <w:rPr>
          <w:rFonts w:ascii="Times New Roman" w:hAnsi="Times New Roman" w:cs="Times New Roman" w:eastAsia="Times New Roman"/>
          <w:b w:val="0"/>
          <w:i/>
          <w:color w:val="000000"/>
          <w:sz w:val="24"/>
        </w:rPr>
        <w:t>perceived enjoyment</w:t>
      </w:r>
      <w:r>
        <w:rPr>
          <w:rFonts w:ascii="Times New Roman" w:hAnsi="Times New Roman" w:cs="Times New Roman" w:eastAsia="Times New Roman"/>
          <w:b w:val="0"/>
          <w:i w:val="0"/>
          <w:color w:val="000000"/>
          <w:sz w:val="24"/>
        </w:rPr>
        <w:t xml:space="preserve"> dan implikasinya terhadap kontinuitas penggunaan </w:t>
      </w:r>
      <w:r>
        <w:rPr>
          <w:rFonts w:ascii="Times New Roman" w:hAnsi="Times New Roman" w:cs="Times New Roman" w:eastAsia="Times New Roman"/>
          <w:b w:val="0"/>
          <w:i/>
          <w:color w:val="000000"/>
          <w:sz w:val="24"/>
        </w:rPr>
        <w:t>mobile game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JMBI UNSRAT (Jurnal Ilmiah Manajemen Bisnis dan Inovasi Universitas Sam Ratulangi), 10</w:t>
      </w:r>
      <w:r>
        <w:rPr>
          <w:rFonts w:ascii="Times New Roman" w:hAnsi="Times New Roman" w:cs="Times New Roman" w:eastAsia="Times New Roman"/>
          <w:b w:val="0"/>
          <w:i w:val="0"/>
          <w:color w:val="000000"/>
          <w:sz w:val="24"/>
        </w:rPr>
        <w:t xml:space="preserve">(1), 497–506. </w:t>
      </w:r>
      <w:hyperlink r:id="rId32">
        <w:r>
          <w:rPr>
            <w:rFonts w:ascii="Times New Roman" w:hAnsi="Times New Roman" w:cs="Times New Roman" w:eastAsia="Times New Roman"/>
            <w:sz w:val="24"/>
            <w:szCs w:val="24"/>
            <w:color w:val="000000"/>
          </w:rPr>
          <w:t>https://doi.org/10.35794/jmbi.v10i1.44500</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Leong, C.-M., Loi, A. M.-W., &amp; Woon, S. (2022). The influence of social media eWOM information on purchase intention. </w:t>
      </w:r>
      <w:r>
        <w:rPr>
          <w:rFonts w:ascii="Times New Roman" w:hAnsi="Times New Roman" w:cs="Times New Roman" w:eastAsia="Times New Roman"/>
          <w:b w:val="0"/>
          <w:i/>
          <w:color w:val="000000"/>
          <w:sz w:val="24"/>
        </w:rPr>
        <w:t>Journal of Marketing Analytics, 10</w:t>
      </w:r>
      <w:r>
        <w:rPr>
          <w:rFonts w:ascii="Times New Roman" w:hAnsi="Times New Roman" w:cs="Times New Roman" w:eastAsia="Times New Roman"/>
          <w:b w:val="0"/>
          <w:i w:val="0"/>
          <w:color w:val="000000"/>
          <w:sz w:val="24"/>
        </w:rPr>
        <w:t xml:space="preserve">(2), 145–157. </w:t>
      </w:r>
      <w:hyperlink r:id="rId33">
        <w:r>
          <w:rPr>
            <w:rFonts w:ascii="Times New Roman" w:hAnsi="Times New Roman" w:cs="Times New Roman" w:eastAsia="Times New Roman"/>
            <w:sz w:val="24"/>
            <w:szCs w:val="24"/>
            <w:color w:val="000000"/>
          </w:rPr>
          <w:t>https://doi.org/10.1057/s41270-021-00132-9</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Maghfiroh, L., Anjaningrum, W. D., Reyes, A. P. G., &amp; Fernandez, K. N. (2025). Highlighting customer attitudes: A case where the influencer's credibility and digital persuasive content are not lucrative. </w:t>
      </w:r>
      <w:r>
        <w:rPr>
          <w:rFonts w:ascii="Times New Roman" w:hAnsi="Times New Roman" w:cs="Times New Roman" w:eastAsia="Times New Roman"/>
          <w:b w:val="0"/>
          <w:i/>
          <w:color w:val="000000"/>
          <w:sz w:val="24"/>
        </w:rPr>
        <w:t>Jurnal Aplikasi Manajemen, 23</w:t>
      </w:r>
      <w:r>
        <w:rPr>
          <w:rFonts w:ascii="Times New Roman" w:hAnsi="Times New Roman" w:cs="Times New Roman" w:eastAsia="Times New Roman"/>
          <w:b w:val="0"/>
          <w:i w:val="0"/>
          <w:color w:val="000000"/>
          <w:sz w:val="24"/>
        </w:rPr>
        <w:t xml:space="preserve">(1), 325–339. </w:t>
      </w:r>
      <w:hyperlink r:id="rId34">
        <w:r>
          <w:rPr>
            <w:rFonts w:ascii="Times New Roman" w:hAnsi="Times New Roman" w:cs="Times New Roman" w:eastAsia="Times New Roman"/>
            <w:sz w:val="24"/>
            <w:szCs w:val="24"/>
            <w:color w:val="000000"/>
          </w:rPr>
          <w:t>https://doi.org/10.21776/ub.jam.2025.023.1.19</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Mobile Legends: Bang Bang. (n.d.). </w:t>
      </w:r>
      <w:r>
        <w:rPr>
          <w:rFonts w:ascii="Times New Roman" w:hAnsi="Times New Roman" w:cs="Times New Roman" w:eastAsia="Times New Roman"/>
          <w:b w:val="0"/>
          <w:i/>
          <w:color w:val="000000"/>
          <w:sz w:val="24"/>
        </w:rPr>
        <w:t>Official site.</w:t>
      </w:r>
      <w:r>
        <w:rPr>
          <w:rFonts w:ascii="Times New Roman" w:hAnsi="Times New Roman" w:cs="Times New Roman" w:eastAsia="Times New Roman"/>
          <w:b w:val="0"/>
          <w:i w:val="0"/>
          <w:color w:val="000000"/>
          <w:sz w:val="24"/>
        </w:rPr>
        <w:t xml:space="preserve"> Retrieved October 1, 2026, from </w:t>
      </w:r>
      <w:hyperlink r:id="rId35">
        <w:r>
          <w:rPr>
            <w:rFonts w:ascii="Times New Roman" w:hAnsi="Times New Roman" w:cs="Times New Roman" w:eastAsia="Times New Roman"/>
            <w:sz w:val="24"/>
            <w:szCs w:val="24"/>
            <w:color w:val="000000"/>
          </w:rPr>
          <w:t>https://www.mobilelegends.com/en</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MOONTON. (n.d.). </w:t>
      </w:r>
      <w:r>
        <w:rPr>
          <w:rFonts w:ascii="Times New Roman" w:hAnsi="Times New Roman" w:cs="Times New Roman" w:eastAsia="Times New Roman"/>
          <w:b w:val="0"/>
          <w:i/>
          <w:color w:val="000000"/>
          <w:sz w:val="24"/>
        </w:rPr>
        <w:t>About us.</w:t>
      </w:r>
      <w:r>
        <w:rPr>
          <w:rFonts w:ascii="Times New Roman" w:hAnsi="Times New Roman" w:cs="Times New Roman" w:eastAsia="Times New Roman"/>
          <w:b w:val="0"/>
          <w:i w:val="0"/>
          <w:color w:val="000000"/>
          <w:sz w:val="24"/>
        </w:rPr>
        <w:t xml:space="preserve"> Retrieved October 1, 2026, from </w:t>
      </w:r>
      <w:hyperlink r:id="rId36">
        <w:r>
          <w:rPr>
            <w:rFonts w:ascii="Times New Roman" w:hAnsi="Times New Roman" w:cs="Times New Roman" w:eastAsia="Times New Roman"/>
            <w:sz w:val="24"/>
            <w:szCs w:val="24"/>
            <w:color w:val="000000"/>
          </w:rPr>
          <w:t>https://en.moonton.com/about/index.html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MOONTON. (2026, March 25). </w:t>
      </w:r>
      <w:r>
        <w:rPr>
          <w:rFonts w:ascii="Times New Roman" w:hAnsi="Times New Roman" w:cs="Times New Roman" w:eastAsia="Times New Roman"/>
          <w:b w:val="0"/>
          <w:i/>
          <w:color w:val="000000"/>
          <w:sz w:val="24"/>
        </w:rPr>
        <w:t>MPL Indonesia Season 17</w:t>
      </w:r>
      <w:r>
        <w:rPr>
          <w:rFonts w:ascii="Times New Roman" w:hAnsi="Times New Roman" w:cs="Times New Roman" w:eastAsia="Times New Roman"/>
          <w:b w:val="0"/>
          <w:i w:val="0"/>
          <w:color w:val="000000"/>
          <w:sz w:val="24"/>
        </w:rPr>
        <w:t xml:space="preserve"> [News/318: Regular Season 27 Mar–24 Mei 2026, 9 tim]. Retrieved October 1, 2026, from </w:t>
      </w:r>
      <w:hyperlink r:id="rId37">
        <w:r>
          <w:rPr>
            <w:rFonts w:ascii="Times New Roman" w:hAnsi="Times New Roman" w:cs="Times New Roman" w:eastAsia="Times New Roman"/>
            <w:sz w:val="24"/>
            <w:szCs w:val="24"/>
            <w:color w:val="000000"/>
          </w:rPr>
          <w:t>https://en.moonton.com/news/318.html</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MPL Indonesia. (n.d.-a). </w:t>
      </w:r>
      <w:r>
        <w:rPr>
          <w:rFonts w:ascii="Times New Roman" w:hAnsi="Times New Roman" w:cs="Times New Roman" w:eastAsia="Times New Roman"/>
          <w:b w:val="0"/>
          <w:i/>
          <w:color w:val="000000"/>
          <w:sz w:val="24"/>
        </w:rPr>
        <w:t>Homepage</w:t>
      </w:r>
      <w:r>
        <w:rPr>
          <w:rFonts w:ascii="Times New Roman" w:hAnsi="Times New Roman" w:cs="Times New Roman" w:eastAsia="Times New Roman"/>
          <w:b w:val="0"/>
          <w:i w:val="0"/>
          <w:color w:val="000000"/>
          <w:sz w:val="24"/>
        </w:rPr>
        <w:t xml:space="preserve"> [S18 Regular Season 14 Agu–18 Okt 2026, 9 tim, venue XO Hall, hadiah Rp 5 miliar]. Retrieved October 1, 2026, from </w:t>
      </w:r>
      <w:hyperlink r:id="rId38">
        <w:r>
          <w:rPr>
            <w:rFonts w:ascii="Times New Roman" w:hAnsi="Times New Roman" w:cs="Times New Roman" w:eastAsia="Times New Roman"/>
            <w:sz w:val="24"/>
            <w:szCs w:val="24"/>
            <w:color w:val="000000"/>
          </w:rPr>
          <w:t>https://id-mpl.com/</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MPL Indonesia. (n.d.-b). </w:t>
      </w:r>
      <w:r>
        <w:rPr>
          <w:rFonts w:ascii="Times New Roman" w:hAnsi="Times New Roman" w:cs="Times New Roman" w:eastAsia="Times New Roman"/>
          <w:b w:val="0"/>
          <w:i/>
          <w:color w:val="000000"/>
          <w:sz w:val="24"/>
        </w:rPr>
        <w:t>MPL journey</w:t>
      </w:r>
      <w:r>
        <w:rPr>
          <w:rFonts w:ascii="Times New Roman" w:hAnsi="Times New Roman" w:cs="Times New Roman" w:eastAsia="Times New Roman"/>
          <w:b w:val="0"/>
          <w:i w:val="0"/>
          <w:color w:val="000000"/>
          <w:sz w:val="24"/>
        </w:rPr>
        <w:t xml:space="preserve"> [arsip </w:t>
      </w:r>
      <w:r>
        <w:rPr>
          <w:rFonts w:ascii="Times New Roman" w:hAnsi="Times New Roman" w:cs="Times New Roman" w:eastAsia="Times New Roman"/>
          <w:b w:val="0"/>
          <w:i/>
          <w:color w:val="000000"/>
          <w:sz w:val="24"/>
        </w:rPr>
        <w:t>banner champion</w:t>
      </w:r>
      <w:r>
        <w:rPr>
          <w:rFonts w:ascii="Times New Roman" w:hAnsi="Times New Roman" w:cs="Times New Roman" w:eastAsia="Times New Roman"/>
          <w:b w:val="0"/>
          <w:i w:val="0"/>
          <w:color w:val="000000"/>
          <w:sz w:val="24"/>
        </w:rPr>
        <w:t xml:space="preserve"> S1–S17]. Retrieved October 1, 2026, from </w:t>
      </w:r>
      <w:hyperlink r:id="rId39">
        <w:r>
          <w:rPr>
            <w:rFonts w:ascii="Times New Roman" w:hAnsi="Times New Roman" w:cs="Times New Roman" w:eastAsia="Times New Roman"/>
            <w:sz w:val="24"/>
            <w:szCs w:val="24"/>
            <w:color w:val="000000"/>
          </w:rPr>
          <w:t>https://id-mpl.com/en/mpljourney</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Newzoo. (n.d.). </w:t>
      </w:r>
      <w:r>
        <w:rPr>
          <w:rFonts w:ascii="Times New Roman" w:hAnsi="Times New Roman" w:cs="Times New Roman" w:eastAsia="Times New Roman"/>
          <w:b w:val="0"/>
          <w:i/>
          <w:color w:val="000000"/>
          <w:sz w:val="24"/>
        </w:rPr>
        <w:t>Newzoo's global games market report 2026</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report page</w:t>
      </w:r>
      <w:r>
        <w:rPr>
          <w:rFonts w:ascii="Times New Roman" w:hAnsi="Times New Roman" w:cs="Times New Roman" w:eastAsia="Times New Roman"/>
          <w:b w:val="0"/>
          <w:i w:val="0"/>
          <w:color w:val="000000"/>
          <w:sz w:val="24"/>
        </w:rPr>
        <w:t xml:space="preserve">: Free Edition 33/200 hlm, </w:t>
      </w:r>
      <w:r>
        <w:rPr>
          <w:rFonts w:ascii="Times New Roman" w:hAnsi="Times New Roman" w:cs="Times New Roman" w:eastAsia="Times New Roman"/>
          <w:b w:val="0"/>
          <w:i/>
          <w:color w:val="000000"/>
          <w:sz w:val="24"/>
        </w:rPr>
        <w:t>country-level</w:t>
      </w:r>
      <w:r>
        <w:rPr>
          <w:rFonts w:ascii="Times New Roman" w:hAnsi="Times New Roman" w:cs="Times New Roman" w:eastAsia="Times New Roman"/>
          <w:b w:val="0"/>
          <w:i w:val="0"/>
          <w:color w:val="000000"/>
          <w:sz w:val="24"/>
        </w:rPr>
        <w:t xml:space="preserve"> 100 pasar hanya </w:t>
      </w:r>
      <w:r>
        <w:rPr>
          <w:rFonts w:ascii="Times New Roman" w:hAnsi="Times New Roman" w:cs="Times New Roman" w:eastAsia="Times New Roman"/>
          <w:b w:val="0"/>
          <w:i/>
          <w:color w:val="000000"/>
          <w:sz w:val="24"/>
        </w:rPr>
        <w:t>full subscription</w:t>
      </w:r>
      <w:r>
        <w:rPr>
          <w:rFonts w:ascii="Times New Roman" w:hAnsi="Times New Roman" w:cs="Times New Roman" w:eastAsia="Times New Roman"/>
          <w:b w:val="0"/>
          <w:i w:val="0"/>
          <w:color w:val="000000"/>
          <w:sz w:val="24"/>
        </w:rPr>
        <w:t xml:space="preserve">]. Retrieved October 1, 2026, from </w:t>
      </w:r>
      <w:hyperlink r:id="rId40">
        <w:r>
          <w:rPr>
            <w:rFonts w:ascii="Times New Roman" w:hAnsi="Times New Roman" w:cs="Times New Roman" w:eastAsia="Times New Roman"/>
            <w:sz w:val="24"/>
            <w:szCs w:val="24"/>
            <w:color w:val="000000"/>
          </w:rPr>
          <w:t>https://newzoo.com/reports/newzoo-s-global-games-market-report-2026</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Newzoo. (2026, August 25). </w:t>
      </w:r>
      <w:r>
        <w:rPr>
          <w:rFonts w:ascii="Times New Roman" w:hAnsi="Times New Roman" w:cs="Times New Roman" w:eastAsia="Times New Roman"/>
          <w:b w:val="0"/>
          <w:i/>
          <w:color w:val="000000"/>
          <w:sz w:val="24"/>
        </w:rPr>
        <w:t>2026 global games market: Key numbers.</w:t>
      </w:r>
      <w:r>
        <w:rPr>
          <w:rFonts w:ascii="Times New Roman" w:hAnsi="Times New Roman" w:cs="Times New Roman" w:eastAsia="Times New Roman"/>
          <w:b w:val="0"/>
          <w:i w:val="0"/>
          <w:color w:val="000000"/>
          <w:sz w:val="24"/>
        </w:rPr>
        <w:t xml:space="preserve"> Retrieved October 1, 2026, from </w:t>
      </w:r>
      <w:hyperlink r:id="rId41">
        <w:r>
          <w:rPr>
            <w:rFonts w:ascii="Times New Roman" w:hAnsi="Times New Roman" w:cs="Times New Roman" w:eastAsia="Times New Roman"/>
            <w:sz w:val="24"/>
            <w:szCs w:val="24"/>
            <w:color w:val="000000"/>
          </w:rPr>
          <w:t>https://newzoo.com/articles/2026-global-games-market-key-numbers</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Ngo, T. T. A., Vuong, B. L., Le, M. D., Nguyen, T. T., Tran, M. M., &amp; Nguyen, Q. K. (2024). The impact of eWOM information in social media on the online purchase intention of Generation Z. </w:t>
      </w:r>
      <w:r>
        <w:rPr>
          <w:rFonts w:ascii="Times New Roman" w:hAnsi="Times New Roman" w:cs="Times New Roman" w:eastAsia="Times New Roman"/>
          <w:b w:val="0"/>
          <w:i/>
          <w:color w:val="000000"/>
          <w:sz w:val="24"/>
        </w:rPr>
        <w:t>Cogent Business &amp; Management, 11</w:t>
      </w:r>
      <w:r>
        <w:rPr>
          <w:rFonts w:ascii="Times New Roman" w:hAnsi="Times New Roman" w:cs="Times New Roman" w:eastAsia="Times New Roman"/>
          <w:b w:val="0"/>
          <w:i w:val="0"/>
          <w:color w:val="000000"/>
          <w:sz w:val="24"/>
        </w:rPr>
        <w:t xml:space="preserve">(1), 2316933. </w:t>
      </w:r>
      <w:hyperlink r:id="rId42">
        <w:r>
          <w:rPr>
            <w:rFonts w:ascii="Times New Roman" w:hAnsi="Times New Roman" w:cs="Times New Roman" w:eastAsia="Times New Roman"/>
            <w:sz w:val="24"/>
            <w:szCs w:val="24"/>
            <w:color w:val="000000"/>
          </w:rPr>
          <w:t>https://doi.org/10.1080/23311975.2024.2316933</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Octaviani, R., &amp; Hartono, A. (2023). The effect of influencer and endorsement content on consumer purchase intention. </w:t>
      </w:r>
      <w:r>
        <w:rPr>
          <w:rFonts w:ascii="Times New Roman" w:hAnsi="Times New Roman" w:cs="Times New Roman" w:eastAsia="Times New Roman"/>
          <w:b w:val="0"/>
          <w:i/>
          <w:color w:val="000000"/>
          <w:sz w:val="24"/>
        </w:rPr>
        <w:t>Journal of Economics Management and Trade, 29</w:t>
      </w:r>
      <w:r>
        <w:rPr>
          <w:rFonts w:ascii="Times New Roman" w:hAnsi="Times New Roman" w:cs="Times New Roman" w:eastAsia="Times New Roman"/>
          <w:b w:val="0"/>
          <w:i w:val="0"/>
          <w:color w:val="000000"/>
          <w:sz w:val="24"/>
        </w:rPr>
        <w:t xml:space="preserve">(7), 83–97. </w:t>
      </w:r>
      <w:hyperlink r:id="rId43">
        <w:r>
          <w:rPr>
            <w:rFonts w:ascii="Times New Roman" w:hAnsi="Times New Roman" w:cs="Times New Roman" w:eastAsia="Times New Roman"/>
            <w:sz w:val="24"/>
            <w:szCs w:val="24"/>
            <w:color w:val="000000"/>
          </w:rPr>
          <w:t>https://doi.org/10.9734/JEMT/2023/v29i71107</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Ohanian, R. (1990). Construction and validation of a scale to measure celebrity endorsers' perceived expertise, trustworthiness, and attractiveness. </w:t>
      </w:r>
      <w:r>
        <w:rPr>
          <w:rFonts w:ascii="Times New Roman" w:hAnsi="Times New Roman" w:cs="Times New Roman" w:eastAsia="Times New Roman"/>
          <w:b w:val="0"/>
          <w:i/>
          <w:color w:val="000000"/>
          <w:sz w:val="24"/>
        </w:rPr>
        <w:t>Journal of Advertising, 19</w:t>
      </w:r>
      <w:r>
        <w:rPr>
          <w:rFonts w:ascii="Times New Roman" w:hAnsi="Times New Roman" w:cs="Times New Roman" w:eastAsia="Times New Roman"/>
          <w:b w:val="0"/>
          <w:i w:val="0"/>
          <w:color w:val="000000"/>
          <w:sz w:val="24"/>
        </w:rPr>
        <w:t>(3), 39–52</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Park, D.-H., &amp; Lee, J. (2008). </w:t>
      </w:r>
      <w:r>
        <w:rPr>
          <w:rFonts w:ascii="Times New Roman" w:hAnsi="Times New Roman" w:cs="Times New Roman" w:eastAsia="Times New Roman"/>
          <w:b w:val="0"/>
          <w:i/>
          <w:color w:val="000000"/>
          <w:sz w:val="24"/>
        </w:rPr>
        <w:t>eWOM overload</w:t>
      </w:r>
      <w:r>
        <w:rPr>
          <w:rFonts w:ascii="Times New Roman" w:hAnsi="Times New Roman" w:cs="Times New Roman" w:eastAsia="Times New Roman"/>
          <w:b w:val="0"/>
          <w:i w:val="0"/>
          <w:color w:val="000000"/>
          <w:sz w:val="24"/>
        </w:rPr>
        <w:t xml:space="preserve"> and its effect on consumer behavioral intention depending on consumer involvement [wadah/volume/halaman UNVERIFIED — tidak dicantumkan]</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Pérez de Prado, R., </w:t>
      </w:r>
      <w:r>
        <w:rPr>
          <w:rFonts w:ascii="Times New Roman" w:hAnsi="Times New Roman" w:cs="Times New Roman" w:eastAsia="Times New Roman"/>
          <w:b w:val="0"/>
          <w:i/>
          <w:color w:val="000000"/>
          <w:sz w:val="24"/>
        </w:rPr>
        <w:t>et al.</w:t>
      </w:r>
      <w:r>
        <w:rPr>
          <w:rFonts w:ascii="Times New Roman" w:hAnsi="Times New Roman" w:cs="Times New Roman" w:eastAsia="Times New Roman"/>
          <w:b w:val="0"/>
          <w:i w:val="0"/>
          <w:color w:val="000000"/>
          <w:sz w:val="24"/>
        </w:rPr>
        <w:t xml:space="preserve"> (2021). A technology acceptance model-based analytics for online mobile games using machine learning techniques. </w:t>
      </w:r>
      <w:r>
        <w:rPr>
          <w:rFonts w:ascii="Times New Roman" w:hAnsi="Times New Roman" w:cs="Times New Roman" w:eastAsia="Times New Roman"/>
          <w:b w:val="0"/>
          <w:i/>
          <w:color w:val="000000"/>
          <w:sz w:val="24"/>
        </w:rPr>
        <w:t>Symmetry, 13</w:t>
      </w:r>
      <w:r>
        <w:rPr>
          <w:rFonts w:ascii="Times New Roman" w:hAnsi="Times New Roman" w:cs="Times New Roman" w:eastAsia="Times New Roman"/>
          <w:b w:val="0"/>
          <w:i w:val="0"/>
          <w:color w:val="000000"/>
          <w:sz w:val="24"/>
        </w:rPr>
        <w:t xml:space="preserve">(8), 1545. </w:t>
      </w:r>
      <w:hyperlink r:id="rId44">
        <w:r>
          <w:rPr>
            <w:rFonts w:ascii="Times New Roman" w:hAnsi="Times New Roman" w:cs="Times New Roman" w:eastAsia="Times New Roman"/>
            <w:sz w:val="24"/>
            <w:szCs w:val="24"/>
            <w:color w:val="000000"/>
          </w:rPr>
          <w:t>https://doi.org/10.3390/sym13081545</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Putri, F. E. V. S., &amp; Tiarawati, M. (2021). The effect of social media influencer and brand image on online purchase intention during the Covid-19 pandemic. </w:t>
      </w:r>
      <w:r>
        <w:rPr>
          <w:rFonts w:ascii="Times New Roman" w:hAnsi="Times New Roman" w:cs="Times New Roman" w:eastAsia="Times New Roman"/>
          <w:b w:val="0"/>
          <w:i/>
          <w:color w:val="000000"/>
          <w:sz w:val="24"/>
        </w:rPr>
        <w:t>Ilomata International Journal of Management, 2</w:t>
      </w:r>
      <w:r>
        <w:rPr>
          <w:rFonts w:ascii="Times New Roman" w:hAnsi="Times New Roman" w:cs="Times New Roman" w:eastAsia="Times New Roman"/>
          <w:b w:val="0"/>
          <w:i w:val="0"/>
          <w:color w:val="000000"/>
          <w:sz w:val="24"/>
        </w:rPr>
        <w:t xml:space="preserve">(3), 163–171. </w:t>
      </w:r>
      <w:hyperlink r:id="rId45">
        <w:r>
          <w:rPr>
            <w:rFonts w:ascii="Times New Roman" w:hAnsi="Times New Roman" w:cs="Times New Roman" w:eastAsia="Times New Roman"/>
            <w:sz w:val="24"/>
            <w:szCs w:val="24"/>
            <w:color w:val="000000"/>
          </w:rPr>
          <w:t>https://doi.org/10.52728/ijjm.v2i3.261</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Rahaman, M. A., Hassan, H. M. K., Asheq, A. A., &amp; Islam, K. M. A. (2022). The interplay between eWOM information and purchase intention on social media: Through the lens of IAM and TAM theory. </w:t>
      </w:r>
      <w:r>
        <w:rPr>
          <w:rFonts w:ascii="Times New Roman" w:hAnsi="Times New Roman" w:cs="Times New Roman" w:eastAsia="Times New Roman"/>
          <w:b w:val="0"/>
          <w:i/>
          <w:color w:val="000000"/>
          <w:sz w:val="24"/>
        </w:rPr>
        <w:t>PLOS ONE, 17</w:t>
      </w:r>
      <w:r>
        <w:rPr>
          <w:rFonts w:ascii="Times New Roman" w:hAnsi="Times New Roman" w:cs="Times New Roman" w:eastAsia="Times New Roman"/>
          <w:b w:val="0"/>
          <w:i w:val="0"/>
          <w:color w:val="000000"/>
          <w:sz w:val="24"/>
        </w:rPr>
        <w:t xml:space="preserve">(9), e0272926. </w:t>
      </w:r>
      <w:hyperlink r:id="rId46">
        <w:r>
          <w:rPr>
            <w:rFonts w:ascii="Times New Roman" w:hAnsi="Times New Roman" w:cs="Times New Roman" w:eastAsia="Times New Roman"/>
            <w:sz w:val="24"/>
            <w:szCs w:val="24"/>
            <w:color w:val="000000"/>
          </w:rPr>
          <w:t>https://doi.org/10.1371/journal.pone.0272926</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Ranti, M. S., &amp; Setiyaningrum, A. (2022). The determinant factors of products purchase intention in </w:t>
      </w:r>
      <w:r>
        <w:rPr>
          <w:rFonts w:ascii="Times New Roman" w:hAnsi="Times New Roman" w:cs="Times New Roman" w:eastAsia="Times New Roman"/>
          <w:b w:val="0"/>
          <w:i/>
          <w:color w:val="000000"/>
          <w:sz w:val="24"/>
        </w:rPr>
        <w:t>e-commerce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Jurnal Manajemen Maranatha, 22</w:t>
      </w:r>
      <w:r>
        <w:rPr>
          <w:rFonts w:ascii="Times New Roman" w:hAnsi="Times New Roman" w:cs="Times New Roman" w:eastAsia="Times New Roman"/>
          <w:b w:val="0"/>
          <w:i w:val="0"/>
          <w:color w:val="000000"/>
          <w:sz w:val="24"/>
        </w:rPr>
        <w:t xml:space="preserve">(1), 1–16. </w:t>
      </w:r>
      <w:hyperlink r:id="rId47">
        <w:r>
          <w:rPr>
            <w:rFonts w:ascii="Times New Roman" w:hAnsi="Times New Roman" w:cs="Times New Roman" w:eastAsia="Times New Roman"/>
            <w:sz w:val="24"/>
            <w:szCs w:val="24"/>
            <w:color w:val="000000"/>
          </w:rPr>
          <w:t>https://doi.org/10.28932/jmm.v22i1.4850</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Sastri, G. U., &amp; Harsoyo, T. D. (2023). Pengaruh </w:t>
      </w:r>
      <w:r>
        <w:rPr>
          <w:rFonts w:ascii="Times New Roman" w:hAnsi="Times New Roman" w:cs="Times New Roman" w:eastAsia="Times New Roman"/>
          <w:b w:val="0"/>
          <w:i/>
          <w:color w:val="000000"/>
          <w:sz w:val="24"/>
        </w:rPr>
        <w:t>electronic word of mouth</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perceived quality</w:t>
      </w:r>
      <w:r>
        <w:rPr>
          <w:rFonts w:ascii="Times New Roman" w:hAnsi="Times New Roman" w:cs="Times New Roman" w:eastAsia="Times New Roman"/>
          <w:b w:val="0"/>
          <w:i w:val="0"/>
          <w:color w:val="000000"/>
          <w:sz w:val="24"/>
        </w:rPr>
        <w:t xml:space="preserve">, dan </w:t>
      </w:r>
      <w:r>
        <w:rPr>
          <w:rFonts w:ascii="Times New Roman" w:hAnsi="Times New Roman" w:cs="Times New Roman" w:eastAsia="Times New Roman"/>
          <w:b w:val="0"/>
          <w:i/>
          <w:color w:val="000000"/>
          <w:sz w:val="24"/>
        </w:rPr>
        <w:t>social media marketing</w:t>
      </w:r>
      <w:r>
        <w:rPr>
          <w:rFonts w:ascii="Times New Roman" w:hAnsi="Times New Roman" w:cs="Times New Roman" w:eastAsia="Times New Roman"/>
          <w:b w:val="0"/>
          <w:i w:val="0"/>
          <w:color w:val="000000"/>
          <w:sz w:val="24"/>
        </w:rPr>
        <w:t xml:space="preserve"> terhadap keputusan pembelian produk Mayoutfit. </w:t>
      </w:r>
      <w:r>
        <w:rPr>
          <w:rFonts w:ascii="Times New Roman" w:hAnsi="Times New Roman" w:cs="Times New Roman" w:eastAsia="Times New Roman"/>
          <w:b w:val="0"/>
          <w:i/>
          <w:color w:val="000000"/>
          <w:sz w:val="24"/>
        </w:rPr>
        <w:t>Jurnal Ekobis Dewantara, 6</w:t>
      </w:r>
      <w:r>
        <w:rPr>
          <w:rFonts w:ascii="Times New Roman" w:hAnsi="Times New Roman" w:cs="Times New Roman" w:eastAsia="Times New Roman"/>
          <w:b w:val="0"/>
          <w:i w:val="0"/>
          <w:color w:val="000000"/>
          <w:sz w:val="24"/>
        </w:rPr>
        <w:t xml:space="preserve">(3). </w:t>
      </w:r>
      <w:hyperlink r:id="rId48">
        <w:r>
          <w:rPr>
            <w:rFonts w:ascii="Times New Roman" w:hAnsi="Times New Roman" w:cs="Times New Roman" w:eastAsia="Times New Roman"/>
            <w:sz w:val="24"/>
            <w:szCs w:val="24"/>
            <w:color w:val="000000"/>
          </w:rPr>
          <w:t>https://pdfs.semanticscholar.org/ce91/5c911329f5a45c4744f2ee1198910e021ef6.pdf</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Sensor Tower. (2025, May). </w:t>
      </w:r>
      <w:r>
        <w:rPr>
          <w:rFonts w:ascii="Times New Roman" w:hAnsi="Times New Roman" w:cs="Times New Roman" w:eastAsia="Times New Roman"/>
          <w:b w:val="0"/>
          <w:i/>
          <w:color w:val="000000"/>
          <w:sz w:val="24"/>
        </w:rPr>
        <w:t>Southeast Asia mobile gaming 2025</w:t>
      </w:r>
      <w:r>
        <w:rPr>
          <w:rFonts w:ascii="Times New Roman" w:hAnsi="Times New Roman" w:cs="Times New Roman" w:eastAsia="Times New Roman"/>
          <w:b w:val="0"/>
          <w:i w:val="0"/>
          <w:color w:val="000000"/>
          <w:sz w:val="24"/>
        </w:rPr>
        <w:t xml:space="preserve"> [blog, acuan Q1 2025: SEA 1,93 miliar instal dan $625 jt IAP; Indonesia 870 jt unduhan]. Retrieved October 1, 2026, from </w:t>
      </w:r>
      <w:hyperlink r:id="rId49">
        <w:r>
          <w:rPr>
            <w:rFonts w:ascii="Times New Roman" w:hAnsi="Times New Roman" w:cs="Times New Roman" w:eastAsia="Times New Roman"/>
            <w:sz w:val="24"/>
            <w:szCs w:val="24"/>
            <w:color w:val="000000"/>
          </w:rPr>
          <w:t>https://sensortower.com/blog/southeast-asia-mobile-gaming-2025</w:t>
        </w:r>
      </w:hyperlink>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van der Heijden, H. (2004). User acceptance of hedonic information systems. </w:t>
      </w:r>
      <w:r>
        <w:rPr>
          <w:rFonts w:ascii="Times New Roman" w:hAnsi="Times New Roman" w:cs="Times New Roman" w:eastAsia="Times New Roman"/>
          <w:b w:val="0"/>
          <w:i/>
          <w:color w:val="000000"/>
          <w:sz w:val="24"/>
        </w:rPr>
        <w:t>MIS Quarterly, 28</w:t>
      </w:r>
      <w:r>
        <w:rPr>
          <w:rFonts w:ascii="Times New Roman" w:hAnsi="Times New Roman" w:cs="Times New Roman" w:eastAsia="Times New Roman"/>
          <w:b w:val="0"/>
          <w:i w:val="0"/>
          <w:color w:val="000000"/>
          <w:sz w:val="24"/>
        </w:rPr>
        <w:t>(4), 695–704</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Venkatesh, V. (2000). Determinants of perceived ease of use: Integrating control, intrinsic motivation, and emotion into the technology acceptance model. </w:t>
      </w:r>
      <w:r>
        <w:rPr>
          <w:rFonts w:ascii="Times New Roman" w:hAnsi="Times New Roman" w:cs="Times New Roman" w:eastAsia="Times New Roman"/>
          <w:b w:val="0"/>
          <w:i/>
          <w:color w:val="000000"/>
          <w:sz w:val="24"/>
        </w:rPr>
        <w:t>Information Systems Research, 11</w:t>
      </w:r>
      <w:r>
        <w:rPr>
          <w:rFonts w:ascii="Times New Roman" w:hAnsi="Times New Roman" w:cs="Times New Roman" w:eastAsia="Times New Roman"/>
          <w:b w:val="0"/>
          <w:i w:val="0"/>
          <w:color w:val="000000"/>
          <w:sz w:val="24"/>
        </w:rPr>
        <w:t>(4), 342–365</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Venkatesh, V., &amp; Bala, H. (2008). Technology acceptance model 3 and a research agenda on interventions. </w:t>
      </w:r>
      <w:r>
        <w:rPr>
          <w:rFonts w:ascii="Times New Roman" w:hAnsi="Times New Roman" w:cs="Times New Roman" w:eastAsia="Times New Roman"/>
          <w:b w:val="0"/>
          <w:i/>
          <w:color w:val="000000"/>
          <w:sz w:val="24"/>
        </w:rPr>
        <w:t>Decision Sciences, 39</w:t>
      </w:r>
      <w:r>
        <w:rPr>
          <w:rFonts w:ascii="Times New Roman" w:hAnsi="Times New Roman" w:cs="Times New Roman" w:eastAsia="Times New Roman"/>
          <w:b w:val="0"/>
          <w:i w:val="0"/>
          <w:color w:val="000000"/>
          <w:sz w:val="24"/>
        </w:rPr>
        <w:t>(2), 273–315</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Venkatesh, V., Morris, M. G., Davis, G. B., &amp; Davis, F. D. (2003). User acceptance of information technology: Toward a unified view. </w:t>
      </w:r>
      <w:r>
        <w:rPr>
          <w:rFonts w:ascii="Times New Roman" w:hAnsi="Times New Roman" w:cs="Times New Roman" w:eastAsia="Times New Roman"/>
          <w:b w:val="0"/>
          <w:i/>
          <w:color w:val="000000"/>
          <w:sz w:val="24"/>
        </w:rPr>
        <w:t>MIS Quarterly, 27</w:t>
      </w:r>
      <w:r>
        <w:rPr>
          <w:rFonts w:ascii="Times New Roman" w:hAnsi="Times New Roman" w:cs="Times New Roman" w:eastAsia="Times New Roman"/>
          <w:b w:val="0"/>
          <w:i w:val="0"/>
          <w:color w:val="000000"/>
          <w:sz w:val="24"/>
        </w:rPr>
        <w:t>(3), 425–478</w:t>
      </w:r>
    </w:p>
    <w:p>
      <w:pPr>
        <w:spacing w:line="276" w:lineRule="auto" w:before="0" w:after="0"/>
        <w:ind w:left="709" w:hanging="709"/>
        <w:jc w:val="both"/>
      </w:pPr>
      <w:r>
        <w:rPr>
          <w:rFonts w:ascii="Times New Roman" w:hAnsi="Times New Roman" w:cs="Times New Roman" w:eastAsia="Times New Roman"/>
          <w:b w:val="0"/>
          <w:i w:val="0"/>
          <w:color w:val="000000"/>
          <w:sz w:val="24"/>
        </w:rPr>
        <w:t xml:space="preserve">Weismueller, J., Harrigan, P., Wang, S., &amp; Soutar, G. N. (2020). Influencer endorsements: How advertising disclosure and source credibility affect consumer purchase intention on social media. </w:t>
      </w:r>
      <w:r>
        <w:rPr>
          <w:rFonts w:ascii="Times New Roman" w:hAnsi="Times New Roman" w:cs="Times New Roman" w:eastAsia="Times New Roman"/>
          <w:b w:val="0"/>
          <w:i/>
          <w:color w:val="000000"/>
          <w:sz w:val="24"/>
        </w:rPr>
        <w:t>Australasian Marketing Journal, 28</w:t>
      </w:r>
      <w:r>
        <w:rPr>
          <w:rFonts w:ascii="Times New Roman" w:hAnsi="Times New Roman" w:cs="Times New Roman" w:eastAsia="Times New Roman"/>
          <w:b w:val="0"/>
          <w:i w:val="0"/>
          <w:color w:val="000000"/>
          <w:sz w:val="24"/>
        </w:rPr>
        <w:t xml:space="preserve">(4), 160–170. </w:t>
      </w:r>
      <w:hyperlink r:id="rId50">
        <w:r>
          <w:rPr>
            <w:rFonts w:ascii="Times New Roman" w:hAnsi="Times New Roman" w:cs="Times New Roman" w:eastAsia="Times New Roman"/>
            <w:sz w:val="24"/>
            <w:szCs w:val="24"/>
            <w:color w:val="000000"/>
          </w:rPr>
          <w:t>https://doi.org/10.1016/j.ausmj.2020.03.002</w:t>
        </w:r>
      </w:hyperlink>
    </w:p>
    <w:p>
      <w:pPr>
        <w:spacing w:line="276" w:lineRule="auto" w:before="0" w:after="0"/>
        <w:ind w:left="709" w:hanging="709"/>
        <w:jc w:val="both"/>
      </w:pPr>
      <w:r>
        <w:rPr>
          <w:rFonts w:ascii="Times New Roman" w:hAnsi="Times New Roman" w:cs="Times New Roman" w:eastAsia="Times New Roman"/>
          <w:b w:val="0"/>
          <w:i w:val="0"/>
          <w:color w:val="000000"/>
          <w:sz w:val="24"/>
        </w:rPr>
        <w:t>Winarno, K. O., &amp; Indrawati, I. (2022). Impact of social media marketing and electronic word of mouth (</w:t>
      </w:r>
      <w:r>
        <w:rPr>
          <w:rFonts w:ascii="Times New Roman" w:hAnsi="Times New Roman" w:cs="Times New Roman" w:eastAsia="Times New Roman"/>
          <w:b w:val="0"/>
          <w:i/>
          <w:color w:val="000000"/>
          <w:sz w:val="24"/>
        </w:rPr>
        <w:t>e-WOM</w:t>
      </w:r>
      <w:r>
        <w:rPr>
          <w:rFonts w:ascii="Times New Roman" w:hAnsi="Times New Roman" w:cs="Times New Roman" w:eastAsia="Times New Roman"/>
          <w:b w:val="0"/>
          <w:i w:val="0"/>
          <w:color w:val="000000"/>
          <w:sz w:val="24"/>
        </w:rPr>
        <w:t xml:space="preserve">) on purchase intention. </w:t>
      </w:r>
      <w:r>
        <w:rPr>
          <w:rFonts w:ascii="Times New Roman" w:hAnsi="Times New Roman" w:cs="Times New Roman" w:eastAsia="Times New Roman"/>
          <w:b w:val="0"/>
          <w:i/>
          <w:color w:val="000000"/>
          <w:sz w:val="24"/>
        </w:rPr>
        <w:t>Jurnal Aplikasi Manajemen, 20</w:t>
      </w:r>
      <w:r>
        <w:rPr>
          <w:rFonts w:ascii="Times New Roman" w:hAnsi="Times New Roman" w:cs="Times New Roman" w:eastAsia="Times New Roman"/>
          <w:b w:val="0"/>
          <w:i w:val="0"/>
          <w:color w:val="000000"/>
          <w:sz w:val="24"/>
        </w:rPr>
        <w:t xml:space="preserve">(3), 668–683. </w:t>
      </w:r>
      <w:hyperlink r:id="rId51">
        <w:r>
          <w:rPr>
            <w:rFonts w:ascii="Times New Roman" w:hAnsi="Times New Roman" w:cs="Times New Roman" w:eastAsia="Times New Roman"/>
            <w:sz w:val="24"/>
            <w:szCs w:val="24"/>
            <w:color w:val="000000"/>
          </w:rPr>
          <w:t>https://doi.org/10.21776/ub.jam.2022.020.03.15</w:t>
        </w:r>
      </w:hyperlink>
    </w:p>
    <w:sectPr w:rsidR="00FC693F" w:rsidRPr="0006063C" w:rsidSect="00034616">
      <w:footerReference w:type="default" r:id="rId14"/>
      <w:headerReference w:type="default" r:id="rId15"/>
      <w:pgSz w:w="11906" w:h="16838"/>
      <w:pgMar w:top="1701" w:right="1701"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eastAsia="Times New Roman"/>
        <w:b/>
        <w:i w:val="0"/>
        <w:color w:val="000000"/>
        <w:sz w:val="20"/>
      </w:rPr>
      <w:t xml:space="preserve">Universitas Kristen Krida Wacana | </w:t>
    </w:r>
    <w:r>
      <w:rPr>
        <w:rFonts w:ascii="Times New Roman" w:hAnsi="Times New Roman" w:cs="Times New Roman" w:eastAsia="Times New Roman"/>
        <w:b/>
        <w:i w:val="0"/>
        <w:color w:val="000000"/>
        <w:sz w:val="20"/>
      </w:rPr>
      <w:fldChar w:fldCharType="begin"/>
    </w:r>
    <w:r>
      <w:rPr>
        <w:rFonts w:ascii="Times New Roman" w:hAnsi="Times New Roman" w:cs="Times New Roman" w:eastAsia="Times New Roman"/>
        <w:b/>
        <w:i w:val="0"/>
        <w:color w:val="000000"/>
        <w:sz w:val="20"/>
      </w:rPr>
      <w:instrText xml:space="preserve">PAGE</w:instrText>
    </w:r>
    <w:r>
      <w:rPr>
        <w:rFonts w:ascii="Times New Roman" w:hAnsi="Times New Roman" w:cs="Times New Roman" w:eastAsia="Times New Roman"/>
        <w:b/>
        <w:i w:val="0"/>
        <w:color w:val="000000"/>
        <w:sz w:val="20"/>
      </w:rPr>
      <w:fldChar w:fldCharType="separate"/>
    </w:r>
    <w:r>
      <w:rPr>
        <w:rFonts w:ascii="Times New Roman" w:hAnsi="Times New Roman" w:cs="Times New Roman" w:eastAsia="Times New Roman"/>
        <w:b/>
        <w:i w:val="0"/>
        <w:color w:val="000000"/>
        <w:sz w:val="20"/>
      </w:rPr>
      <w:t>ii</w:t>
    </w:r>
    <w:r>
      <w:rPr>
        <w:rFonts w:ascii="Times New Roman" w:hAnsi="Times New Roman" w:cs="Times New Roman" w:eastAsia="Times New Roman"/>
        <w:b/>
        <w:i w:val="0"/>
        <w:color w:val="000000"/>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s="Times New Roman" w:eastAsia="Times New Roman"/>
        <w:b/>
        <w:i w:val="0"/>
        <w:color w:val="000000"/>
        <w:sz w:val="20"/>
      </w:rPr>
      <w:t xml:space="preserve">Universitas Kristen Krida Wacana | </w:t>
    </w:r>
    <w:r>
      <w:rPr>
        <w:rFonts w:ascii="Times New Roman" w:hAnsi="Times New Roman" w:cs="Times New Roman" w:eastAsia="Times New Roman"/>
        <w:b/>
        <w:i w:val="0"/>
        <w:color w:val="000000"/>
        <w:sz w:val="20"/>
      </w:rPr>
      <w:fldChar w:fldCharType="begin"/>
    </w:r>
    <w:r>
      <w:rPr>
        <w:rFonts w:ascii="Times New Roman" w:hAnsi="Times New Roman" w:cs="Times New Roman" w:eastAsia="Times New Roman"/>
        <w:b/>
        <w:i w:val="0"/>
        <w:color w:val="000000"/>
        <w:sz w:val="20"/>
      </w:rPr>
      <w:instrText xml:space="preserve">PAGE</w:instrText>
    </w:r>
    <w:r>
      <w:rPr>
        <w:rFonts w:ascii="Times New Roman" w:hAnsi="Times New Roman" w:cs="Times New Roman" w:eastAsia="Times New Roman"/>
        <w:b/>
        <w:i w:val="0"/>
        <w:color w:val="000000"/>
        <w:sz w:val="20"/>
      </w:rPr>
      <w:fldChar w:fldCharType="separate"/>
    </w:r>
    <w:r>
      <w:rPr>
        <w:rFonts w:ascii="Times New Roman" w:hAnsi="Times New Roman" w:cs="Times New Roman" w:eastAsia="Times New Roman"/>
        <w:b/>
        <w:i w:val="0"/>
        <w:color w:val="000000"/>
        <w:sz w:val="20"/>
      </w:rPr>
      <w:t>1</w:t>
    </w:r>
    <w:r>
      <w:rPr>
        <w:rFonts w:ascii="Times New Roman" w:hAnsi="Times New Roman" w:cs="Times New Roman" w:eastAsia="Times New Roman"/>
        <w:b/>
        <w:i w:val="0"/>
        <w:color w:val="000000"/>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line="240" w:lineRule="auto" w:before="80" w:after="20"/>
    </w:pPr>
    <w:rPr>
      <w:rFonts w:ascii="Times New Roman" w:hAnsi="Times New Roman"/>
      <w:b/>
      <w:color w:val="000000"/>
      <w:sz w:val="24"/>
    </w:rPr>
  </w:style>
  <w:style w:type="paragraph" w:customStyle="1" w:styleId="toc2">
    <w:name w:val="toc 2"/>
    <w:basedOn w:val="Normal"/>
    <w:pPr>
      <w:spacing w:line="240" w:lineRule="auto" w:before="20" w:after="20"/>
      <w:ind w:left="283"/>
    </w:pPr>
    <w:rPr>
      <w:rFonts w:ascii="Times New Roman" w:hAnsi="Times New Roman"/>
      <w:b w:val="0"/>
      <w:color w:val="000000"/>
      <w:sz w:val="24"/>
    </w:rPr>
  </w:style>
  <w:style w:type="paragraph" w:customStyle="1" w:styleId="toc3">
    <w:name w:val="toc 3"/>
    <w:basedOn w:val="Normal"/>
    <w:pPr>
      <w:spacing w:line="240" w:lineRule="auto" w:before="20" w:after="20"/>
      <w:ind w:left="567"/>
    </w:pPr>
    <w:rPr>
      <w:rFonts w:ascii="Times New Roman" w:hAnsi="Times New Roman"/>
      <w:b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header" Target="header3.xml"/><Relationship Id="rId16" Type="http://schemas.openxmlformats.org/officeDocument/2006/relationships/image" Target="media/image2.png"/><Relationship Id="rId17" Type="http://schemas.openxmlformats.org/officeDocument/2006/relationships/hyperlink" Target="https://apps.apple.com/ge/app/mobile-legends-bang-bang/id1160056295" TargetMode="External"/><Relationship Id="rId18" Type="http://schemas.openxmlformats.org/officeDocument/2006/relationships/hyperlink" Target="https://survei.apjii.or.id/" TargetMode="External"/><Relationship Id="rId19" Type="http://schemas.openxmlformats.org/officeDocument/2006/relationships/hyperlink" Target="https://www.bps.go.id/id/publication/2025/01/31/29a40174e02f20a7a31b5bc3/statistik-demografi-indonesia--hasil-sensus-penduduk-2020-.html" TargetMode="External"/><Relationship Id="rId20" Type="http://schemas.openxmlformats.org/officeDocument/2006/relationships/hyperlink" Target="https://www.bps.go.id/id/publication/2026/06/30/bdc814f38edf0a941f4f9d34/penduduk-dan-indikator-kependudukan-hasil-survei-penduduk-antar-sensus-2025.html" TargetMode="External"/><Relationship Id="rId21" Type="http://schemas.openxmlformats.org/officeDocument/2006/relationships/hyperlink" Target="https://doi.org/10.21511/im.19(4).2023.07" TargetMode="External"/><Relationship Id="rId22" Type="http://schemas.openxmlformats.org/officeDocument/2006/relationships/hyperlink" Target="https://doi.org/10.31334/abiwara.v2i2.772" TargetMode="External"/><Relationship Id="rId23" Type="http://schemas.openxmlformats.org/officeDocument/2006/relationships/hyperlink" Target="https://www.cnnindonesia.com/teknologi/20260521122201-213-1360738/survei-pengguna-internet-indonesia-tumbuh-6-juta-di-2026" TargetMode="External"/><Relationship Id="rId24" Type="http://schemas.openxmlformats.org/officeDocument/2006/relationships/hyperlink" Target="https://doi.org/10.21511/imfi.21(4).2024.19" TargetMode="External"/><Relationship Id="rId25" Type="http://schemas.openxmlformats.org/officeDocument/2006/relationships/hyperlink" Target="https://datareportal.com/reports/digital-2026-indonesia" TargetMode="External"/><Relationship Id="rId26" Type="http://schemas.openxmlformats.org/officeDocument/2006/relationships/hyperlink" Target="https://inet.detik.com/telecommunication/d-8047759/survei-apjii-pengguna-internet-indonesia-2025-tembus-229-juta-jiwa" TargetMode="External"/><Relationship Id="rId27" Type="http://schemas.openxmlformats.org/officeDocument/2006/relationships/hyperlink" Target="https://doi.org/10.53748/jbms.v2i4.61" TargetMode="External"/><Relationship Id="rId28" Type="http://schemas.openxmlformats.org/officeDocument/2006/relationships/hyperlink" Target="https://doi.org/10.2991/assehr.k.201209.063" TargetMode="External"/><Relationship Id="rId29" Type="http://schemas.openxmlformats.org/officeDocument/2006/relationships/hyperlink" Target="https://play.google.com/store/apps/details?gl=UK&amp;hl=en&amp;id=com.mobile.legends" TargetMode="External"/><Relationship Id="rId30" Type="http://schemas.openxmlformats.org/officeDocument/2006/relationships/hyperlink" Target="https://doi.org/10.21512/jggag.v5i1.7471" TargetMode="External"/><Relationship Id="rId31" Type="http://schemas.openxmlformats.org/officeDocument/2006/relationships/hyperlink" Target="https://doi.org/10.3390/info11100478" TargetMode="External"/><Relationship Id="rId32" Type="http://schemas.openxmlformats.org/officeDocument/2006/relationships/hyperlink" Target="https://doi.org/10.35794/jmbi.v10i1.44500" TargetMode="External"/><Relationship Id="rId33" Type="http://schemas.openxmlformats.org/officeDocument/2006/relationships/hyperlink" Target="https://doi.org/10.1057/s41270-021-00132-9" TargetMode="External"/><Relationship Id="rId34" Type="http://schemas.openxmlformats.org/officeDocument/2006/relationships/hyperlink" Target="https://doi.org/10.21776/ub.jam.2025.023.1.19" TargetMode="External"/><Relationship Id="rId35" Type="http://schemas.openxmlformats.org/officeDocument/2006/relationships/hyperlink" Target="https://www.mobilelegends.com/en" TargetMode="External"/><Relationship Id="rId36" Type="http://schemas.openxmlformats.org/officeDocument/2006/relationships/hyperlink" Target="https://en.moonton.com/about/index.html" TargetMode="External"/><Relationship Id="rId37" Type="http://schemas.openxmlformats.org/officeDocument/2006/relationships/hyperlink" Target="https://en.moonton.com/news/318.html" TargetMode="External"/><Relationship Id="rId38" Type="http://schemas.openxmlformats.org/officeDocument/2006/relationships/hyperlink" Target="https://id-mpl.com/" TargetMode="External"/><Relationship Id="rId39" Type="http://schemas.openxmlformats.org/officeDocument/2006/relationships/hyperlink" Target="https://id-mpl.com/en/mpljourney" TargetMode="External"/><Relationship Id="rId40" Type="http://schemas.openxmlformats.org/officeDocument/2006/relationships/hyperlink" Target="https://newzoo.com/reports/newzoo-s-global-games-market-report-2026" TargetMode="External"/><Relationship Id="rId41" Type="http://schemas.openxmlformats.org/officeDocument/2006/relationships/hyperlink" Target="https://newzoo.com/articles/2026-global-games-market-key-numbers" TargetMode="External"/><Relationship Id="rId42" Type="http://schemas.openxmlformats.org/officeDocument/2006/relationships/hyperlink" Target="https://doi.org/10.1080/23311975.2024.2316933" TargetMode="External"/><Relationship Id="rId43" Type="http://schemas.openxmlformats.org/officeDocument/2006/relationships/hyperlink" Target="https://doi.org/10.9734/JEMT/2023/v29i71107" TargetMode="External"/><Relationship Id="rId44" Type="http://schemas.openxmlformats.org/officeDocument/2006/relationships/hyperlink" Target="https://doi.org/10.3390/sym13081545" TargetMode="External"/><Relationship Id="rId45" Type="http://schemas.openxmlformats.org/officeDocument/2006/relationships/hyperlink" Target="https://doi.org/10.52728/ijjm.v2i3.261" TargetMode="External"/><Relationship Id="rId46" Type="http://schemas.openxmlformats.org/officeDocument/2006/relationships/hyperlink" Target="https://doi.org/10.1371/journal.pone.0272926" TargetMode="External"/><Relationship Id="rId47" Type="http://schemas.openxmlformats.org/officeDocument/2006/relationships/hyperlink" Target="https://doi.org/10.28932/jmm.v22i1.4850" TargetMode="External"/><Relationship Id="rId48" Type="http://schemas.openxmlformats.org/officeDocument/2006/relationships/hyperlink" Target="https://pdfs.semanticscholar.org/ce91/5c911329f5a45c4744f2ee1198910e021ef6.pdf" TargetMode="External"/><Relationship Id="rId49" Type="http://schemas.openxmlformats.org/officeDocument/2006/relationships/hyperlink" Target="https://sensortower.com/blog/southeast-asia-mobile-gaming-2025" TargetMode="External"/><Relationship Id="rId50" Type="http://schemas.openxmlformats.org/officeDocument/2006/relationships/hyperlink" Target="https://doi.org/10.1016/j.ausmj.2020.03.002" TargetMode="External"/><Relationship Id="rId51" Type="http://schemas.openxmlformats.org/officeDocument/2006/relationships/hyperlink" Target="https://doi.org/10.21776/ub.jam.2022.020.03.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