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28"/>
          <w:szCs w:val="28"/>
        </w:rPr>
        <w:t xml:space="preserve">TEMPLATES DE ENTREGÁVEL — ONBOARDING</w:t>
      </w:r>
    </w:p>
    <w:p>
      <w:pPr>
        <w:spacing w:after="60"/>
      </w:pPr>
      <w:r>
        <w:rPr>
          <w:b/>
          <w:bCs/>
          <w:color w:val="C8942B"/>
          <w:sz w:val="19"/>
          <w:szCs w:val="19"/>
        </w:rPr>
        <w:t xml:space="preserve">Raio-X Estratégico · Mapa de Oportunidades · Pilares de Conteúdo</w:t>
      </w:r>
    </w:p>
    <w:p>
      <w:pPr>
        <w:spacing w:after="140" w:line="262"/>
      </w:pPr>
      <w:r>
        <w:rPr>
          <w:i/>
          <w:iCs/>
          <w:color w:val="606060"/>
          <w:sz w:val="19"/>
          <w:szCs w:val="19"/>
        </w:rPr>
        <w:t xml:space="preserve">Os 3 documentos que o cliente RECEBE no onboarding. Cada um nasce de um formulário (Reuniões 1, 2 e 3). Preencher e entregar — é o que transforma captura em valor visível.</w:t>
      </w:r>
    </w:p>
    <w:p>
      <w:pPr>
        <w:pStyle w:val="Heading1"/>
      </w:pPr>
      <w:r>
        <w:t xml:space="preserve">1. Raio-X Estratégico</w:t>
      </w:r>
    </w:p>
    <w:p>
      <w:pPr>
        <w:spacing w:after="140" w:line="262"/>
      </w:pPr>
      <w:r>
        <w:rPr>
          <w:i/>
          <w:iCs/>
          <w:color w:val="606060"/>
          <w:sz w:val="19"/>
          <w:szCs w:val="19"/>
        </w:rPr>
        <w:t xml:space="preserve">Origem: Reunião 1. Entregar ao fim do diagnóstico. É o retrato do momento + a meta acordada.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Identificação</w:t>
      </w:r>
    </w:p>
    <w:p>
      <w:pPr>
        <w:spacing w:after="30"/>
      </w:pPr>
      <w:r>
        <w:rPr>
          <w:b/>
          <w:bCs/>
          <w:sz w:val="20"/>
          <w:szCs w:val="20"/>
        </w:rPr>
        <w:t xml:space="preserve">Cliente / Expert: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Empresa (razão social):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Trilha (Base até 500k  |  Crescimento 500k–3M  |  Escala acima de 3M):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Diagnóstico</w:t>
      </w:r>
    </w:p>
    <w:p>
      <w:pPr>
        <w:spacing w:after="30"/>
      </w:pPr>
      <w:r>
        <w:rPr>
          <w:b/>
          <w:bCs/>
          <w:sz w:val="20"/>
          <w:szCs w:val="20"/>
        </w:rPr>
        <w:t xml:space="preserve">Área de atuação: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Tempo de mercado e história (marcos):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Principal gargalo hoje: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ICP — nicho, dores e ambições do público: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Meta acordada (vai para o Placar de Evolução)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O que define sucesso para o cliente: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Meta a 90 dias: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Meta a 12 meses: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2. Mapa de Oportunidades</w:t>
      </w:r>
    </w:p>
    <w:p>
      <w:pPr>
        <w:spacing w:after="140" w:line="262"/>
      </w:pPr>
      <w:r>
        <w:rPr>
          <w:i/>
          <w:iCs/>
          <w:color w:val="606060"/>
          <w:sz w:val="19"/>
          <w:szCs w:val="19"/>
        </w:rPr>
        <w:t xml:space="preserve">Origem: Reunião 2. Onde está o gargalo e a esteira a construir.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Equipe</w:t>
      </w:r>
    </w:p>
    <w:p>
      <w:pPr>
        <w:spacing w:after="30"/>
      </w:pPr>
      <w:r>
        <w:rPr>
          <w:b/>
          <w:bCs/>
          <w:sz w:val="20"/>
          <w:szCs w:val="20"/>
        </w:rPr>
        <w:t xml:space="preserve">Estrutura (comercial, marketing, entrega, adm):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Comercial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Tráfego pago e canais de aquisição: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Processo de conversão e ciclo de venda: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CRM e métricas atuais: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Financeiro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Faturamento médio (6 meses):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Margem e metas (curto / longo prazo):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CAC: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Produtos / Esteira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Front end / Back end / High end atuais: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Gargalo identificado: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Esteira a construir (prioridades):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</w:pPr>
      <w:r>
        <w:t xml:space="preserve">3. Pilares de Conteúdo</w:t>
      </w:r>
    </w:p>
    <w:p>
      <w:pPr>
        <w:spacing w:after="140" w:line="262"/>
      </w:pPr>
      <w:r>
        <w:rPr>
          <w:i/>
          <w:iCs/>
          <w:color w:val="606060"/>
          <w:sz w:val="19"/>
          <w:szCs w:val="19"/>
        </w:rPr>
        <w:t xml:space="preserve">Origem: Reunião 3. Validado pelo cliente antes de qualquer produção.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Marca pessoal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Posicionamento e crenças centrais: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Inimigos em comum (com o público):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Jargões e expressões próprias: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Referências culturais: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Temas proibidos / o que não usar: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Pilares definidos (3 a 5)</w:t>
      </w:r>
    </w:p>
    <w:p>
      <w:pPr>
        <w:spacing w:after="30"/>
      </w:pPr>
      <w:r>
        <w:rPr>
          <w:b/>
          <w:bCs/>
          <w:sz w:val="20"/>
          <w:szCs w:val="20"/>
        </w:rPr>
        <w:t xml:space="preserve">Pilar 1: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Pilar 2: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Pilar 3: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Pilar 4 (opcional):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p>
      <w:pPr>
        <w:spacing w:after="30"/>
      </w:pPr>
      <w:r>
        <w:rPr>
          <w:b/>
          <w:bCs/>
          <w:sz w:val="20"/>
          <w:szCs w:val="20"/>
        </w:rPr>
        <w:t xml:space="preserve">Pilar 5 (opcional): </w:t>
      </w:r>
    </w:p>
    <w:p>
      <w:pPr>
        <w:pBdr>
          <w:bottom w:val="single" w:color="BBBBBB" w:sz="4" w:space="6"/>
        </w:pBdr>
        <w:spacing w:after="130"/>
      </w:pPr>
      <w:r>
        <w:rPr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5"/>
        <w:szCs w:val="15"/>
      </w:rPr>
      <w:t xml:space="preserve">Página </w:t>
    </w:r>
    <w:r>
      <w:rPr>
        <w:color w:val="60606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606060"/>
        <w:sz w:val="15"/>
        <w:szCs w:val="15"/>
      </w:rPr>
      <w:t xml:space="preserve">Onboarding — Templates de Entregável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942B" w:sz="6" w:space="3"/>
      </w:pBdr>
      <w:spacing w:after="120" w:before="120"/>
      <w:outlineLvl w:val="0"/>
    </w:pPr>
    <w:rPr>
      <w:rFonts w:ascii="Arial" w:cs="Arial" w:eastAsia="Arial" w:hAnsi="Arial"/>
      <w:b/>
      <w:bCs/>
      <w:color w:val="1F2A4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2026-07-07T19:44:20.031Z</dcterms:created>
  <dcterms:modified xsi:type="dcterms:W3CDTF">2026-07-07T19:44:20.031Z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