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3C67" w14:textId="77777777" w:rsidR="00897234" w:rsidRPr="00EC4D0D" w:rsidRDefault="00897234" w:rsidP="00897234">
      <w:pPr>
        <w:pStyle w:val="Heading1"/>
        <w:ind w:left="-142"/>
        <w:rPr>
          <w:rFonts w:eastAsia="Cambria"/>
          <w:sz w:val="44"/>
          <w:szCs w:val="44"/>
        </w:rPr>
      </w:pPr>
      <w:r w:rsidRPr="00EC4D0D">
        <w:rPr>
          <w:sz w:val="44"/>
          <w:szCs w:val="44"/>
        </w:rPr>
        <w:t xml:space="preserve">Coversheet for BSc Psychology </w:t>
      </w:r>
      <w:r>
        <w:rPr>
          <w:sz w:val="44"/>
          <w:szCs w:val="44"/>
        </w:rPr>
        <w:t xml:space="preserve">/ BSc Neuroscience &amp; Psychology </w:t>
      </w:r>
      <w:r w:rsidRPr="00EC4D0D">
        <w:rPr>
          <w:sz w:val="44"/>
          <w:szCs w:val="44"/>
        </w:rPr>
        <w:t xml:space="preserve">Research </w:t>
      </w:r>
      <w:r>
        <w:rPr>
          <w:sz w:val="44"/>
          <w:szCs w:val="44"/>
        </w:rPr>
        <w:t xml:space="preserve">Project </w:t>
      </w:r>
      <w:r w:rsidRPr="00EC4D0D">
        <w:rPr>
          <w:sz w:val="44"/>
          <w:szCs w:val="44"/>
        </w:rPr>
        <w:t>Report</w:t>
      </w:r>
    </w:p>
    <w:p w14:paraId="49F211F6" w14:textId="77777777" w:rsidR="00897234" w:rsidRPr="00C97992" w:rsidRDefault="00897234" w:rsidP="00897234">
      <w:pPr>
        <w:spacing w:line="240" w:lineRule="auto"/>
        <w:textAlignment w:val="baseline"/>
        <w:rPr>
          <w:rFonts w:ascii="Segoe UI" w:eastAsia="Times New Roman" w:hAnsi="Segoe UI" w:cs="Segoe UI"/>
          <w:sz w:val="18"/>
          <w:szCs w:val="18"/>
          <w:lang w:eastAsia="en-GB"/>
        </w:rPr>
      </w:pPr>
      <w:r w:rsidRPr="00C97992">
        <w:rPr>
          <w:rFonts w:ascii="Calibri" w:eastAsia="Times New Roman" w:hAnsi="Calibri" w:cs="Calibri"/>
          <w:lang w:eastAsia="en-GB"/>
        </w:rPr>
        <w:t xml:space="preserve">Submitting your work either electronically or in hard copy is regarded by your programme as confirmation that you have read, understood and agreed with the </w:t>
      </w:r>
      <w:hyperlink r:id="rId7" w:tgtFrame="_blank" w:history="1">
        <w:r w:rsidRPr="00C97992">
          <w:rPr>
            <w:rFonts w:ascii="Calibri" w:eastAsia="Times New Roman" w:hAnsi="Calibri" w:cs="Calibri"/>
            <w:color w:val="0000FF"/>
            <w:u w:val="single"/>
            <w:lang w:eastAsia="en-GB"/>
          </w:rPr>
          <w:t>Academic Misconduct Policy</w:t>
        </w:r>
      </w:hyperlink>
      <w:r w:rsidRPr="00C97992">
        <w:rPr>
          <w:rFonts w:ascii="Calibri" w:eastAsia="Times New Roman" w:hAnsi="Calibri" w:cs="Calibri"/>
          <w:lang w:eastAsia="en-GB"/>
        </w:rPr>
        <w:t xml:space="preserve">, the </w:t>
      </w:r>
      <w:hyperlink r:id="rId8" w:tgtFrame="_blank" w:history="1">
        <w:r w:rsidRPr="00C97992">
          <w:rPr>
            <w:rFonts w:ascii="Calibri" w:eastAsia="Times New Roman" w:hAnsi="Calibri" w:cs="Calibri"/>
            <w:color w:val="0000FF"/>
            <w:u w:val="single"/>
            <w:lang w:eastAsia="en-GB"/>
          </w:rPr>
          <w:t>Non-Academic Misconduct Policy</w:t>
        </w:r>
      </w:hyperlink>
      <w:r w:rsidRPr="00C97992">
        <w:rPr>
          <w:rFonts w:ascii="Calibri" w:eastAsia="Times New Roman" w:hAnsi="Calibri" w:cs="Calibri"/>
          <w:lang w:eastAsia="en-GB"/>
        </w:rPr>
        <w:t xml:space="preserve">, and the </w:t>
      </w:r>
      <w:hyperlink r:id="rId9" w:tgtFrame="_blank" w:history="1">
        <w:r w:rsidRPr="00C97992">
          <w:rPr>
            <w:rFonts w:ascii="Calibri" w:eastAsia="Times New Roman" w:hAnsi="Calibri" w:cs="Calibri"/>
            <w:color w:val="0000FF"/>
            <w:u w:val="single"/>
            <w:lang w:eastAsia="en-GB"/>
          </w:rPr>
          <w:t>Generative AI: student guidance</w:t>
        </w:r>
      </w:hyperlink>
      <w:r w:rsidRPr="00C97992">
        <w:rPr>
          <w:rFonts w:ascii="Calibri" w:eastAsia="Times New Roman" w:hAnsi="Calibri" w:cs="Calibri"/>
          <w:lang w:eastAsia="en-GB"/>
        </w:rPr>
        <w:t xml:space="preserve"> on using AI tools with integrity and for effective learning. </w:t>
      </w:r>
      <w:r w:rsidRPr="00C97992">
        <w:rPr>
          <w:rFonts w:ascii="Calibri" w:eastAsia="Times New Roman" w:hAnsi="Calibri" w:cs="Calibri"/>
          <w:b/>
          <w:bCs/>
          <w:lang w:eastAsia="en-GB"/>
        </w:rPr>
        <w:t>You must complete all sections of this coversheet.</w:t>
      </w:r>
      <w:r w:rsidRPr="00C97992">
        <w:rPr>
          <w:rFonts w:ascii="Calibri" w:eastAsia="Times New Roman" w:hAnsi="Calibri" w:cs="Calibri"/>
          <w:lang w:eastAsia="en-GB"/>
        </w:rPr>
        <w:t> </w:t>
      </w:r>
    </w:p>
    <w:p w14:paraId="66A7DC56" w14:textId="77777777" w:rsidR="00897234" w:rsidRPr="00C97992" w:rsidRDefault="00897234" w:rsidP="00897234">
      <w:pPr>
        <w:spacing w:line="240" w:lineRule="auto"/>
        <w:textAlignment w:val="baseline"/>
        <w:rPr>
          <w:rFonts w:ascii="Segoe UI" w:eastAsia="Times New Roman" w:hAnsi="Segoe UI" w:cs="Segoe UI"/>
          <w:sz w:val="18"/>
          <w:szCs w:val="18"/>
          <w:lang w:eastAsia="en-GB"/>
        </w:rPr>
      </w:pPr>
      <w:r w:rsidRPr="00C97992">
        <w:rPr>
          <w:rFonts w:ascii="Kings Caslon Text" w:eastAsia="Times New Roman" w:hAnsi="Kings Caslon Text" w:cs="Segoe UI"/>
          <w:lang w:eastAsia="en-GB"/>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90"/>
        <w:gridCol w:w="5610"/>
      </w:tblGrid>
      <w:tr w:rsidR="00897234" w:rsidRPr="00C97992" w14:paraId="3B203358" w14:textId="77777777" w:rsidTr="005F10C9">
        <w:trPr>
          <w:trHeight w:val="270"/>
        </w:trPr>
        <w:tc>
          <w:tcPr>
            <w:tcW w:w="3390" w:type="dxa"/>
            <w:tcBorders>
              <w:top w:val="single" w:sz="6" w:space="0" w:color="auto"/>
              <w:left w:val="single" w:sz="6" w:space="0" w:color="auto"/>
              <w:bottom w:val="single" w:sz="6" w:space="0" w:color="auto"/>
              <w:right w:val="single" w:sz="6" w:space="0" w:color="auto"/>
            </w:tcBorders>
            <w:hideMark/>
          </w:tcPr>
          <w:p w14:paraId="50BCC481" w14:textId="77777777" w:rsidR="00897234" w:rsidRPr="00C97992" w:rsidRDefault="00897234" w:rsidP="005F10C9">
            <w:pPr>
              <w:spacing w:line="240" w:lineRule="auto"/>
              <w:textAlignment w:val="baseline"/>
              <w:rPr>
                <w:rFonts w:ascii="Times New Roman" w:eastAsia="Times New Roman" w:hAnsi="Times New Roman" w:cs="Times New Roman"/>
                <w:lang w:eastAsia="en-GB"/>
              </w:rPr>
            </w:pPr>
            <w:r w:rsidRPr="00C97992">
              <w:rPr>
                <w:rFonts w:ascii="Calibri" w:eastAsia="Times New Roman" w:hAnsi="Calibri" w:cs="Calibri"/>
                <w:lang w:eastAsia="en-GB"/>
              </w:rPr>
              <w:t>K-number  </w:t>
            </w:r>
          </w:p>
        </w:tc>
        <w:tc>
          <w:tcPr>
            <w:tcW w:w="5610" w:type="dxa"/>
            <w:tcBorders>
              <w:top w:val="single" w:sz="6" w:space="0" w:color="auto"/>
              <w:left w:val="single" w:sz="6" w:space="0" w:color="auto"/>
              <w:bottom w:val="single" w:sz="6" w:space="0" w:color="auto"/>
              <w:right w:val="single" w:sz="6" w:space="0" w:color="auto"/>
            </w:tcBorders>
            <w:hideMark/>
          </w:tcPr>
          <w:p w14:paraId="74CB6CF7" w14:textId="6B9367B7" w:rsidR="00897234" w:rsidRPr="00C97992" w:rsidRDefault="00897234" w:rsidP="005F10C9">
            <w:pPr>
              <w:spacing w:line="240" w:lineRule="auto"/>
              <w:textAlignment w:val="baseline"/>
              <w:rPr>
                <w:rFonts w:ascii="Times New Roman" w:eastAsia="Times New Roman" w:hAnsi="Times New Roman" w:cs="Times New Roman"/>
                <w:lang w:eastAsia="en-GB"/>
              </w:rPr>
            </w:pPr>
            <w:r w:rsidRPr="00C97992">
              <w:rPr>
                <w:rFonts w:ascii="Calibri" w:eastAsia="Times New Roman" w:hAnsi="Calibri" w:cs="Calibri"/>
                <w:lang w:eastAsia="en-GB"/>
              </w:rPr>
              <w:t> </w:t>
            </w:r>
            <w:r>
              <w:rPr>
                <w:rFonts w:ascii="Calibri" w:eastAsia="Times New Roman" w:hAnsi="Calibri" w:cs="Calibri"/>
                <w:lang w:eastAsia="en-GB"/>
              </w:rPr>
              <w:t>23002717</w:t>
            </w:r>
          </w:p>
        </w:tc>
      </w:tr>
      <w:tr w:rsidR="00897234" w:rsidRPr="00C97992" w14:paraId="6680A407" w14:textId="77777777" w:rsidTr="005F10C9">
        <w:trPr>
          <w:trHeight w:val="825"/>
        </w:trPr>
        <w:tc>
          <w:tcPr>
            <w:tcW w:w="3390" w:type="dxa"/>
            <w:tcBorders>
              <w:top w:val="single" w:sz="6" w:space="0" w:color="auto"/>
              <w:left w:val="single" w:sz="6" w:space="0" w:color="auto"/>
              <w:bottom w:val="single" w:sz="6" w:space="0" w:color="auto"/>
              <w:right w:val="single" w:sz="6" w:space="0" w:color="auto"/>
            </w:tcBorders>
            <w:hideMark/>
          </w:tcPr>
          <w:p w14:paraId="5D5E9B4C" w14:textId="77777777" w:rsidR="00897234" w:rsidRPr="00EC4D0D" w:rsidRDefault="00897234" w:rsidP="00897234">
            <w:pPr>
              <w:rPr>
                <w:rFonts w:eastAsia="Cambria" w:cs="Times New Roman"/>
              </w:rPr>
            </w:pPr>
            <w:r w:rsidRPr="00EC4D0D">
              <w:rPr>
                <w:rFonts w:eastAsia="Cambria" w:cs="Times New Roman"/>
              </w:rPr>
              <w:t>Module Title and Code:</w:t>
            </w:r>
          </w:p>
          <w:p w14:paraId="117894C5" w14:textId="77777777" w:rsidR="00897234" w:rsidRPr="00C97992" w:rsidRDefault="00897234" w:rsidP="00897234">
            <w:pPr>
              <w:spacing w:line="240" w:lineRule="auto"/>
              <w:textAlignment w:val="baseline"/>
              <w:rPr>
                <w:rFonts w:ascii="Times New Roman" w:eastAsia="Times New Roman" w:hAnsi="Times New Roman" w:cs="Times New Roman"/>
                <w:lang w:eastAsia="en-GB"/>
              </w:rPr>
            </w:pPr>
          </w:p>
        </w:tc>
        <w:tc>
          <w:tcPr>
            <w:tcW w:w="5610" w:type="dxa"/>
            <w:tcBorders>
              <w:top w:val="single" w:sz="6" w:space="0" w:color="auto"/>
              <w:left w:val="single" w:sz="6" w:space="0" w:color="auto"/>
              <w:bottom w:val="single" w:sz="6" w:space="0" w:color="auto"/>
              <w:right w:val="single" w:sz="6" w:space="0" w:color="auto"/>
            </w:tcBorders>
            <w:hideMark/>
          </w:tcPr>
          <w:p w14:paraId="59EFFB18" w14:textId="37E218A6" w:rsidR="00897234" w:rsidRPr="00C97992" w:rsidRDefault="00897234" w:rsidP="00897234">
            <w:pPr>
              <w:spacing w:line="240" w:lineRule="auto"/>
              <w:textAlignment w:val="baseline"/>
              <w:rPr>
                <w:rFonts w:ascii="Times New Roman" w:eastAsia="Times New Roman" w:hAnsi="Times New Roman" w:cs="Times New Roman"/>
                <w:lang w:eastAsia="en-GB"/>
              </w:rPr>
            </w:pPr>
            <w:r>
              <w:t>6PAHPRES/6PASNRES Research Project</w:t>
            </w:r>
          </w:p>
        </w:tc>
      </w:tr>
      <w:tr w:rsidR="00897234" w:rsidRPr="00C97992" w14:paraId="4C74809F" w14:textId="77777777" w:rsidTr="00897234">
        <w:trPr>
          <w:trHeight w:val="360"/>
        </w:trPr>
        <w:tc>
          <w:tcPr>
            <w:tcW w:w="3390" w:type="dxa"/>
            <w:tcBorders>
              <w:top w:val="single" w:sz="6" w:space="0" w:color="auto"/>
              <w:left w:val="single" w:sz="6" w:space="0" w:color="auto"/>
              <w:bottom w:val="single" w:sz="6" w:space="0" w:color="auto"/>
              <w:right w:val="single" w:sz="6" w:space="0" w:color="auto"/>
            </w:tcBorders>
            <w:hideMark/>
          </w:tcPr>
          <w:p w14:paraId="7021985A" w14:textId="77777777" w:rsidR="00897234" w:rsidRDefault="00897234" w:rsidP="00897234">
            <w:r w:rsidRPr="00CA72CE">
              <w:t>Assignment Deadline:</w:t>
            </w:r>
          </w:p>
          <w:p w14:paraId="53DE9F8B" w14:textId="77777777" w:rsidR="00897234" w:rsidRPr="00C97992" w:rsidRDefault="00897234" w:rsidP="00897234">
            <w:pPr>
              <w:spacing w:line="240" w:lineRule="auto"/>
              <w:textAlignment w:val="baseline"/>
              <w:rPr>
                <w:rFonts w:ascii="Times New Roman" w:eastAsia="Times New Roman" w:hAnsi="Times New Roman" w:cs="Times New Roman"/>
                <w:lang w:eastAsia="en-GB"/>
              </w:rPr>
            </w:pPr>
          </w:p>
        </w:tc>
        <w:tc>
          <w:tcPr>
            <w:tcW w:w="5610" w:type="dxa"/>
            <w:tcBorders>
              <w:top w:val="single" w:sz="6" w:space="0" w:color="auto"/>
              <w:left w:val="single" w:sz="6" w:space="0" w:color="auto"/>
              <w:bottom w:val="single" w:sz="6" w:space="0" w:color="auto"/>
              <w:right w:val="single" w:sz="6" w:space="0" w:color="auto"/>
            </w:tcBorders>
          </w:tcPr>
          <w:p w14:paraId="1E9B7216" w14:textId="5973497C" w:rsidR="00897234" w:rsidRPr="00C97992" w:rsidRDefault="00897234" w:rsidP="00897234">
            <w:pPr>
              <w:spacing w:line="240" w:lineRule="auto"/>
              <w:textAlignment w:val="baseline"/>
              <w:rPr>
                <w:rFonts w:ascii="Times New Roman" w:eastAsia="Times New Roman" w:hAnsi="Times New Roman" w:cs="Times New Roman"/>
                <w:lang w:eastAsia="en-GB"/>
              </w:rPr>
            </w:pPr>
            <w:r>
              <w:t>10:30am, Monday 20</w:t>
            </w:r>
            <w:r w:rsidRPr="32CF033A">
              <w:rPr>
                <w:vertAlign w:val="superscript"/>
              </w:rPr>
              <w:t>th</w:t>
            </w:r>
            <w:r>
              <w:t xml:space="preserve"> April 2025</w:t>
            </w:r>
          </w:p>
        </w:tc>
      </w:tr>
      <w:tr w:rsidR="00897234" w:rsidRPr="00C97992" w14:paraId="4FDDD999" w14:textId="77777777" w:rsidTr="00897234">
        <w:trPr>
          <w:trHeight w:val="1290"/>
        </w:trPr>
        <w:tc>
          <w:tcPr>
            <w:tcW w:w="3390" w:type="dxa"/>
            <w:tcBorders>
              <w:top w:val="single" w:sz="6" w:space="0" w:color="auto"/>
              <w:left w:val="single" w:sz="6" w:space="0" w:color="auto"/>
              <w:bottom w:val="single" w:sz="6" w:space="0" w:color="auto"/>
              <w:right w:val="single" w:sz="6" w:space="0" w:color="auto"/>
            </w:tcBorders>
            <w:hideMark/>
          </w:tcPr>
          <w:p w14:paraId="2C772A4E" w14:textId="77777777" w:rsidR="00897234" w:rsidRPr="00C97992" w:rsidRDefault="00897234" w:rsidP="00897234">
            <w:pPr>
              <w:spacing w:line="240" w:lineRule="auto"/>
              <w:textAlignment w:val="baseline"/>
              <w:rPr>
                <w:rFonts w:ascii="Times New Roman" w:eastAsia="Times New Roman" w:hAnsi="Times New Roman" w:cs="Times New Roman"/>
                <w:lang w:eastAsia="en-GB"/>
              </w:rPr>
            </w:pPr>
            <w:r>
              <w:t>Title of Submitted F</w:t>
            </w:r>
            <w:r w:rsidRPr="004A3461">
              <w:t>ile</w:t>
            </w:r>
            <w:r>
              <w:t xml:space="preserve"> </w:t>
            </w:r>
            <w:r w:rsidRPr="00995341">
              <w:t>(</w:t>
            </w:r>
            <w:r w:rsidRPr="00E34D30">
              <w:t>e.g. K1234567_ 6PAHPRES_ProjectRegistration):</w:t>
            </w:r>
          </w:p>
        </w:tc>
        <w:tc>
          <w:tcPr>
            <w:tcW w:w="5610" w:type="dxa"/>
            <w:tcBorders>
              <w:top w:val="single" w:sz="6" w:space="0" w:color="auto"/>
              <w:left w:val="single" w:sz="6" w:space="0" w:color="auto"/>
              <w:bottom w:val="single" w:sz="6" w:space="0" w:color="auto"/>
              <w:right w:val="single" w:sz="6" w:space="0" w:color="auto"/>
            </w:tcBorders>
          </w:tcPr>
          <w:p w14:paraId="729EC44E" w14:textId="24739CB1" w:rsidR="00897234" w:rsidRPr="00C97992" w:rsidRDefault="00897234" w:rsidP="00897234">
            <w:pPr>
              <w:spacing w:line="240" w:lineRule="auto"/>
              <w:textAlignment w:val="baseline"/>
              <w:rPr>
                <w:rFonts w:ascii="Times New Roman" w:eastAsia="Times New Roman" w:hAnsi="Times New Roman" w:cs="Times New Roman"/>
                <w:lang w:eastAsia="en-GB"/>
              </w:rPr>
            </w:pPr>
          </w:p>
        </w:tc>
      </w:tr>
      <w:tr w:rsidR="00897234" w:rsidRPr="00C97992" w14:paraId="6BCEA41B" w14:textId="77777777" w:rsidTr="005F10C9">
        <w:trPr>
          <w:trHeight w:val="675"/>
        </w:trPr>
        <w:tc>
          <w:tcPr>
            <w:tcW w:w="3390" w:type="dxa"/>
            <w:tcBorders>
              <w:top w:val="single" w:sz="6" w:space="0" w:color="auto"/>
              <w:left w:val="single" w:sz="6" w:space="0" w:color="auto"/>
              <w:bottom w:val="single" w:sz="6" w:space="0" w:color="auto"/>
              <w:right w:val="single" w:sz="6" w:space="0" w:color="auto"/>
            </w:tcBorders>
            <w:hideMark/>
          </w:tcPr>
          <w:p w14:paraId="0CF1A6C4" w14:textId="77777777" w:rsidR="00897234" w:rsidRPr="00C97992" w:rsidRDefault="00897234" w:rsidP="00897234">
            <w:pPr>
              <w:spacing w:line="240" w:lineRule="auto"/>
              <w:textAlignment w:val="baseline"/>
              <w:rPr>
                <w:rFonts w:ascii="Times New Roman" w:eastAsia="Times New Roman" w:hAnsi="Times New Roman" w:cs="Times New Roman"/>
                <w:lang w:eastAsia="en-GB"/>
              </w:rPr>
            </w:pPr>
            <w:r>
              <w:t>Word Counts</w:t>
            </w:r>
            <w:r w:rsidRPr="00306243">
              <w:t>:</w:t>
            </w:r>
          </w:p>
        </w:tc>
        <w:tc>
          <w:tcPr>
            <w:tcW w:w="5610" w:type="dxa"/>
            <w:tcBorders>
              <w:top w:val="single" w:sz="6" w:space="0" w:color="auto"/>
              <w:left w:val="single" w:sz="6" w:space="0" w:color="auto"/>
              <w:bottom w:val="single" w:sz="6" w:space="0" w:color="auto"/>
              <w:right w:val="single" w:sz="6" w:space="0" w:color="auto"/>
            </w:tcBorders>
            <w:hideMark/>
          </w:tcPr>
          <w:p w14:paraId="2D975B10" w14:textId="06C5BBFB" w:rsidR="00897234" w:rsidRPr="00641BFF" w:rsidRDefault="00897234" w:rsidP="00897234">
            <w:pPr>
              <w:rPr>
                <w:sz w:val="20"/>
                <w:szCs w:val="20"/>
              </w:rPr>
            </w:pPr>
            <w:r w:rsidRPr="00C97992">
              <w:rPr>
                <w:rFonts w:ascii="Calibri" w:eastAsia="Times New Roman" w:hAnsi="Calibri" w:cs="Calibri"/>
                <w:lang w:eastAsia="en-GB"/>
              </w:rPr>
              <w:t> </w:t>
            </w:r>
            <w:r w:rsidRPr="00641BFF">
              <w:rPr>
                <w:sz w:val="20"/>
                <w:szCs w:val="20"/>
              </w:rPr>
              <w:t>Title (max 20):</w:t>
            </w:r>
            <w:r w:rsidR="000F7100">
              <w:rPr>
                <w:sz w:val="20"/>
                <w:szCs w:val="20"/>
              </w:rPr>
              <w:t xml:space="preserve"> 15</w:t>
            </w:r>
          </w:p>
          <w:p w14:paraId="228D2E96" w14:textId="0776699C" w:rsidR="00897234" w:rsidRPr="00641BFF" w:rsidRDefault="00897234" w:rsidP="00897234">
            <w:pPr>
              <w:rPr>
                <w:sz w:val="20"/>
                <w:szCs w:val="20"/>
              </w:rPr>
            </w:pPr>
            <w:r w:rsidRPr="00641BFF">
              <w:rPr>
                <w:sz w:val="20"/>
                <w:szCs w:val="20"/>
              </w:rPr>
              <w:t>Abstract (max 250):</w:t>
            </w:r>
            <w:r w:rsidR="000F7100">
              <w:rPr>
                <w:sz w:val="20"/>
                <w:szCs w:val="20"/>
              </w:rPr>
              <w:t xml:space="preserve"> 246</w:t>
            </w:r>
          </w:p>
          <w:p w14:paraId="1D40E5B2" w14:textId="53D9A102" w:rsidR="00897234" w:rsidRPr="00641BFF" w:rsidRDefault="00897234" w:rsidP="00897234">
            <w:pPr>
              <w:rPr>
                <w:sz w:val="20"/>
                <w:szCs w:val="20"/>
              </w:rPr>
            </w:pPr>
            <w:r w:rsidRPr="00641BFF">
              <w:rPr>
                <w:sz w:val="20"/>
                <w:szCs w:val="20"/>
              </w:rPr>
              <w:t>Main Body (</w:t>
            </w:r>
            <w:r>
              <w:rPr>
                <w:sz w:val="20"/>
                <w:szCs w:val="20"/>
              </w:rPr>
              <w:t>not including Title, Abstract, Ref</w:t>
            </w:r>
            <w:r w:rsidRPr="00641BFF">
              <w:rPr>
                <w:sz w:val="20"/>
                <w:szCs w:val="20"/>
              </w:rPr>
              <w:t>s and Appendices</w:t>
            </w:r>
            <w:r>
              <w:rPr>
                <w:sz w:val="20"/>
                <w:szCs w:val="20"/>
              </w:rPr>
              <w:t>, or Tables / Figures and their captions/notes</w:t>
            </w:r>
            <w:r w:rsidRPr="00641BFF">
              <w:rPr>
                <w:sz w:val="20"/>
                <w:szCs w:val="20"/>
              </w:rPr>
              <w:t>; max 6000):</w:t>
            </w:r>
            <w:r w:rsidR="000F7100">
              <w:rPr>
                <w:sz w:val="20"/>
                <w:szCs w:val="20"/>
              </w:rPr>
              <w:t xml:space="preserve"> 5</w:t>
            </w:r>
            <w:r w:rsidR="00C7140F">
              <w:rPr>
                <w:sz w:val="20"/>
                <w:szCs w:val="20"/>
              </w:rPr>
              <w:t>645</w:t>
            </w:r>
          </w:p>
          <w:p w14:paraId="5DB88FCA" w14:textId="77777777" w:rsidR="00897234" w:rsidRDefault="00897234" w:rsidP="00897234">
            <w:pPr>
              <w:rPr>
                <w:sz w:val="20"/>
                <w:szCs w:val="20"/>
              </w:rPr>
            </w:pPr>
            <w:r>
              <w:rPr>
                <w:sz w:val="20"/>
                <w:szCs w:val="20"/>
              </w:rPr>
              <w:t xml:space="preserve">Data Excerpts (for Qualitative / Mixed Methods projects; max additional words 1000): </w:t>
            </w:r>
          </w:p>
          <w:p w14:paraId="0C712615" w14:textId="4E9D7981" w:rsidR="00897234" w:rsidRPr="00C97992" w:rsidRDefault="00897234" w:rsidP="00897234">
            <w:pPr>
              <w:spacing w:line="240" w:lineRule="auto"/>
              <w:textAlignment w:val="baseline"/>
              <w:rPr>
                <w:rFonts w:ascii="Times New Roman" w:eastAsia="Times New Roman" w:hAnsi="Times New Roman" w:cs="Times New Roman"/>
                <w:lang w:eastAsia="en-GB"/>
              </w:rPr>
            </w:pPr>
            <w:r w:rsidRPr="00641BFF">
              <w:rPr>
                <w:sz w:val="20"/>
                <w:szCs w:val="20"/>
              </w:rPr>
              <w:t>Appendices (max 2000):</w:t>
            </w:r>
            <w:r w:rsidR="000F7100">
              <w:rPr>
                <w:sz w:val="20"/>
                <w:szCs w:val="20"/>
              </w:rPr>
              <w:t xml:space="preserve"> 764</w:t>
            </w:r>
          </w:p>
        </w:tc>
      </w:tr>
      <w:tr w:rsidR="00897234" w:rsidRPr="00C97992" w14:paraId="5F180F17" w14:textId="77777777" w:rsidTr="005F10C9">
        <w:trPr>
          <w:trHeight w:val="1290"/>
        </w:trPr>
        <w:tc>
          <w:tcPr>
            <w:tcW w:w="3390" w:type="dxa"/>
            <w:tcBorders>
              <w:top w:val="single" w:sz="6" w:space="0" w:color="auto"/>
              <w:left w:val="single" w:sz="6" w:space="0" w:color="auto"/>
              <w:bottom w:val="single" w:sz="6" w:space="0" w:color="auto"/>
              <w:right w:val="single" w:sz="6" w:space="0" w:color="auto"/>
            </w:tcBorders>
            <w:hideMark/>
          </w:tcPr>
          <w:p w14:paraId="717A8DA7" w14:textId="77777777" w:rsidR="00897234" w:rsidRPr="00C97992" w:rsidRDefault="00897234" w:rsidP="00897234">
            <w:pPr>
              <w:spacing w:line="240" w:lineRule="auto"/>
              <w:textAlignment w:val="baseline"/>
              <w:rPr>
                <w:rFonts w:ascii="Times New Roman" w:eastAsia="Times New Roman" w:hAnsi="Times New Roman" w:cs="Times New Roman"/>
                <w:lang w:eastAsia="en-GB"/>
              </w:rPr>
            </w:pPr>
            <w:r w:rsidRPr="00C97992">
              <w:rPr>
                <w:rFonts w:ascii="Calibri" w:eastAsia="Times New Roman" w:hAnsi="Calibri" w:cs="Calibri"/>
                <w:lang w:eastAsia="en-GB"/>
              </w:rPr>
              <w:t xml:space="preserve">Please identify any </w:t>
            </w:r>
            <w:r w:rsidRPr="00C97992">
              <w:rPr>
                <w:rFonts w:ascii="Calibri" w:eastAsia="Times New Roman" w:hAnsi="Calibri" w:cs="Calibri"/>
                <w:b/>
                <w:bCs/>
                <w:lang w:eastAsia="en-GB"/>
              </w:rPr>
              <w:t xml:space="preserve">one </w:t>
            </w:r>
            <w:r w:rsidRPr="00C97992">
              <w:rPr>
                <w:rFonts w:ascii="Calibri" w:eastAsia="Times New Roman" w:hAnsi="Calibri" w:cs="Calibri"/>
                <w:lang w:eastAsia="en-GB"/>
              </w:rPr>
              <w:t>aspect of your answer for which you would like specific feedback comments (this could be a section of your answer, or how successfully you have incorporated previous feedback: please paste here the feedback that you referred to in preparing your answer, if applicable). </w:t>
            </w:r>
          </w:p>
        </w:tc>
        <w:tc>
          <w:tcPr>
            <w:tcW w:w="5610" w:type="dxa"/>
            <w:tcBorders>
              <w:top w:val="single" w:sz="6" w:space="0" w:color="auto"/>
              <w:left w:val="single" w:sz="6" w:space="0" w:color="auto"/>
              <w:bottom w:val="single" w:sz="6" w:space="0" w:color="auto"/>
              <w:right w:val="single" w:sz="6" w:space="0" w:color="auto"/>
            </w:tcBorders>
            <w:hideMark/>
          </w:tcPr>
          <w:p w14:paraId="05992473" w14:textId="77777777" w:rsidR="00897234" w:rsidRPr="00C97992" w:rsidRDefault="00897234" w:rsidP="00897234">
            <w:pPr>
              <w:spacing w:line="240" w:lineRule="auto"/>
              <w:textAlignment w:val="baseline"/>
              <w:rPr>
                <w:rFonts w:ascii="Times New Roman" w:eastAsia="Times New Roman" w:hAnsi="Times New Roman" w:cs="Times New Roman"/>
                <w:lang w:eastAsia="en-GB"/>
              </w:rPr>
            </w:pPr>
            <w:r w:rsidRPr="00C97992">
              <w:rPr>
                <w:rFonts w:ascii="Calibri" w:eastAsia="Times New Roman" w:hAnsi="Calibri" w:cs="Calibri"/>
                <w:lang w:eastAsia="en-GB"/>
              </w:rPr>
              <w:t> </w:t>
            </w:r>
          </w:p>
        </w:tc>
      </w:tr>
    </w:tbl>
    <w:p w14:paraId="3907D1DA" w14:textId="77777777" w:rsidR="00897234" w:rsidRPr="00C97992" w:rsidRDefault="00897234" w:rsidP="00897234">
      <w:pPr>
        <w:spacing w:line="240" w:lineRule="auto"/>
        <w:textAlignment w:val="baseline"/>
        <w:rPr>
          <w:rFonts w:ascii="Calibri" w:eastAsia="Calibri" w:hAnsi="Calibri" w:cs="Calibri"/>
          <w:color w:val="000000" w:themeColor="text1"/>
        </w:rPr>
      </w:pPr>
      <w:r w:rsidRPr="2BD8661B">
        <w:rPr>
          <w:rFonts w:ascii="Calibri" w:eastAsia="Times New Roman" w:hAnsi="Calibri" w:cs="Calibri"/>
          <w:lang w:eastAsia="en-GB"/>
        </w:rPr>
        <w:t> </w:t>
      </w:r>
      <w:r w:rsidRPr="2BD8661B">
        <w:rPr>
          <w:rFonts w:ascii="Calibri" w:eastAsia="Calibri" w:hAnsi="Calibri" w:cs="Calibri"/>
          <w:b/>
          <w:bCs/>
          <w:color w:val="000000" w:themeColor="text1"/>
        </w:rPr>
        <w:t xml:space="preserve"> Declaration by Students</w:t>
      </w:r>
    </w:p>
    <w:p w14:paraId="7C0A72A1" w14:textId="77777777" w:rsidR="00897234" w:rsidRPr="00C97992" w:rsidRDefault="00897234" w:rsidP="00897234">
      <w:pPr>
        <w:spacing w:line="240" w:lineRule="auto"/>
        <w:jc w:val="both"/>
        <w:textAlignment w:val="baseline"/>
        <w:rPr>
          <w:rFonts w:ascii="Calibri" w:eastAsia="Calibri" w:hAnsi="Calibri" w:cs="Calibri"/>
          <w:color w:val="000000" w:themeColor="text1"/>
        </w:rPr>
      </w:pPr>
      <w:r w:rsidRPr="2BD8661B">
        <w:rPr>
          <w:rFonts w:ascii="Calibri" w:eastAsia="Calibri" w:hAnsi="Calibri" w:cs="Calibri"/>
          <w:color w:val="000000" w:themeColor="text1"/>
        </w:rPr>
        <w:t xml:space="preserve">By submitting this work, I confirm that I have not commissioned this work from a third party, and it represents </w:t>
      </w:r>
      <w:r w:rsidRPr="2BD8661B">
        <w:rPr>
          <w:rFonts w:ascii="Calibri" w:eastAsia="Calibri" w:hAnsi="Calibri" w:cs="Calibri"/>
          <w:b/>
          <w:bCs/>
          <w:color w:val="000000" w:themeColor="text1"/>
        </w:rPr>
        <w:t xml:space="preserve">a genuine demonstration of my own skills and subject knowledge and is written using </w:t>
      </w:r>
      <w:r w:rsidRPr="2BD8661B">
        <w:rPr>
          <w:rFonts w:ascii="Calibri" w:eastAsia="Calibri" w:hAnsi="Calibri" w:cs="Calibri"/>
          <w:b/>
          <w:bCs/>
          <w:color w:val="000000" w:themeColor="text1"/>
        </w:rPr>
        <w:lastRenderedPageBreak/>
        <w:t>my own words</w:t>
      </w:r>
      <w:r w:rsidRPr="2BD8661B">
        <w:rPr>
          <w:rFonts w:ascii="Calibri" w:eastAsia="Calibri" w:hAnsi="Calibri" w:cs="Calibri"/>
          <w:color w:val="000000" w:themeColor="text1"/>
        </w:rPr>
        <w:t xml:space="preserve">. I understand that plagiarism, self-plagiarism, collusion, contract cheating and the inappropriate use of AI, </w:t>
      </w:r>
      <w:r w:rsidRPr="2BD8661B">
        <w:rPr>
          <w:rFonts w:ascii="Calibri" w:eastAsia="Calibri" w:hAnsi="Calibri" w:cs="Calibri"/>
          <w:b/>
          <w:bCs/>
          <w:color w:val="000000" w:themeColor="text1"/>
        </w:rPr>
        <w:t>which includes copying and pasting directly from generative AI tools into submitted work</w:t>
      </w:r>
      <w:r w:rsidRPr="2BD8661B">
        <w:rPr>
          <w:rFonts w:ascii="Calibri" w:eastAsia="Calibri" w:hAnsi="Calibri" w:cs="Calibri"/>
          <w:color w:val="000000" w:themeColor="text1"/>
        </w:rPr>
        <w:t xml:space="preserve">, are serious assessment offences, an allegation of which may lead to action being taken under the </w:t>
      </w:r>
      <w:hyperlink r:id="rId10">
        <w:r w:rsidRPr="2BD8661B">
          <w:rPr>
            <w:rStyle w:val="Hyperlink"/>
            <w:rFonts w:ascii="Calibri" w:eastAsia="Calibri" w:hAnsi="Calibri" w:cs="Calibri"/>
          </w:rPr>
          <w:t>University’s Misconduct regulations</w:t>
        </w:r>
      </w:hyperlink>
      <w:r w:rsidRPr="2BD8661B">
        <w:rPr>
          <w:rFonts w:ascii="Calibri" w:eastAsia="Calibri" w:hAnsi="Calibri" w:cs="Calibri"/>
          <w:color w:val="000000" w:themeColor="text1"/>
        </w:rPr>
        <w:t>.</w:t>
      </w:r>
    </w:p>
    <w:p w14:paraId="37DC93E8" w14:textId="77777777" w:rsidR="00897234" w:rsidRPr="00C97992" w:rsidRDefault="00897234" w:rsidP="00897234">
      <w:pPr>
        <w:spacing w:line="240" w:lineRule="auto"/>
        <w:jc w:val="both"/>
        <w:textAlignment w:val="baseline"/>
        <w:rPr>
          <w:rFonts w:ascii="Calibri" w:eastAsia="Calibri" w:hAnsi="Calibri" w:cs="Calibri"/>
          <w:color w:val="000000" w:themeColor="text1"/>
        </w:rPr>
      </w:pPr>
    </w:p>
    <w:p w14:paraId="24230A11" w14:textId="77777777" w:rsidR="00897234" w:rsidRPr="00C97992" w:rsidRDefault="00897234" w:rsidP="00897234">
      <w:pPr>
        <w:spacing w:line="240" w:lineRule="auto"/>
        <w:jc w:val="both"/>
        <w:textAlignment w:val="baseline"/>
        <w:rPr>
          <w:rFonts w:ascii="Calibri" w:eastAsia="Calibri" w:hAnsi="Calibri" w:cs="Calibri"/>
          <w:color w:val="000000" w:themeColor="text1"/>
        </w:rPr>
      </w:pPr>
      <w:r w:rsidRPr="2BD8661B">
        <w:rPr>
          <w:rFonts w:ascii="Calibri" w:eastAsia="Calibri" w:hAnsi="Calibri" w:cs="Calibri"/>
          <w:color w:val="000000" w:themeColor="text1"/>
        </w:rPr>
        <w:t xml:space="preserve">King’s requires students to acknowledge appropriate use of AI tools in assessments. If you are in doubt about how AI may be used during your studies, please check with your module and/or programme lead. University-wide student guidance on AI use can be found here: </w:t>
      </w:r>
      <w:hyperlink r:id="rId11">
        <w:r w:rsidRPr="2BD8661B">
          <w:rPr>
            <w:rStyle w:val="Hyperlink"/>
            <w:rFonts w:ascii="Calibri" w:eastAsia="Calibri" w:hAnsi="Calibri" w:cs="Calibri"/>
          </w:rPr>
          <w:t>Generative AI - Student guidance</w:t>
        </w:r>
      </w:hyperlink>
      <w:r w:rsidRPr="2BD8661B">
        <w:rPr>
          <w:rFonts w:ascii="Calibri" w:eastAsia="Calibri" w:hAnsi="Calibri" w:cs="Calibri"/>
          <w:color w:val="000000" w:themeColor="text1"/>
        </w:rPr>
        <w:t xml:space="preserve">. Please also check your assessment briefs for any module specific guidance. </w:t>
      </w:r>
      <w:r w:rsidRPr="2BD8661B">
        <w:rPr>
          <w:rFonts w:ascii="Calibri" w:eastAsia="Calibri" w:hAnsi="Calibri" w:cs="Calibri"/>
          <w:b/>
          <w:bCs/>
          <w:color w:val="000000" w:themeColor="text1"/>
        </w:rPr>
        <w:t>Each statement below (1 through 3d) represents an appropriate and allowed use of generative AI.</w:t>
      </w:r>
      <w:r w:rsidRPr="2BD8661B">
        <w:rPr>
          <w:rFonts w:ascii="Calibri" w:eastAsia="Calibri" w:hAnsi="Calibri" w:cs="Calibri"/>
          <w:color w:val="000000" w:themeColor="text1"/>
        </w:rPr>
        <w:t xml:space="preserve"> We ask you to tick these statements because knowing when and how students use AI tools can help us identify additional guidance you may need and improve teaching to leverage the benefits of AI tools. This information also ensures transparency regarding use of AI tools and helps us uphold academic integrity. </w:t>
      </w:r>
      <w:r w:rsidRPr="2BD8661B">
        <w:rPr>
          <w:rFonts w:ascii="Calibri" w:eastAsia="Calibri" w:hAnsi="Calibri" w:cs="Calibri"/>
          <w:b/>
          <w:bCs/>
          <w:color w:val="000000" w:themeColor="text1"/>
        </w:rPr>
        <w:t>You will not be penalised for using AI tools in any manner listed below.</w:t>
      </w:r>
      <w:r w:rsidRPr="2BD8661B">
        <w:rPr>
          <w:rFonts w:ascii="Calibri" w:eastAsia="Calibri" w:hAnsi="Calibri" w:cs="Calibri"/>
          <w:color w:val="000000" w:themeColor="text1"/>
        </w:rPr>
        <w:t xml:space="preserve"> Please read each statement carefully and mark an X next to </w:t>
      </w:r>
      <w:r w:rsidRPr="2BD8661B">
        <w:rPr>
          <w:rFonts w:ascii="Calibri" w:eastAsia="Calibri" w:hAnsi="Calibri" w:cs="Calibri"/>
          <w:b/>
          <w:bCs/>
          <w:color w:val="000000" w:themeColor="text1"/>
        </w:rPr>
        <w:t xml:space="preserve">all </w:t>
      </w:r>
      <w:r w:rsidRPr="2BD8661B">
        <w:rPr>
          <w:rFonts w:ascii="Calibri" w:eastAsia="Calibri" w:hAnsi="Calibri" w:cs="Calibri"/>
          <w:color w:val="000000" w:themeColor="text1"/>
        </w:rPr>
        <w:t xml:space="preserve">the statements below that apply regarding your use of AI in this assessment and include the requested information. </w:t>
      </w:r>
      <w:r w:rsidRPr="2BD8661B">
        <w:rPr>
          <w:rFonts w:ascii="Calibri" w:eastAsia="Calibri" w:hAnsi="Calibri" w:cs="Calibri"/>
          <w:b/>
          <w:bCs/>
          <w:color w:val="000000" w:themeColor="text1"/>
        </w:rPr>
        <w:t>Please note, as with other sources of material, you should NEVER copy and paste from gen-AI tools to your submitted work.</w:t>
      </w:r>
    </w:p>
    <w:p w14:paraId="6F45FF65" w14:textId="77777777" w:rsidR="00897234" w:rsidRPr="00C97992" w:rsidRDefault="00897234" w:rsidP="00897234">
      <w:pPr>
        <w:spacing w:line="240" w:lineRule="auto"/>
        <w:textAlignment w:val="baseline"/>
        <w:rPr>
          <w:rFonts w:ascii="Calibri" w:eastAsia="Calibri" w:hAnsi="Calibri" w:cs="Calibri"/>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35"/>
        <w:gridCol w:w="8265"/>
        <w:gridCol w:w="720"/>
      </w:tblGrid>
      <w:tr w:rsidR="00897234" w14:paraId="7C43005D" w14:textId="77777777" w:rsidTr="005F10C9">
        <w:trPr>
          <w:trHeight w:val="300"/>
        </w:trPr>
        <w:tc>
          <w:tcPr>
            <w:tcW w:w="435" w:type="dxa"/>
            <w:tcMar>
              <w:left w:w="105" w:type="dxa"/>
              <w:right w:w="105" w:type="dxa"/>
            </w:tcMar>
          </w:tcPr>
          <w:p w14:paraId="6B63C1FF"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 xml:space="preserve">1. </w:t>
            </w:r>
          </w:p>
        </w:tc>
        <w:tc>
          <w:tcPr>
            <w:tcW w:w="8265" w:type="dxa"/>
            <w:tcMar>
              <w:left w:w="105" w:type="dxa"/>
              <w:right w:w="105" w:type="dxa"/>
            </w:tcMar>
          </w:tcPr>
          <w:p w14:paraId="6D163AA9"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Generative AI not used at all for this assessment</w:t>
            </w:r>
          </w:p>
        </w:tc>
        <w:tc>
          <w:tcPr>
            <w:tcW w:w="720" w:type="dxa"/>
            <w:tcMar>
              <w:left w:w="105" w:type="dxa"/>
              <w:right w:w="105" w:type="dxa"/>
            </w:tcMar>
          </w:tcPr>
          <w:p w14:paraId="08D55C4F" w14:textId="77777777" w:rsidR="00897234" w:rsidRDefault="00897234" w:rsidP="005F10C9">
            <w:pPr>
              <w:rPr>
                <w:rFonts w:ascii="Calibri" w:eastAsia="Calibri" w:hAnsi="Calibri" w:cs="Calibri"/>
                <w:sz w:val="24"/>
                <w:szCs w:val="24"/>
              </w:rPr>
            </w:pPr>
          </w:p>
        </w:tc>
      </w:tr>
      <w:tr w:rsidR="00897234" w14:paraId="1D9DCE9F" w14:textId="77777777" w:rsidTr="005F10C9">
        <w:trPr>
          <w:trHeight w:val="300"/>
        </w:trPr>
        <w:tc>
          <w:tcPr>
            <w:tcW w:w="435" w:type="dxa"/>
            <w:tcMar>
              <w:left w:w="105" w:type="dxa"/>
              <w:right w:w="105" w:type="dxa"/>
            </w:tcMar>
          </w:tcPr>
          <w:p w14:paraId="3171DC6F"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 xml:space="preserve">2. </w:t>
            </w:r>
          </w:p>
        </w:tc>
        <w:tc>
          <w:tcPr>
            <w:tcW w:w="8265" w:type="dxa"/>
            <w:tcMar>
              <w:left w:w="105" w:type="dxa"/>
              <w:right w:w="105" w:type="dxa"/>
            </w:tcMar>
          </w:tcPr>
          <w:p w14:paraId="78225055" w14:textId="77777777" w:rsidR="00897234" w:rsidRDefault="00897234" w:rsidP="005F10C9">
            <w:pPr>
              <w:rPr>
                <w:rFonts w:ascii="Calibri" w:eastAsia="Calibri" w:hAnsi="Calibri" w:cs="Calibri"/>
                <w:color w:val="000000" w:themeColor="text1"/>
                <w:sz w:val="24"/>
                <w:szCs w:val="24"/>
              </w:rPr>
            </w:pPr>
            <w:r w:rsidRPr="2BD8661B">
              <w:rPr>
                <w:rFonts w:ascii="Calibri" w:eastAsia="Calibri" w:hAnsi="Calibri" w:cs="Calibri"/>
                <w:sz w:val="24"/>
                <w:szCs w:val="24"/>
              </w:rPr>
              <w:t xml:space="preserve">Generative AI used for checking spelling and grammar (but I confirm that the </w:t>
            </w:r>
            <w:r w:rsidRPr="2BD8661B">
              <w:rPr>
                <w:rFonts w:ascii="Calibri" w:eastAsia="Calibri" w:hAnsi="Calibri" w:cs="Calibri"/>
                <w:color w:val="000000" w:themeColor="text1"/>
                <w:sz w:val="24"/>
                <w:szCs w:val="24"/>
              </w:rPr>
              <w:t>work submitted represents a genuine demonstration of my own skills and subject knowledge)</w:t>
            </w:r>
          </w:p>
        </w:tc>
        <w:tc>
          <w:tcPr>
            <w:tcW w:w="720" w:type="dxa"/>
            <w:tcMar>
              <w:left w:w="105" w:type="dxa"/>
              <w:right w:w="105" w:type="dxa"/>
            </w:tcMar>
          </w:tcPr>
          <w:p w14:paraId="5770CE0E" w14:textId="61C87CE2" w:rsidR="00897234" w:rsidRDefault="00897234" w:rsidP="005F10C9">
            <w:pPr>
              <w:rPr>
                <w:rFonts w:ascii="Calibri" w:eastAsia="Calibri" w:hAnsi="Calibri" w:cs="Calibri"/>
                <w:sz w:val="24"/>
                <w:szCs w:val="24"/>
              </w:rPr>
            </w:pPr>
            <w:r>
              <w:rPr>
                <w:rFonts w:ascii="Calibri" w:eastAsia="Calibri" w:hAnsi="Calibri" w:cs="Calibri"/>
                <w:sz w:val="24"/>
                <w:szCs w:val="24"/>
              </w:rPr>
              <w:t>x</w:t>
            </w:r>
          </w:p>
        </w:tc>
      </w:tr>
      <w:tr w:rsidR="00897234" w14:paraId="0DDCA33C" w14:textId="77777777" w:rsidTr="005F10C9">
        <w:trPr>
          <w:trHeight w:val="300"/>
        </w:trPr>
        <w:tc>
          <w:tcPr>
            <w:tcW w:w="435" w:type="dxa"/>
            <w:tcMar>
              <w:left w:w="105" w:type="dxa"/>
              <w:right w:w="105" w:type="dxa"/>
            </w:tcMar>
          </w:tcPr>
          <w:p w14:paraId="4A0C73F1"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 xml:space="preserve">3. </w:t>
            </w:r>
          </w:p>
        </w:tc>
        <w:tc>
          <w:tcPr>
            <w:tcW w:w="8265" w:type="dxa"/>
            <w:tcMar>
              <w:left w:w="105" w:type="dxa"/>
              <w:right w:w="105" w:type="dxa"/>
            </w:tcMar>
          </w:tcPr>
          <w:p w14:paraId="5AC8B7A5"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Generative AI used to support learning (you may select multiple options if relevant):</w:t>
            </w:r>
          </w:p>
        </w:tc>
        <w:tc>
          <w:tcPr>
            <w:tcW w:w="720" w:type="dxa"/>
            <w:tcMar>
              <w:left w:w="105" w:type="dxa"/>
              <w:right w:w="105" w:type="dxa"/>
            </w:tcMar>
          </w:tcPr>
          <w:p w14:paraId="613A1FA3" w14:textId="77777777" w:rsidR="00897234" w:rsidRDefault="00897234" w:rsidP="005F10C9">
            <w:pPr>
              <w:rPr>
                <w:rFonts w:ascii="Calibri" w:eastAsia="Calibri" w:hAnsi="Calibri" w:cs="Calibri"/>
                <w:sz w:val="24"/>
                <w:szCs w:val="24"/>
              </w:rPr>
            </w:pPr>
          </w:p>
        </w:tc>
      </w:tr>
      <w:tr w:rsidR="00897234" w14:paraId="78C7521B" w14:textId="77777777" w:rsidTr="005F10C9">
        <w:trPr>
          <w:trHeight w:val="300"/>
        </w:trPr>
        <w:tc>
          <w:tcPr>
            <w:tcW w:w="435" w:type="dxa"/>
            <w:tcMar>
              <w:left w:w="105" w:type="dxa"/>
              <w:right w:w="105" w:type="dxa"/>
            </w:tcMar>
          </w:tcPr>
          <w:p w14:paraId="646EE14D" w14:textId="77777777" w:rsidR="00897234" w:rsidRDefault="00897234" w:rsidP="005F10C9">
            <w:pPr>
              <w:rPr>
                <w:rFonts w:ascii="Calibri" w:eastAsia="Calibri" w:hAnsi="Calibri" w:cs="Calibri"/>
                <w:sz w:val="24"/>
                <w:szCs w:val="24"/>
              </w:rPr>
            </w:pPr>
          </w:p>
        </w:tc>
        <w:tc>
          <w:tcPr>
            <w:tcW w:w="8265" w:type="dxa"/>
            <w:tcMar>
              <w:left w:w="105" w:type="dxa"/>
              <w:right w:w="105" w:type="dxa"/>
            </w:tcMar>
          </w:tcPr>
          <w:p w14:paraId="0CC64322"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 xml:space="preserve">(a) Generate ideas and/or structure suggestions </w:t>
            </w:r>
          </w:p>
        </w:tc>
        <w:tc>
          <w:tcPr>
            <w:tcW w:w="720" w:type="dxa"/>
            <w:tcMar>
              <w:left w:w="105" w:type="dxa"/>
              <w:right w:w="105" w:type="dxa"/>
            </w:tcMar>
          </w:tcPr>
          <w:p w14:paraId="2D0A2201" w14:textId="77777777" w:rsidR="00897234" w:rsidRDefault="00897234" w:rsidP="005F10C9">
            <w:pPr>
              <w:rPr>
                <w:rFonts w:ascii="Calibri" w:eastAsia="Calibri" w:hAnsi="Calibri" w:cs="Calibri"/>
                <w:sz w:val="24"/>
                <w:szCs w:val="24"/>
              </w:rPr>
            </w:pPr>
          </w:p>
        </w:tc>
      </w:tr>
      <w:tr w:rsidR="00897234" w14:paraId="6505034C" w14:textId="77777777" w:rsidTr="005F10C9">
        <w:trPr>
          <w:trHeight w:val="300"/>
        </w:trPr>
        <w:tc>
          <w:tcPr>
            <w:tcW w:w="435" w:type="dxa"/>
            <w:tcMar>
              <w:left w:w="105" w:type="dxa"/>
              <w:right w:w="105" w:type="dxa"/>
            </w:tcMar>
          </w:tcPr>
          <w:p w14:paraId="11A5DC88" w14:textId="77777777" w:rsidR="00897234" w:rsidRDefault="00897234" w:rsidP="005F10C9">
            <w:pPr>
              <w:rPr>
                <w:rFonts w:ascii="Calibri" w:eastAsia="Calibri" w:hAnsi="Calibri" w:cs="Calibri"/>
                <w:sz w:val="24"/>
                <w:szCs w:val="24"/>
              </w:rPr>
            </w:pPr>
          </w:p>
        </w:tc>
        <w:tc>
          <w:tcPr>
            <w:tcW w:w="8265" w:type="dxa"/>
            <w:tcMar>
              <w:left w:w="105" w:type="dxa"/>
              <w:right w:w="105" w:type="dxa"/>
            </w:tcMar>
          </w:tcPr>
          <w:p w14:paraId="230A1783"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(b) Assist with understanding concepts/summarising sources to aid understanding</w:t>
            </w:r>
          </w:p>
        </w:tc>
        <w:tc>
          <w:tcPr>
            <w:tcW w:w="720" w:type="dxa"/>
            <w:tcMar>
              <w:left w:w="105" w:type="dxa"/>
              <w:right w:w="105" w:type="dxa"/>
            </w:tcMar>
          </w:tcPr>
          <w:p w14:paraId="5534C8B7" w14:textId="77777777" w:rsidR="00897234" w:rsidRDefault="00897234" w:rsidP="005F10C9">
            <w:pPr>
              <w:rPr>
                <w:rFonts w:ascii="Calibri" w:eastAsia="Calibri" w:hAnsi="Calibri" w:cs="Calibri"/>
                <w:sz w:val="24"/>
                <w:szCs w:val="24"/>
              </w:rPr>
            </w:pPr>
          </w:p>
        </w:tc>
      </w:tr>
      <w:tr w:rsidR="00897234" w14:paraId="78696CF5" w14:textId="77777777" w:rsidTr="005F10C9">
        <w:trPr>
          <w:trHeight w:val="300"/>
        </w:trPr>
        <w:tc>
          <w:tcPr>
            <w:tcW w:w="435" w:type="dxa"/>
            <w:tcMar>
              <w:left w:w="105" w:type="dxa"/>
              <w:right w:w="105" w:type="dxa"/>
            </w:tcMar>
          </w:tcPr>
          <w:p w14:paraId="0C5C6D41" w14:textId="77777777" w:rsidR="00897234" w:rsidRDefault="00897234" w:rsidP="005F10C9">
            <w:pPr>
              <w:rPr>
                <w:rFonts w:ascii="Calibri" w:eastAsia="Calibri" w:hAnsi="Calibri" w:cs="Calibri"/>
                <w:sz w:val="24"/>
                <w:szCs w:val="24"/>
              </w:rPr>
            </w:pPr>
          </w:p>
        </w:tc>
        <w:tc>
          <w:tcPr>
            <w:tcW w:w="8265" w:type="dxa"/>
            <w:tcMar>
              <w:left w:w="105" w:type="dxa"/>
              <w:right w:w="105" w:type="dxa"/>
            </w:tcMar>
          </w:tcPr>
          <w:p w14:paraId="50D806A4"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(c) Provide feedback on ideas to help improve learning/understanding</w:t>
            </w:r>
          </w:p>
        </w:tc>
        <w:tc>
          <w:tcPr>
            <w:tcW w:w="720" w:type="dxa"/>
            <w:tcMar>
              <w:left w:w="105" w:type="dxa"/>
              <w:right w:w="105" w:type="dxa"/>
            </w:tcMar>
          </w:tcPr>
          <w:p w14:paraId="0A83ABFB" w14:textId="77777777" w:rsidR="00897234" w:rsidRDefault="00897234" w:rsidP="005F10C9">
            <w:pPr>
              <w:rPr>
                <w:rFonts w:ascii="Calibri" w:eastAsia="Calibri" w:hAnsi="Calibri" w:cs="Calibri"/>
                <w:sz w:val="24"/>
                <w:szCs w:val="24"/>
              </w:rPr>
            </w:pPr>
          </w:p>
        </w:tc>
      </w:tr>
      <w:tr w:rsidR="00897234" w14:paraId="0D082AAE" w14:textId="77777777" w:rsidTr="005F10C9">
        <w:trPr>
          <w:trHeight w:val="300"/>
        </w:trPr>
        <w:tc>
          <w:tcPr>
            <w:tcW w:w="435" w:type="dxa"/>
            <w:tcMar>
              <w:left w:w="105" w:type="dxa"/>
              <w:right w:w="105" w:type="dxa"/>
            </w:tcMar>
          </w:tcPr>
          <w:p w14:paraId="7F85FCB8" w14:textId="77777777" w:rsidR="00897234" w:rsidRDefault="00897234" w:rsidP="005F10C9">
            <w:pPr>
              <w:rPr>
                <w:rFonts w:ascii="Calibri" w:eastAsia="Calibri" w:hAnsi="Calibri" w:cs="Calibri"/>
                <w:sz w:val="24"/>
                <w:szCs w:val="24"/>
              </w:rPr>
            </w:pPr>
          </w:p>
        </w:tc>
        <w:tc>
          <w:tcPr>
            <w:tcW w:w="8985" w:type="dxa"/>
            <w:gridSpan w:val="2"/>
            <w:tcMar>
              <w:left w:w="105" w:type="dxa"/>
              <w:right w:w="105" w:type="dxa"/>
            </w:tcMar>
          </w:tcPr>
          <w:p w14:paraId="523D1980" w14:textId="77777777" w:rsidR="00897234" w:rsidRDefault="00897234" w:rsidP="005F10C9">
            <w:pPr>
              <w:rPr>
                <w:rFonts w:ascii="Calibri" w:eastAsia="Calibri" w:hAnsi="Calibri" w:cs="Calibri"/>
                <w:color w:val="000000" w:themeColor="text1"/>
                <w:sz w:val="24"/>
                <w:szCs w:val="24"/>
              </w:rPr>
            </w:pPr>
            <w:r w:rsidRPr="2BD8661B">
              <w:rPr>
                <w:rFonts w:ascii="Calibri" w:eastAsia="Calibri" w:hAnsi="Calibri" w:cs="Calibri"/>
                <w:color w:val="000000" w:themeColor="text1"/>
                <w:sz w:val="24"/>
                <w:szCs w:val="24"/>
              </w:rPr>
              <w:t>If ticked 3(a) – (c) briefly state in the box directly below which AI tool(s) were used, with links, and for which sections of the assignment AI was used. For example: “I used ChatGPT (</w:t>
            </w:r>
            <w:hyperlink r:id="rId12">
              <w:r w:rsidRPr="2BD8661B">
                <w:rPr>
                  <w:rStyle w:val="Hyperlink"/>
                  <w:rFonts w:ascii="Calibri" w:eastAsia="Calibri" w:hAnsi="Calibri" w:cs="Calibri"/>
                  <w:sz w:val="24"/>
                  <w:szCs w:val="24"/>
                </w:rPr>
                <w:t>https://chatgpt.com/</w:t>
              </w:r>
            </w:hyperlink>
            <w:r w:rsidRPr="2BD8661B">
              <w:rPr>
                <w:rFonts w:ascii="Calibri" w:eastAsia="Calibri" w:hAnsi="Calibri" w:cs="Calibri"/>
                <w:sz w:val="24"/>
                <w:szCs w:val="24"/>
              </w:rPr>
              <w:t>)</w:t>
            </w:r>
            <w:r w:rsidRPr="2BD8661B">
              <w:rPr>
                <w:rFonts w:ascii="Calibri" w:eastAsia="Calibri" w:hAnsi="Calibri" w:cs="Calibri"/>
                <w:color w:val="000000" w:themeColor="text1"/>
                <w:sz w:val="24"/>
                <w:szCs w:val="24"/>
              </w:rPr>
              <w:t xml:space="preserve"> to generate ideas for the introduction, and a draft structure for the discussion.”</w:t>
            </w:r>
          </w:p>
        </w:tc>
      </w:tr>
      <w:tr w:rsidR="00897234" w14:paraId="7C068A63" w14:textId="77777777" w:rsidTr="005F10C9">
        <w:trPr>
          <w:trHeight w:val="300"/>
        </w:trPr>
        <w:tc>
          <w:tcPr>
            <w:tcW w:w="435" w:type="dxa"/>
            <w:tcMar>
              <w:left w:w="105" w:type="dxa"/>
              <w:right w:w="105" w:type="dxa"/>
            </w:tcMar>
          </w:tcPr>
          <w:p w14:paraId="0D5A0D43" w14:textId="77777777" w:rsidR="00897234" w:rsidRDefault="00897234" w:rsidP="005F10C9">
            <w:pPr>
              <w:rPr>
                <w:rFonts w:ascii="Calibri" w:eastAsia="Calibri" w:hAnsi="Calibri" w:cs="Calibri"/>
                <w:sz w:val="24"/>
                <w:szCs w:val="24"/>
              </w:rPr>
            </w:pPr>
          </w:p>
        </w:tc>
        <w:tc>
          <w:tcPr>
            <w:tcW w:w="8985" w:type="dxa"/>
            <w:gridSpan w:val="2"/>
            <w:tcMar>
              <w:left w:w="105" w:type="dxa"/>
              <w:right w:w="105" w:type="dxa"/>
            </w:tcMar>
          </w:tcPr>
          <w:p w14:paraId="52BB71B8" w14:textId="77777777" w:rsidR="00897234" w:rsidRDefault="00897234" w:rsidP="005F10C9">
            <w:pPr>
              <w:rPr>
                <w:rFonts w:ascii="Calibri" w:eastAsia="Calibri" w:hAnsi="Calibri" w:cs="Calibri"/>
                <w:color w:val="000000" w:themeColor="text1"/>
                <w:sz w:val="24"/>
                <w:szCs w:val="24"/>
              </w:rPr>
            </w:pPr>
          </w:p>
        </w:tc>
      </w:tr>
      <w:tr w:rsidR="00897234" w14:paraId="265514BF" w14:textId="77777777" w:rsidTr="005F10C9">
        <w:trPr>
          <w:trHeight w:val="300"/>
        </w:trPr>
        <w:tc>
          <w:tcPr>
            <w:tcW w:w="435" w:type="dxa"/>
            <w:tcMar>
              <w:left w:w="105" w:type="dxa"/>
              <w:right w:w="105" w:type="dxa"/>
            </w:tcMar>
          </w:tcPr>
          <w:p w14:paraId="21F80369" w14:textId="77777777" w:rsidR="00897234" w:rsidRDefault="00897234" w:rsidP="005F10C9">
            <w:pPr>
              <w:rPr>
                <w:rFonts w:ascii="Calibri" w:eastAsia="Calibri" w:hAnsi="Calibri" w:cs="Calibri"/>
                <w:sz w:val="24"/>
                <w:szCs w:val="24"/>
              </w:rPr>
            </w:pPr>
          </w:p>
        </w:tc>
        <w:tc>
          <w:tcPr>
            <w:tcW w:w="8265" w:type="dxa"/>
            <w:tcMar>
              <w:left w:w="105" w:type="dxa"/>
              <w:right w:w="105" w:type="dxa"/>
            </w:tcMar>
          </w:tcPr>
          <w:p w14:paraId="42A787F8" w14:textId="77777777" w:rsidR="00897234" w:rsidRDefault="00897234" w:rsidP="005F10C9">
            <w:pPr>
              <w:rPr>
                <w:rFonts w:ascii="Calibri" w:eastAsia="Calibri" w:hAnsi="Calibri" w:cs="Calibri"/>
                <w:sz w:val="24"/>
                <w:szCs w:val="24"/>
              </w:rPr>
            </w:pPr>
            <w:r w:rsidRPr="2BD8661B">
              <w:rPr>
                <w:rFonts w:ascii="Calibri" w:eastAsia="Calibri" w:hAnsi="Calibri" w:cs="Calibri"/>
                <w:sz w:val="24"/>
                <w:szCs w:val="24"/>
              </w:rPr>
              <w:t>(d) Generate illustrative images (references should be provided for these within your main reference list). If ticked, state in the box directly below which AI tool(s) were used, with links, and briefly summarise how you used them. For example: “I used DALL·E 3 (</w:t>
            </w:r>
            <w:hyperlink r:id="rId13">
              <w:r w:rsidRPr="2BD8661B">
                <w:rPr>
                  <w:rStyle w:val="Hyperlink"/>
                  <w:rFonts w:ascii="Calibri" w:eastAsia="Calibri" w:hAnsi="Calibri" w:cs="Calibri"/>
                  <w:sz w:val="24"/>
                  <w:szCs w:val="24"/>
                </w:rPr>
                <w:t>https://openai.com/index/dall-e-3/</w:t>
              </w:r>
            </w:hyperlink>
            <w:r w:rsidRPr="2BD8661B">
              <w:rPr>
                <w:rFonts w:ascii="Calibri" w:eastAsia="Calibri" w:hAnsi="Calibri" w:cs="Calibri"/>
                <w:sz w:val="24"/>
                <w:szCs w:val="24"/>
              </w:rPr>
              <w:t xml:space="preserve">) to generate an infographic for my coursework.” </w:t>
            </w:r>
          </w:p>
        </w:tc>
        <w:tc>
          <w:tcPr>
            <w:tcW w:w="720" w:type="dxa"/>
            <w:tcMar>
              <w:left w:w="105" w:type="dxa"/>
              <w:right w:w="105" w:type="dxa"/>
            </w:tcMar>
          </w:tcPr>
          <w:p w14:paraId="3018111B" w14:textId="77777777" w:rsidR="00897234" w:rsidRDefault="00897234" w:rsidP="005F10C9">
            <w:pPr>
              <w:rPr>
                <w:rFonts w:ascii="Calibri" w:eastAsia="Calibri" w:hAnsi="Calibri" w:cs="Calibri"/>
                <w:sz w:val="24"/>
                <w:szCs w:val="24"/>
              </w:rPr>
            </w:pPr>
          </w:p>
        </w:tc>
      </w:tr>
      <w:tr w:rsidR="00897234" w14:paraId="0F930E86" w14:textId="77777777" w:rsidTr="005F10C9">
        <w:trPr>
          <w:trHeight w:val="300"/>
        </w:trPr>
        <w:tc>
          <w:tcPr>
            <w:tcW w:w="435" w:type="dxa"/>
            <w:tcMar>
              <w:left w:w="105" w:type="dxa"/>
              <w:right w:w="105" w:type="dxa"/>
            </w:tcMar>
          </w:tcPr>
          <w:p w14:paraId="2909B85B" w14:textId="77777777" w:rsidR="00897234" w:rsidRDefault="00897234" w:rsidP="005F10C9">
            <w:pPr>
              <w:rPr>
                <w:rFonts w:ascii="Calibri" w:eastAsia="Calibri" w:hAnsi="Calibri" w:cs="Calibri"/>
                <w:sz w:val="24"/>
                <w:szCs w:val="24"/>
              </w:rPr>
            </w:pPr>
          </w:p>
        </w:tc>
        <w:tc>
          <w:tcPr>
            <w:tcW w:w="8985" w:type="dxa"/>
            <w:gridSpan w:val="2"/>
            <w:tcMar>
              <w:left w:w="105" w:type="dxa"/>
              <w:right w:w="105" w:type="dxa"/>
            </w:tcMar>
          </w:tcPr>
          <w:p w14:paraId="74F25425" w14:textId="77777777" w:rsidR="00897234" w:rsidRDefault="00897234" w:rsidP="005F10C9">
            <w:pPr>
              <w:rPr>
                <w:rFonts w:ascii="Calibri" w:eastAsia="Calibri" w:hAnsi="Calibri" w:cs="Calibri"/>
                <w:sz w:val="24"/>
                <w:szCs w:val="24"/>
              </w:rPr>
            </w:pPr>
          </w:p>
        </w:tc>
      </w:tr>
    </w:tbl>
    <w:p w14:paraId="17A0E08E" w14:textId="77777777" w:rsidR="00897234" w:rsidRPr="00C97992" w:rsidRDefault="00897234" w:rsidP="00897234">
      <w:pPr>
        <w:spacing w:line="240" w:lineRule="auto"/>
        <w:jc w:val="both"/>
        <w:textAlignment w:val="baseline"/>
        <w:rPr>
          <w:rFonts w:ascii="Calibri" w:eastAsia="Calibri" w:hAnsi="Calibri" w:cs="Calibri"/>
          <w:color w:val="000000" w:themeColor="text1"/>
        </w:rPr>
      </w:pPr>
      <w:r w:rsidRPr="2BD8661B">
        <w:rPr>
          <w:rFonts w:ascii="Calibri" w:eastAsia="Calibri" w:hAnsi="Calibri" w:cs="Calibri"/>
          <w:b/>
          <w:bCs/>
          <w:color w:val="000000" w:themeColor="text1"/>
        </w:rPr>
        <w:t xml:space="preserve">Please note the above table allows us to collect information to better support students, it does not impact on you as an individual – all generative AI uses listed are acceptable under King’s guidance and as such ticking any, or all, will have no impact on the way your work is marked or graded.  </w:t>
      </w:r>
    </w:p>
    <w:p w14:paraId="11D37211" w14:textId="77777777" w:rsidR="00897234" w:rsidRPr="00C97992" w:rsidRDefault="00897234" w:rsidP="00897234">
      <w:pPr>
        <w:spacing w:line="240" w:lineRule="auto"/>
        <w:jc w:val="both"/>
        <w:textAlignment w:val="baseline"/>
        <w:rPr>
          <w:rFonts w:ascii="Calibri" w:eastAsia="Calibri" w:hAnsi="Calibri" w:cs="Calibri"/>
          <w:color w:val="000000" w:themeColor="text1"/>
        </w:rPr>
      </w:pPr>
    </w:p>
    <w:p w14:paraId="77CBBEC7" w14:textId="77777777" w:rsidR="00897234" w:rsidRPr="00C97992" w:rsidRDefault="00897234" w:rsidP="00897234">
      <w:pPr>
        <w:spacing w:line="240" w:lineRule="auto"/>
        <w:jc w:val="both"/>
        <w:textAlignment w:val="baseline"/>
        <w:rPr>
          <w:rFonts w:ascii="Calibri" w:eastAsia="Calibri" w:hAnsi="Calibri" w:cs="Calibri"/>
          <w:color w:val="000000" w:themeColor="text1"/>
        </w:rPr>
      </w:pPr>
      <w:r w:rsidRPr="2BD8661B">
        <w:rPr>
          <w:rFonts w:ascii="Calibri" w:eastAsia="Calibri" w:hAnsi="Calibri" w:cs="Calibri"/>
          <w:b/>
          <w:bCs/>
          <w:color w:val="000000" w:themeColor="text1"/>
        </w:rPr>
        <w:t>If you have an additional electronic coversheet that you need to attach, please include it after this coversheet.</w:t>
      </w:r>
    </w:p>
    <w:p w14:paraId="5E62D8DE" w14:textId="77777777" w:rsidR="00897234" w:rsidRPr="00C97992" w:rsidRDefault="00897234" w:rsidP="00897234">
      <w:pPr>
        <w:spacing w:line="240" w:lineRule="auto"/>
        <w:textAlignment w:val="baseline"/>
        <w:rPr>
          <w:rFonts w:ascii="Calibri" w:eastAsia="Times New Roman" w:hAnsi="Calibri" w:cs="Calibri"/>
          <w:lang w:eastAsia="en-GB"/>
        </w:rPr>
        <w:sectPr w:rsidR="00897234" w:rsidRPr="00C97992" w:rsidSect="00897234">
          <w:headerReference w:type="even" r:id="rId14"/>
          <w:headerReference w:type="default" r:id="rId15"/>
          <w:footerReference w:type="even" r:id="rId16"/>
          <w:footerReference w:type="default" r:id="rId17"/>
          <w:headerReference w:type="first" r:id="rId18"/>
          <w:footerReference w:type="first" r:id="rId19"/>
          <w:pgSz w:w="11906" w:h="16838"/>
          <w:pgMar w:top="593" w:right="849" w:bottom="1440" w:left="1440" w:header="283" w:footer="708" w:gutter="0"/>
          <w:cols w:space="708"/>
          <w:docGrid w:linePitch="360"/>
        </w:sectPr>
      </w:pPr>
    </w:p>
    <w:p w14:paraId="1126B12A" w14:textId="77777777" w:rsidR="00897234" w:rsidRDefault="00897234" w:rsidP="00897234">
      <w:pPr>
        <w:jc w:val="center"/>
        <w:rPr>
          <w:rFonts w:ascii="Times New Roman" w:hAnsi="Times New Roman" w:cs="Times New Roman"/>
        </w:rPr>
      </w:pPr>
    </w:p>
    <w:p w14:paraId="14675D0C" w14:textId="77777777" w:rsidR="00897234" w:rsidRDefault="00897234" w:rsidP="00897234">
      <w:pPr>
        <w:jc w:val="center"/>
        <w:rPr>
          <w:rFonts w:ascii="Times New Roman" w:hAnsi="Times New Roman" w:cs="Times New Roman"/>
        </w:rPr>
      </w:pPr>
    </w:p>
    <w:p w14:paraId="5C693F18" w14:textId="77777777" w:rsidR="00897234" w:rsidRPr="00205D9F" w:rsidRDefault="00897234" w:rsidP="00897234">
      <w:pPr>
        <w:jc w:val="center"/>
        <w:rPr>
          <w:rFonts w:ascii="Times New Roman" w:hAnsi="Times New Roman" w:cs="Times New Roman"/>
        </w:rPr>
      </w:pPr>
    </w:p>
    <w:p w14:paraId="367A60EC" w14:textId="77777777" w:rsidR="00897234" w:rsidRDefault="00897234" w:rsidP="00897234">
      <w:pPr>
        <w:jc w:val="center"/>
        <w:rPr>
          <w:rFonts w:ascii="Times New Roman" w:hAnsi="Times New Roman" w:cs="Times New Roman"/>
          <w:b/>
          <w:bCs/>
        </w:rPr>
      </w:pPr>
      <w:r w:rsidRPr="00897234">
        <w:rPr>
          <w:rFonts w:ascii="Times New Roman" w:hAnsi="Times New Roman" w:cs="Times New Roman"/>
          <w:b/>
          <w:bCs/>
        </w:rPr>
        <w:t>Do Anticipatory Alpha and Beta Oscillations Reflect Learned Expectancy in a Gamified Reinforcement Learning Task?</w:t>
      </w:r>
      <w:r w:rsidRPr="00897234">
        <w:rPr>
          <w:rFonts w:ascii="Times New Roman" w:hAnsi="Times New Roman" w:cs="Times New Roman"/>
          <w:b/>
          <w:bCs/>
        </w:rPr>
        <w:t xml:space="preserve"> </w:t>
      </w:r>
    </w:p>
    <w:p w14:paraId="48C41D6C" w14:textId="128C969B" w:rsidR="00897234" w:rsidRDefault="00897234" w:rsidP="00897234">
      <w:pPr>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23002717</w:t>
      </w:r>
      <w:r>
        <w:rPr>
          <w:rFonts w:ascii="Times New Roman" w:hAnsi="Times New Roman" w:cs="Times New Roman"/>
        </w:rPr>
        <w:t>]</w:t>
      </w:r>
    </w:p>
    <w:p w14:paraId="26A98171" w14:textId="77777777" w:rsidR="00897234" w:rsidRDefault="00897234" w:rsidP="00897234">
      <w:pPr>
        <w:jc w:val="center"/>
        <w:rPr>
          <w:rFonts w:ascii="Times New Roman" w:hAnsi="Times New Roman" w:cs="Times New Roman"/>
        </w:rPr>
      </w:pPr>
      <w:r>
        <w:rPr>
          <w:rFonts w:ascii="Times New Roman" w:hAnsi="Times New Roman" w:cs="Times New Roman"/>
        </w:rPr>
        <w:t>King’s College London</w:t>
      </w:r>
    </w:p>
    <w:p w14:paraId="4FD79149" w14:textId="77777777" w:rsidR="00897234" w:rsidRDefault="00897234" w:rsidP="00897234">
      <w:pPr>
        <w:jc w:val="center"/>
        <w:rPr>
          <w:rFonts w:ascii="Times New Roman" w:hAnsi="Times New Roman" w:cs="Times New Roman"/>
        </w:rPr>
      </w:pPr>
    </w:p>
    <w:p w14:paraId="7A51D07D" w14:textId="2C509249" w:rsidR="00897234" w:rsidRDefault="00897234" w:rsidP="00897234">
      <w:pPr>
        <w:rPr>
          <w:rFonts w:ascii="Times New Roman" w:hAnsi="Times New Roman" w:cs="Times New Roman"/>
        </w:rPr>
      </w:pPr>
      <w:r>
        <w:rPr>
          <w:rFonts w:ascii="Times New Roman" w:hAnsi="Times New Roman" w:cs="Times New Roman"/>
        </w:rPr>
        <w:br w:type="page"/>
      </w:r>
    </w:p>
    <w:p w14:paraId="559757FF" w14:textId="3A4EC113" w:rsidR="0074588D" w:rsidRPr="0064017D" w:rsidRDefault="0074588D" w:rsidP="00C56D5D">
      <w:pPr>
        <w:pStyle w:val="Heading1"/>
        <w:rPr>
          <w:rFonts w:ascii="Times New Roman" w:hAnsi="Times New Roman" w:cs="Times New Roman"/>
        </w:rPr>
      </w:pPr>
      <w:r>
        <w:rPr>
          <w:rFonts w:ascii="Times New Roman" w:hAnsi="Times New Roman" w:cs="Times New Roman"/>
        </w:rPr>
        <w:lastRenderedPageBreak/>
        <w:t xml:space="preserve">Abstract </w:t>
      </w:r>
    </w:p>
    <w:p w14:paraId="2A17A8A1" w14:textId="77777777" w:rsidR="0074588D" w:rsidRPr="0064017D" w:rsidRDefault="0074588D" w:rsidP="00897234">
      <w:pPr>
        <w:ind w:firstLine="720"/>
        <w:rPr>
          <w:rFonts w:ascii="Times New Roman" w:hAnsi="Times New Roman" w:cs="Times New Roman"/>
        </w:rPr>
      </w:pPr>
      <w:r>
        <w:rPr>
          <w:rFonts w:ascii="Times New Roman" w:hAnsi="Times New Roman" w:cs="Times New Roman"/>
        </w:rPr>
        <w:t>Anticipatory alpha and beta oscillations have been linked to learned reward expectancy, yet most prior work relies on highly simplified cue-outcome paradigms with fixed, easily learned contingencies that may not capture how the brain tracks expectancy in more naturalistic settings. The present pilot study examined whether individually fitted RW models better capture the relationship in a more gamified reinforcement learning paradigm with fluctuating reward contingencies.  Five high trait anxious participants performed the Cannonball task (720 trials) with 64-channel EEG measurements. Alpha (8–13 Hz) and beta (13–30 Hz) power were obtained in parieto‐occipital and sensorimotor regions of interest respectively and correlated with trial-wise RW expected value V(t) at both a fixed learning rate and individually optimised rates via grid search. A temporal generalization technique using Support Vector Regression (SVR) was also applied to investigate whether broadband EEG spatial patterns consistently encoded V(t) over the anticipatory window. Both alpha and beta value failed to correlate with V(t) in any person at the fixed learning rate and an individually optimised one. The R² values for the SVRs were consistently close to 0 over the full period of anticipation, suggesting that the encoding of V(t) was not robust in broadband EEG spatial space patterns. These findings suggest that the relationship between anticipatory oscillations and learned expectancy does not generalise straightforwardly to more complex paradigms, and that effect sizes are likely small. The pilot estimates demonstrated here offer an empirical foundation to build a confirmatory replication with more participants.</w:t>
      </w:r>
    </w:p>
    <w:p w14:paraId="68ACFDE8" w14:textId="77777777" w:rsidR="0074588D" w:rsidRPr="0064017D" w:rsidRDefault="0074588D" w:rsidP="0074588D">
      <w:pPr>
        <w:rPr>
          <w:rFonts w:ascii="Times New Roman" w:hAnsi="Times New Roman" w:cs="Times New Roman"/>
        </w:rPr>
      </w:pPr>
    </w:p>
    <w:p w14:paraId="4F9589D1" w14:textId="77777777" w:rsidR="00C56D5D" w:rsidRPr="0064017D" w:rsidRDefault="00403B61" w:rsidP="00C56D5D">
      <w:pPr>
        <w:pStyle w:val="Heading1"/>
        <w:rPr>
          <w:rFonts w:ascii="Times New Roman" w:hAnsi="Times New Roman" w:cs="Times New Roman"/>
        </w:rPr>
      </w:pPr>
      <w:r>
        <w:rPr>
          <w:rFonts w:ascii="Times New Roman" w:hAnsi="Times New Roman" w:cs="Times New Roman"/>
        </w:rPr>
        <w:lastRenderedPageBreak/>
        <w:t>Introduction</w:t>
      </w:r>
    </w:p>
    <w:p w14:paraId="36D4FD47" w14:textId="77777777" w:rsidR="0064017D" w:rsidRPr="0064017D" w:rsidRDefault="00C56D5D" w:rsidP="00C56D5D">
      <w:pPr>
        <w:ind w:firstLine="720"/>
        <w:rPr>
          <w:rFonts w:ascii="Times New Roman" w:hAnsi="Times New Roman" w:cs="Times New Roman"/>
        </w:rPr>
      </w:pPr>
      <w:r>
        <w:rPr>
          <w:rFonts w:ascii="Times New Roman" w:hAnsi="Times New Roman" w:cs="Times New Roman"/>
        </w:rPr>
        <w:t xml:space="preserve">A central function of the brain is predicting the future. Instead of simply registering stimuli, the brain actively modifies internal information about the world in response to incoming sensory data, as proposed in the predictive processing framework (Clark, 2013). One of the best-studied forms of this predictive update is associative learning. This refers to the way that organisms form associations between stimuli and outcomes. But after decades of research, the exact neural mechanisms that regulate evolving expectations on a trial-by-trial basis are still unclear in a world that approximates higher-order, less-trivial aspects of the learning experience. Most EEG studies on associative learning have employed highly simplified paradigms, pairing a neutral cue to aversive or rewarding outcome with fixed, easily learned contingencies (Riels et al., 2021; Klimesch, 1999). In experiments where conditions are uncertain and dynamically changing, these designs can provide experimental control, but that’s not how the brain predicts expectancy. Moreover, most of the previous work tends to consider neural correlates at the group level based on averages of conditions, blurring meaningful individual differences among expectations updates. Another limitation is that most academic work has concentrated only on alpha oscillations and the role of beta oscillations for reward expectancy has been poorly examined, although there is an increasing body of literature connecting beta dynamics and predictive coding and motor preparation (Dyck &amp; Klaes, 2024). </w:t>
      </w:r>
    </w:p>
    <w:p w14:paraId="24056B48" w14:textId="77777777" w:rsidR="0074588D" w:rsidRPr="0064017D" w:rsidRDefault="0064017D" w:rsidP="00C56D5D">
      <w:pPr>
        <w:ind w:firstLine="720"/>
        <w:rPr>
          <w:rFonts w:ascii="Times New Roman" w:hAnsi="Times New Roman" w:cs="Times New Roman"/>
        </w:rPr>
      </w:pPr>
      <w:r>
        <w:rPr>
          <w:rFonts w:ascii="Times New Roman" w:hAnsi="Times New Roman" w:cs="Times New Roman"/>
        </w:rPr>
        <w:t xml:space="preserve">Riels et al. (2021) was one of the studies that examined alpha oscillations and expectancy, demonstrating that time-varying alpha power tracked learned expectancy during associative learning. However, their paradigm retained a simple cue-aversive noise structure, assumed a fixed learning rate across all participants, and did not examine beta oscillations. The present study therefore attempted a conceptual replication in a more ecologically valid, </w:t>
      </w:r>
      <w:r>
        <w:rPr>
          <w:rFonts w:ascii="Times New Roman" w:hAnsi="Times New Roman" w:cs="Times New Roman"/>
        </w:rPr>
        <w:lastRenderedPageBreak/>
        <w:t>gamified reinforcement learning task with fluctuating reward contingencies, fitting the Rescorla–Wagner model individually to each participant and extending the analysis to beta oscillatory dynamics.</w:t>
      </w:r>
    </w:p>
    <w:p w14:paraId="7EF15E80" w14:textId="77777777" w:rsidR="00403B61" w:rsidRPr="0064017D" w:rsidRDefault="00C56D5D" w:rsidP="00403B61">
      <w:pPr>
        <w:pStyle w:val="Heading2"/>
        <w:rPr>
          <w:rFonts w:ascii="Times New Roman" w:hAnsi="Times New Roman" w:cs="Times New Roman"/>
        </w:rPr>
      </w:pPr>
      <w:r>
        <w:rPr>
          <w:rFonts w:ascii="Times New Roman" w:hAnsi="Times New Roman" w:cs="Times New Roman"/>
        </w:rPr>
        <w:t>Computational Modelling</w:t>
      </w:r>
    </w:p>
    <w:p w14:paraId="0CC3614B" w14:textId="77777777" w:rsidR="00403B61" w:rsidRPr="0064017D" w:rsidRDefault="00941AAF" w:rsidP="00403B61">
      <w:pPr>
        <w:ind w:firstLine="720"/>
        <w:rPr>
          <w:rFonts w:ascii="Times New Roman" w:hAnsi="Times New Roman" w:cs="Times New Roman"/>
        </w:rPr>
      </w:pPr>
      <w:r>
        <w:rPr>
          <w:rFonts w:ascii="Times New Roman" w:hAnsi="Times New Roman" w:cs="Times New Roman"/>
        </w:rPr>
        <w:t>Predictive processing reframes conditioning not as a simple stimulus response but as the brain’s continuous updating of its internal models to minimize surprise (prediction error) from sensory input. In reinforcement learning, reducing reward prediction error enables the system to refine associative relationships by improving its internal representations (Sprevak &amp; Smith, 2023). One of the most widely used computational models is the Rescorla-Wagner model (RW), which emphasizes learning from unpredicted outcomes. Fitting associative strength and prediction error parameters to neural time series leverages trial-by-trial variability in brain data while providing conceptually meaningful data reduction. This approach has been used to quantify learning in a wide range of tasks, in human participants and animal model studies including reinforcement learning (Costa et al., 2016), social decision making (Zhang et al., 2020) and category learning (Rodriguez et al., 2006)  Hence, this technique was used to characterize the role of alpha and beta power values during experience-based updating of expectancy.</w:t>
      </w:r>
    </w:p>
    <w:p w14:paraId="3E783969" w14:textId="77777777" w:rsidR="00E51E5B" w:rsidRPr="0064017D" w:rsidRDefault="00000000">
      <w:pPr>
        <w:rPr>
          <w:rFonts w:ascii="Times New Roman" w:hAnsi="Times New Roman" w:cs="Times New Roman"/>
        </w:rPr>
      </w:pPr>
      <w:r>
        <w:rPr>
          <w:rFonts w:ascii="Times New Roman" w:hAnsi="Times New Roman" w:cs="Times New Roman"/>
          <w:b/>
          <w:bCs/>
        </w:rPr>
        <w:t>Figure 1.</w:t>
      </w:r>
    </w:p>
    <w:p w14:paraId="253F4FB5" w14:textId="77777777" w:rsidR="00E51E5B" w:rsidRPr="0064017D" w:rsidRDefault="00000000">
      <w:pPr>
        <w:rPr>
          <w:rFonts w:ascii="Times New Roman" w:hAnsi="Times New Roman" w:cs="Times New Roman"/>
        </w:rPr>
      </w:pPr>
      <w:r>
        <w:rPr>
          <w:rFonts w:ascii="Times New Roman" w:hAnsi="Times New Roman" w:cs="Times New Roman"/>
          <w:i/>
          <w:iCs/>
        </w:rPr>
        <w:t>Rescorla-Wagner Model (Simplified).</w:t>
      </w:r>
    </w:p>
    <w:p w14:paraId="08E18F13" w14:textId="77777777" w:rsidR="00403B61" w:rsidRPr="0064017D" w:rsidRDefault="00403B61" w:rsidP="00403B61">
      <w:pPr>
        <w:rPr>
          <w:rFonts w:ascii="Times New Roman" w:hAnsi="Times New Roman" w:cs="Times New Roman"/>
        </w:rPr>
      </w:pPr>
      <w:r>
        <w:rPr>
          <w:rFonts w:ascii="Times New Roman" w:hAnsi="Times New Roman" w:cs="Times New Roman"/>
        </w:rPr>
        <w:lastRenderedPageBreak/>
        <w:fldChar w:fldCharType="begin"/>
      </w:r>
      <w:r>
        <w:rPr>
          <w:rFonts w:ascii="Times New Roman" w:hAnsi="Times New Roman" w:cs="Times New Roman"/>
        </w:rPr>
        <w:instrText xml:space="preserve"> INCLUDEPICTURE "https://www.appstate.edu/~steelekm/classes/psy3214/RescorlaWagner/R-W_Model.gif"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7E3C47BE" wp14:editId="699942E0">
            <wp:extent cx="3812583" cy="2144525"/>
            <wp:effectExtent l="0" t="0" r="0" b="1905"/>
            <wp:docPr id="1192926895" name="Picture 2" descr="Psychology 3214 -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ychology 3214 - Topic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9328" cy="2159569"/>
                    </a:xfrm>
                    <a:prstGeom prst="rect">
                      <a:avLst/>
                    </a:prstGeom>
                    <a:noFill/>
                    <a:ln>
                      <a:noFill/>
                    </a:ln>
                  </pic:spPr>
                </pic:pic>
              </a:graphicData>
            </a:graphic>
          </wp:inline>
        </w:drawing>
      </w:r>
      <w:r>
        <w:rPr>
          <w:rFonts w:ascii="Times New Roman" w:hAnsi="Times New Roman" w:cs="Times New Roman"/>
        </w:rPr>
        <w:fldChar w:fldCharType="end"/>
      </w:r>
    </w:p>
    <w:p w14:paraId="503A87D8"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Diagram illustrating the Rescorla-Wagner model update rule with key parameter definitions.</w:t>
      </w:r>
    </w:p>
    <w:p w14:paraId="707A4F4B" w14:textId="77777777" w:rsidR="00403B61" w:rsidRPr="0064017D" w:rsidRDefault="00403B61" w:rsidP="00403B61">
      <w:pPr>
        <w:rPr>
          <w:rFonts w:ascii="Times New Roman" w:hAnsi="Times New Roman" w:cs="Times New Roman"/>
        </w:rPr>
      </w:pPr>
    </w:p>
    <w:p w14:paraId="1F40EAAE" w14:textId="77777777" w:rsidR="00403B61" w:rsidRPr="0064017D" w:rsidRDefault="00403B61" w:rsidP="00403B61">
      <w:pPr>
        <w:pStyle w:val="Heading2"/>
        <w:rPr>
          <w:rFonts w:ascii="Times New Roman" w:hAnsi="Times New Roman" w:cs="Times New Roman"/>
        </w:rPr>
      </w:pPr>
      <w:r>
        <w:rPr>
          <w:rFonts w:ascii="Times New Roman" w:hAnsi="Times New Roman" w:cs="Times New Roman"/>
        </w:rPr>
        <w:t>Alpha Band</w:t>
      </w:r>
    </w:p>
    <w:p w14:paraId="1877E769"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Changes in alpha-band spectral power (8–13 Hz) have been consistently linked to distinct cognitive processes (Klimesch, 1999). Increases in alpha power are typically associated with internally oriented cognition, such as mental imagery (Bartsch et al., 2015), boredom (Raffaelli et al., 2018), and anticipation (Bonnefond &amp; Jensen, 2012). Conversely, decreases in alpha power are observed during cortical engagement with relevant or salient sensory input (Klimesch, 1999). Collectively, one could hypothesize that updating learned representations involves dynamic fluctuations in alpha-band neural activity. It can be effectively tested because alpha oscillations are both high in amplitude and exhibit a favourable signal-to-noise ratio, enabling reliable quantification at the single-trial and time-point levels (Başar &amp; Güntekin, 2012).</w:t>
      </w:r>
    </w:p>
    <w:p w14:paraId="4AF56496"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 xml:space="preserve">Stimulus saliency and changing expectancy are key factors linking associative strength in the Rescorla-Wagner (RW) model to alpha-band neural oscillations. When a neutral stimulus is consistently paired with a meaningful outcome, behavioural and physiological responses to that conditioned stimulus adapt in systematic ways, enhancing the </w:t>
      </w:r>
      <w:r>
        <w:rPr>
          <w:rFonts w:ascii="Times New Roman" w:hAnsi="Times New Roman" w:cs="Times New Roman"/>
        </w:rPr>
        <w:lastRenderedPageBreak/>
        <w:t>organism's preparedness for the anticipated event (Clark, 2004). Expectancy rises as the associative strength between the conditioned and unconditioned stimuli strengthens (e.g., Perruchet, 2015). Together, these findings support that associative strength in the RW model is mirrored by fluctuations in alpha power. Given that alpha power and phase timing vary substantially across individuals (Haegens et al., 2014), models incorporating individualized learning rates and neural profiles can provide a more comprehensive account of associative learning than traditional group- or trial-averaged approaches.</w:t>
      </w:r>
    </w:p>
    <w:p w14:paraId="4320A63C" w14:textId="77777777" w:rsidR="00403B61" w:rsidRPr="0064017D" w:rsidRDefault="00C56D5D" w:rsidP="00403B61">
      <w:pPr>
        <w:pStyle w:val="Heading2"/>
        <w:rPr>
          <w:rFonts w:ascii="Times New Roman" w:hAnsi="Times New Roman" w:cs="Times New Roman"/>
        </w:rPr>
      </w:pPr>
      <w:r>
        <w:rPr>
          <w:rFonts w:ascii="Times New Roman" w:hAnsi="Times New Roman" w:cs="Times New Roman"/>
        </w:rPr>
        <w:t>Extension to Beta Bands</w:t>
      </w:r>
    </w:p>
    <w:p w14:paraId="56961A2C"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In addition to alpha oscillations, the study extended its analysis to beta oscillations. Beta oscillations have been linked to the top-down predictive coding framework, representing the brain’s expectations. Beta band oscillations show power increases after reward delivery in reinforcement learning tasks, indicating a role in learning from feedback and in maintaining task-related information (HajiHosseini et al., 2020).</w:t>
      </w:r>
    </w:p>
    <w:p w14:paraId="5776E3AC"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Regarding expectancy, beta oscillations have also been closely linked with expectancy in motor action. Beta power in the motor cortex is suppressed before and during movement (Dyck &amp; Klaes, 2024). Investigating beta in conjunction with alpha power during reward expectancy was therefore considered novel in the present context, given that a motor action was required for participants to receive reward feedback. This study therefore examined whether beta oscillatory dynamics during anticipation in a reinforcement learning task follow a similar pattern of suppression.</w:t>
      </w:r>
    </w:p>
    <w:p w14:paraId="07092796" w14:textId="77777777" w:rsidR="00403B61" w:rsidRPr="0064017D" w:rsidRDefault="00403B61" w:rsidP="00403B61">
      <w:pPr>
        <w:pStyle w:val="Heading2"/>
        <w:rPr>
          <w:rFonts w:ascii="Times New Roman" w:hAnsi="Times New Roman" w:cs="Times New Roman"/>
        </w:rPr>
      </w:pPr>
      <w:r>
        <w:rPr>
          <w:rFonts w:ascii="Times New Roman" w:hAnsi="Times New Roman" w:cs="Times New Roman"/>
        </w:rPr>
        <w:t>Temporal Generalization Using SVM Classifier</w:t>
      </w:r>
    </w:p>
    <w:p w14:paraId="054060C4"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 xml:space="preserve">In addition to the conceptually driven Rescorla–Wagner (RW) model, the study employed data-driven approaches to test whether fluctuations in alpha power reflect the updating of associative strength during learning. Support vector machine (SVM) </w:t>
      </w:r>
      <w:r>
        <w:rPr>
          <w:rFonts w:ascii="Times New Roman" w:hAnsi="Times New Roman" w:cs="Times New Roman"/>
        </w:rPr>
        <w:lastRenderedPageBreak/>
        <w:t xml:space="preserve">classification distinguishes observations based on feature sets and has been widely applied in neuroscience to characterise fMRI voxel patterns associated with specific stimulus categories (Haxby et al., 2014) and to identify EEG time periods that discriminate between cognitive states (Bae &amp; Luck, 2018). SVM classifiers thus enable the detection of neural representational patterns corresponding to cognitive or behavioural states elicited by the experimental task (Weaverdyck et al., 2020). Temporal generalization analyses further exploit the time-resolved nature of EEG data to assess the stability and evolution of neural representations across time points (King &amp; Dehaene, 2014). Combining this approach with individual RW modelling allows for a computational characterization of how alpha and beta power dynamics relate to the trial-by-trial updating of associative memories, as well as testing whether the spatial distribution of alpha and beta power encodes information about both experience and expectancy across different phases of the learning cycle. </w:t>
      </w:r>
    </w:p>
    <w:p w14:paraId="11CCE652" w14:textId="77777777" w:rsidR="00403B61" w:rsidRPr="0064017D" w:rsidRDefault="00403B61" w:rsidP="00403B61">
      <w:pPr>
        <w:shd w:val="clear" w:color="auto" w:fill="FFFFFF"/>
        <w:rPr>
          <w:rFonts w:ascii="Times New Roman" w:hAnsi="Times New Roman" w:cs="Times New Roman"/>
          <w:color w:val="000000" w:themeColor="text1"/>
        </w:rPr>
      </w:pPr>
    </w:p>
    <w:p w14:paraId="7CAC8438" w14:textId="77777777" w:rsidR="00403B61" w:rsidRPr="0064017D" w:rsidRDefault="00403B61" w:rsidP="00403B61">
      <w:pPr>
        <w:pStyle w:val="Heading2"/>
        <w:rPr>
          <w:rFonts w:ascii="Times New Roman" w:hAnsi="Times New Roman" w:cs="Times New Roman"/>
        </w:rPr>
      </w:pPr>
      <w:r>
        <w:rPr>
          <w:rFonts w:ascii="Times New Roman" w:hAnsi="Times New Roman" w:cs="Times New Roman"/>
        </w:rPr>
        <w:t>Hypotheses</w:t>
      </w:r>
    </w:p>
    <w:p w14:paraId="01594D89" w14:textId="77777777" w:rsidR="003102BC" w:rsidRPr="0064017D" w:rsidRDefault="00C56D5D" w:rsidP="00C56D5D">
      <w:pPr>
        <w:ind w:firstLine="720"/>
        <w:rPr>
          <w:rFonts w:ascii="Times New Roman" w:hAnsi="Times New Roman" w:cs="Times New Roman"/>
        </w:rPr>
      </w:pPr>
      <w:r>
        <w:rPr>
          <w:rFonts w:ascii="Times New Roman" w:hAnsi="Times New Roman" w:cs="Times New Roman"/>
        </w:rPr>
        <w:t xml:space="preserve">The present study analyzes whether anticipatory neural oscillations represent the internal expectancy states of participants during a reinforcement learning task. We specifically ask if trial-by-trial shifts in alpha and beta power (measured in the period immediately preceding outcome delivery) follow learned expected value (V(t)) as derived from the Rescorla–Wagner model. </w:t>
      </w:r>
    </w:p>
    <w:p w14:paraId="5A00378A" w14:textId="77777777" w:rsidR="003102BC" w:rsidRPr="0064017D" w:rsidRDefault="003102BC" w:rsidP="00C56D5D">
      <w:pPr>
        <w:rPr>
          <w:rFonts w:ascii="Times New Roman" w:hAnsi="Times New Roman" w:cs="Times New Roman"/>
        </w:rPr>
      </w:pPr>
    </w:p>
    <w:p w14:paraId="36CF21B0" w14:textId="77777777" w:rsidR="008C16B2" w:rsidRDefault="00C56D5D" w:rsidP="00C56D5D">
      <w:pPr>
        <w:ind w:firstLine="720"/>
        <w:rPr>
          <w:rFonts w:ascii="Times New Roman" w:hAnsi="Times New Roman" w:cs="Times New Roman"/>
        </w:rPr>
      </w:pPr>
      <w:r>
        <w:rPr>
          <w:rFonts w:ascii="Times New Roman" w:hAnsi="Times New Roman" w:cs="Times New Roman"/>
        </w:rPr>
        <w:t xml:space="preserve"> We predict that pre-outcome parieto-occipital alpha power will be positively associated with RW expected value V(t): on trials when participants have learned to strongly anticipate a reward, alpha power will be more intense than on trials with low expectancy, representing an internally oriented preparatory state. </w:t>
      </w:r>
    </w:p>
    <w:p w14:paraId="7461848B" w14:textId="328F57F3" w:rsidR="008C16B2" w:rsidRDefault="00C56D5D" w:rsidP="00C56D5D">
      <w:pPr>
        <w:ind w:firstLine="720"/>
        <w:rPr>
          <w:rFonts w:ascii="Times New Roman" w:hAnsi="Times New Roman" w:cs="Times New Roman"/>
        </w:rPr>
      </w:pPr>
      <w:r>
        <w:rPr>
          <w:rFonts w:ascii="Times New Roman" w:hAnsi="Times New Roman" w:cs="Times New Roman"/>
        </w:rPr>
        <w:lastRenderedPageBreak/>
        <w:t>We also predict that pre-outcome beta power will be proportional to RW expected value V(t</w:t>
      </w:r>
      <w:r w:rsidR="008C16B2">
        <w:rPr>
          <w:rFonts w:ascii="Times New Roman" w:hAnsi="Times New Roman" w:cs="Times New Roman"/>
        </w:rPr>
        <w:t xml:space="preserve">). </w:t>
      </w:r>
      <w:r>
        <w:rPr>
          <w:rFonts w:ascii="Times New Roman" w:hAnsi="Times New Roman" w:cs="Times New Roman"/>
        </w:rPr>
        <w:t xml:space="preserve"> </w:t>
      </w:r>
      <w:r w:rsidR="008C16B2" w:rsidRPr="008C16B2">
        <w:rPr>
          <w:rFonts w:ascii="Times New Roman" w:hAnsi="Times New Roman" w:cs="Times New Roman"/>
        </w:rPr>
        <w:t xml:space="preserve">If beta suppression reflects the motor system's release from a stable holding state in anticipation of an upcoming action, then trials on which reward is strongly expected </w:t>
      </w:r>
      <w:r w:rsidR="008C16B2">
        <w:rPr>
          <w:rFonts w:ascii="Times New Roman" w:hAnsi="Times New Roman" w:cs="Times New Roman"/>
        </w:rPr>
        <w:t>(</w:t>
      </w:r>
      <w:r w:rsidR="008C16B2" w:rsidRPr="008C16B2">
        <w:rPr>
          <w:rFonts w:ascii="Times New Roman" w:hAnsi="Times New Roman" w:cs="Times New Roman"/>
        </w:rPr>
        <w:t>and thus motor preparation is more certain</w:t>
      </w:r>
      <w:r w:rsidR="008C16B2">
        <w:rPr>
          <w:rFonts w:ascii="Times New Roman" w:hAnsi="Times New Roman" w:cs="Times New Roman"/>
        </w:rPr>
        <w:t xml:space="preserve">) </w:t>
      </w:r>
      <w:r w:rsidR="008C16B2" w:rsidRPr="008C16B2">
        <w:rPr>
          <w:rFonts w:ascii="Times New Roman" w:hAnsi="Times New Roman" w:cs="Times New Roman"/>
        </w:rPr>
        <w:t xml:space="preserve">should show deeper or more sustained suppression during the anticipatory </w:t>
      </w:r>
      <w:r w:rsidR="008C16B2">
        <w:rPr>
          <w:rFonts w:ascii="Times New Roman" w:hAnsi="Times New Roman" w:cs="Times New Roman"/>
        </w:rPr>
        <w:t xml:space="preserve">motor action </w:t>
      </w:r>
      <w:r w:rsidR="008C16B2" w:rsidRPr="008C16B2">
        <w:rPr>
          <w:rFonts w:ascii="Times New Roman" w:hAnsi="Times New Roman" w:cs="Times New Roman"/>
        </w:rPr>
        <w:t>window compared to low-expectancy trials. This predicts a negative relationship between V(t) and pre-outcome beta power, mirroring the positive relationship predicted for alpha but arising from a distinct mechanism: not inhibitory gating of irrelevant input, but disinhibition of the motor system</w:t>
      </w:r>
      <w:r w:rsidR="008C16B2">
        <w:rPr>
          <w:rFonts w:ascii="Times New Roman" w:hAnsi="Times New Roman" w:cs="Times New Roman"/>
        </w:rPr>
        <w:t>.</w:t>
      </w:r>
    </w:p>
    <w:p w14:paraId="5686D16E" w14:textId="77777777" w:rsidR="008C16B2" w:rsidRDefault="008C16B2" w:rsidP="00C56D5D">
      <w:pPr>
        <w:ind w:firstLine="720"/>
        <w:rPr>
          <w:rFonts w:ascii="Times New Roman" w:hAnsi="Times New Roman" w:cs="Times New Roman"/>
        </w:rPr>
      </w:pPr>
    </w:p>
    <w:p w14:paraId="555FA0DE" w14:textId="5C26C600" w:rsidR="00C56D5D" w:rsidRPr="0064017D" w:rsidRDefault="00C56D5D" w:rsidP="00C56D5D">
      <w:pPr>
        <w:ind w:firstLine="720"/>
        <w:rPr>
          <w:rFonts w:ascii="Times New Roman" w:hAnsi="Times New Roman" w:cs="Times New Roman"/>
        </w:rPr>
      </w:pPr>
      <w:r>
        <w:rPr>
          <w:rFonts w:ascii="Times New Roman" w:hAnsi="Times New Roman" w:cs="Times New Roman"/>
        </w:rPr>
        <w:t>Lastly, the spatial arrangement of broadband EEG activity that encodes RW expected value V(t) will be temporally stable throughout the pre-outcome window. If TGM shows sustained off-diagonal decoding, this would suggest that during anticipation, the same neural representation of learned expectancy persists instead of appearing transiently at a given timepoint. Although Riels et al. (2021) applied SVM classification to band-limited alpha power, the present study uses Support Vector Regression (SVR) on raw broadband EEG voltage, reflecting the continuous nature of V(t) as a target variable and allowing decoding performance to be quantified as variance explained (R²) rather than classification accuracy.</w:t>
      </w:r>
    </w:p>
    <w:p w14:paraId="50AB53FE" w14:textId="77777777" w:rsidR="00C56D5D" w:rsidRPr="0064017D" w:rsidRDefault="00C56D5D" w:rsidP="00C56D5D">
      <w:pPr>
        <w:rPr>
          <w:rFonts w:ascii="Times New Roman" w:eastAsia="Times New Roman" w:hAnsi="Times New Roman" w:cs="Times New Roman"/>
          <w:kern w:val="0"/>
          <w:lang w:eastAsia="en-GB"/>
          <w14:ligatures w14:val="none"/>
        </w:rPr>
      </w:pPr>
    </w:p>
    <w:p w14:paraId="57C20DF7" w14:textId="77777777" w:rsidR="00E86A18" w:rsidRPr="0064017D" w:rsidRDefault="00E86A18" w:rsidP="002C2177">
      <w:pPr>
        <w:rPr>
          <w:rFonts w:ascii="Times New Roman" w:hAnsi="Times New Roman" w:cs="Times New Roman"/>
          <w:lang w:val="en-US"/>
        </w:rPr>
      </w:pPr>
    </w:p>
    <w:p w14:paraId="4A9E9CA3" w14:textId="77777777" w:rsidR="00941AAF" w:rsidRPr="0064017D" w:rsidRDefault="002C2177" w:rsidP="00941AAF">
      <w:pPr>
        <w:pStyle w:val="Heading1"/>
        <w:rPr>
          <w:rFonts w:ascii="Times New Roman" w:hAnsi="Times New Roman" w:cs="Times New Roman"/>
        </w:rPr>
      </w:pPr>
      <w:r>
        <w:rPr>
          <w:rFonts w:ascii="Times New Roman" w:hAnsi="Times New Roman" w:cs="Times New Roman"/>
        </w:rPr>
        <w:t>Method</w:t>
      </w:r>
    </w:p>
    <w:p w14:paraId="41EC063C" w14:textId="77777777" w:rsidR="00941AAF" w:rsidRPr="0064017D" w:rsidRDefault="00941AAF" w:rsidP="002C2177">
      <w:pPr>
        <w:pStyle w:val="Heading2"/>
        <w:rPr>
          <w:rFonts w:ascii="Times New Roman" w:hAnsi="Times New Roman" w:cs="Times New Roman"/>
        </w:rPr>
      </w:pPr>
      <w:r>
        <w:rPr>
          <w:rFonts w:ascii="Times New Roman" w:hAnsi="Times New Roman" w:cs="Times New Roman"/>
        </w:rPr>
        <w:t>Design</w:t>
      </w:r>
    </w:p>
    <w:p w14:paraId="16B810A7" w14:textId="77777777" w:rsidR="00941AAF" w:rsidRPr="0064017D" w:rsidRDefault="00941AAF" w:rsidP="00941AAF">
      <w:pPr>
        <w:ind w:firstLine="720"/>
        <w:rPr>
          <w:rFonts w:ascii="Times New Roman" w:hAnsi="Times New Roman" w:cs="Times New Roman"/>
        </w:rPr>
      </w:pPr>
      <w:r>
        <w:rPr>
          <w:rFonts w:ascii="Times New Roman" w:hAnsi="Times New Roman" w:cs="Times New Roman"/>
        </w:rPr>
        <w:t xml:space="preserve">This study employed a within-subjects correlational design, examining trial-by-trial relationships between model-derived expectancy estimates and anticipatory oscillatory power </w:t>
      </w:r>
      <w:r>
        <w:rPr>
          <w:rFonts w:ascii="Times New Roman" w:hAnsi="Times New Roman" w:cs="Times New Roman"/>
        </w:rPr>
        <w:lastRenderedPageBreak/>
        <w:t>within each participant, with individual differences examined descriptively across participants.</w:t>
      </w:r>
    </w:p>
    <w:p w14:paraId="2E639CE1" w14:textId="77777777" w:rsidR="002C2177" w:rsidRPr="0064017D" w:rsidRDefault="002C2177" w:rsidP="002C2177">
      <w:pPr>
        <w:pStyle w:val="Heading2"/>
        <w:rPr>
          <w:rFonts w:ascii="Times New Roman" w:hAnsi="Times New Roman" w:cs="Times New Roman"/>
        </w:rPr>
      </w:pPr>
      <w:r>
        <w:rPr>
          <w:rFonts w:ascii="Times New Roman" w:hAnsi="Times New Roman" w:cs="Times New Roman"/>
        </w:rPr>
        <w:t>Participants</w:t>
      </w:r>
    </w:p>
    <w:p w14:paraId="3E861EC8" w14:textId="77777777" w:rsidR="00151577" w:rsidRPr="0064017D" w:rsidRDefault="008F4A1F" w:rsidP="00151577">
      <w:pPr>
        <w:ind w:firstLine="720"/>
        <w:rPr>
          <w:rFonts w:ascii="Times New Roman" w:hAnsi="Times New Roman" w:cs="Times New Roman"/>
        </w:rPr>
      </w:pPr>
      <w:r>
        <w:rPr>
          <w:rFonts w:ascii="Times New Roman" w:hAnsi="Times New Roman" w:cs="Times New Roman"/>
        </w:rPr>
        <w:t xml:space="preserve">The participants were collected from a larger study investigating serotonergic and noradrenergic influences on decision-making in anxiety. Participants were recruited via advertisements to the </w:t>
      </w:r>
      <w:proofErr w:type="gramStart"/>
      <w:r>
        <w:rPr>
          <w:rFonts w:ascii="Times New Roman" w:hAnsi="Times New Roman" w:cs="Times New Roman"/>
        </w:rPr>
        <w:t>general public</w:t>
      </w:r>
      <w:proofErr w:type="gramEnd"/>
      <w:r>
        <w:rPr>
          <w:rFonts w:ascii="Times New Roman" w:hAnsi="Times New Roman" w:cs="Times New Roman"/>
        </w:rPr>
        <w:t xml:space="preserve"> in the London area posted on social media (e.g., Facebook), search engines (e.g., Google) and marketplace websites (e.g., GumTree). Adverts for the study directed participants to an online screening survey, where they provided demographic information before completing the State Trait Inventory of Cognitive and Somatic anxiety. If they scored above the pre-specified cut off for inclusion (43), they were directed to follow-up questions to assess other exclusion criteria (</w:t>
      </w:r>
      <w:proofErr w:type="gramStart"/>
      <w:r>
        <w:rPr>
          <w:rFonts w:ascii="Times New Roman" w:hAnsi="Times New Roman" w:cs="Times New Roman"/>
        </w:rPr>
        <w:t>with the exception of</w:t>
      </w:r>
      <w:proofErr w:type="gramEnd"/>
      <w:r>
        <w:rPr>
          <w:rFonts w:ascii="Times New Roman" w:hAnsi="Times New Roman" w:cs="Times New Roman"/>
        </w:rPr>
        <w:t xml:space="preserve"> those requiring in-person assessment, such as blood pressure). The main inclusion criteria were that they had to be aged 18-55, have high trait anxiety. They were not included if they had a previously diagnosed psychotic or personality </w:t>
      </w:r>
      <w:proofErr w:type="gramStart"/>
      <w:r>
        <w:rPr>
          <w:rFonts w:ascii="Times New Roman" w:hAnsi="Times New Roman" w:cs="Times New Roman"/>
        </w:rPr>
        <w:t>disorder, or</w:t>
      </w:r>
      <w:proofErr w:type="gramEnd"/>
      <w:r>
        <w:rPr>
          <w:rFonts w:ascii="Times New Roman" w:hAnsi="Times New Roman" w:cs="Times New Roman"/>
        </w:rPr>
        <w:t xml:space="preserve"> had medical conditions that could render them unsuitable for the study. The full list of the inclusion and exclusion criteria was in the Appendix.</w:t>
      </w:r>
    </w:p>
    <w:p w14:paraId="3A57BD97" w14:textId="77777777" w:rsidR="00403B61" w:rsidRPr="0064017D" w:rsidRDefault="00403B61" w:rsidP="00151577">
      <w:pPr>
        <w:ind w:firstLine="720"/>
        <w:rPr>
          <w:rFonts w:ascii="Times New Roman" w:hAnsi="Times New Roman" w:cs="Times New Roman"/>
        </w:rPr>
      </w:pPr>
      <w:r>
        <w:rPr>
          <w:rFonts w:ascii="Times New Roman" w:hAnsi="Times New Roman" w:cs="Times New Roman"/>
        </w:rPr>
        <w:t xml:space="preserve">This was exploratory research dedicated to looking at the feasibility of replicating the study. Therefore, it would have been inappropriate to conduct any a priori power calculation based on Riels et al., 2021 to determine sample size. Power calculations require assumptions about effect sizes, variability between subjects, and alpha/beta levels. If we had simply made a fully powered calculation using the original parameters, we could have risked giving a misleadingly precise sample size, since there were significant deviations in paradigm, which would have substantially changed both effect sizes and variability. Hence, the original parameters may not have generalised well to our conceptual replication. Instead, we recruited a pragmatic sample based on constraints like time, budget, and participant recruitment to </w:t>
      </w:r>
      <w:r>
        <w:rPr>
          <w:rFonts w:ascii="Times New Roman" w:hAnsi="Times New Roman" w:cs="Times New Roman"/>
        </w:rPr>
        <w:lastRenderedPageBreak/>
        <w:t xml:space="preserve">obtain pilot estimates of effect sizes and variability to inform a fully powered confirmatory replication. The final sample comprised five participants (N = 5). Detailed demographic information is not reported </w:t>
      </w:r>
      <w:proofErr w:type="gramStart"/>
      <w:r>
        <w:rPr>
          <w:rFonts w:ascii="Times New Roman" w:hAnsi="Times New Roman" w:cs="Times New Roman"/>
        </w:rPr>
        <w:t>in order to</w:t>
      </w:r>
      <w:proofErr w:type="gramEnd"/>
      <w:r>
        <w:rPr>
          <w:rFonts w:ascii="Times New Roman" w:hAnsi="Times New Roman" w:cs="Times New Roman"/>
        </w:rPr>
        <w:t xml:space="preserve"> protect the anonymity of participants given the small sample size.</w:t>
      </w:r>
    </w:p>
    <w:p w14:paraId="53112903" w14:textId="77777777" w:rsidR="00941AAF" w:rsidRPr="0064017D" w:rsidRDefault="00941AAF">
      <w:pPr>
        <w:ind w:firstLine="720"/>
        <w:rPr>
          <w:rFonts w:ascii="Times New Roman" w:hAnsi="Times New Roman" w:cs="Times New Roman"/>
        </w:rPr>
      </w:pPr>
      <w:r>
        <w:rPr>
          <w:rFonts w:ascii="Times New Roman" w:hAnsi="Times New Roman" w:cs="Times New Roman"/>
        </w:rPr>
        <w:t>Given the exploratory nature and small sample size of this study, covariates were not formally included in the statistical analyses. However, several variables were identified as important to control for in a confirmatory replication. At the within-subject level, trial number is the primary concern. Progressive fatigue and rising electrode impedance as conductive gel dries may systematically degrade EEG signal quality independently of any neural effect of interest (Ferree et al., 2001; Tran et al., 2020). At the between-subjects level, trait anxiety and age are relevant covariates, as both alpha oscillatory dynamics and individual reinforcement learning rates are known to vary with anxiety severity (Knyazev et al., 2004).</w:t>
      </w:r>
    </w:p>
    <w:p w14:paraId="545F4C27" w14:textId="77777777" w:rsidR="00B77ABF" w:rsidRPr="0064017D" w:rsidRDefault="00000000">
      <w:pPr>
        <w:ind w:firstLine="720"/>
        <w:rPr>
          <w:rFonts w:ascii="Times New Roman" w:hAnsi="Times New Roman" w:cs="Times New Roman"/>
        </w:rPr>
      </w:pPr>
      <w:r>
        <w:rPr>
          <w:rFonts w:ascii="Times New Roman" w:hAnsi="Times New Roman" w:cs="Times New Roman"/>
        </w:rPr>
        <w:t xml:space="preserve">This study received ethical approval from the relevant Research Ethics Committee. All procedures were low risk; EEG recording, behavioural testing, and blood sampling were conducted by trained personnel, and participants were screened thoroughly for contraindications prior to enrolment. The wider study involves administration of pharmacological agents with established clinical safety profiles, with all sessions monitored by a medically qualified team member in accordance with Good Clinical Practice. Given that participants were recruited for high trait anxiety, protocols were in place to signpost appropriate clinical or support services should mental health concerns arise during or after the study. Informed consent was obtained from all participants prior to data collection, data were stored securely, and participants were fairly compensated for their time. As EEG data may constitute sensitive neurodata, access was restricted to the study </w:t>
      </w:r>
      <w:proofErr w:type="gramStart"/>
      <w:r>
        <w:rPr>
          <w:rFonts w:ascii="Times New Roman" w:hAnsi="Times New Roman" w:cs="Times New Roman"/>
        </w:rPr>
        <w:t>team</w:t>
      </w:r>
      <w:proofErr w:type="gramEnd"/>
      <w:r>
        <w:rPr>
          <w:rFonts w:ascii="Times New Roman" w:hAnsi="Times New Roman" w:cs="Times New Roman"/>
        </w:rPr>
        <w:t xml:space="preserve"> and purposes were clearly communicated to participants.</w:t>
      </w:r>
    </w:p>
    <w:p w14:paraId="66F95BDE" w14:textId="77777777" w:rsidR="002C2177" w:rsidRPr="0064017D" w:rsidRDefault="002C2177" w:rsidP="002C2177">
      <w:pPr>
        <w:pStyle w:val="Heading2"/>
        <w:rPr>
          <w:rFonts w:ascii="Times New Roman" w:hAnsi="Times New Roman" w:cs="Times New Roman"/>
        </w:rPr>
      </w:pPr>
      <w:r>
        <w:rPr>
          <w:rFonts w:ascii="Times New Roman" w:hAnsi="Times New Roman" w:cs="Times New Roman"/>
        </w:rPr>
        <w:lastRenderedPageBreak/>
        <w:t>Task</w:t>
      </w:r>
    </w:p>
    <w:p w14:paraId="07463C7A"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In this task, participants made decisions that determine the </w:t>
      </w:r>
      <w:proofErr w:type="gramStart"/>
      <w:r>
        <w:rPr>
          <w:rFonts w:ascii="Times New Roman" w:hAnsi="Times New Roman" w:cs="Times New Roman"/>
          <w:lang w:val="en-US"/>
        </w:rPr>
        <w:t>amount</w:t>
      </w:r>
      <w:proofErr w:type="gramEnd"/>
      <w:r>
        <w:rPr>
          <w:rFonts w:ascii="Times New Roman" w:hAnsi="Times New Roman" w:cs="Times New Roman"/>
          <w:lang w:val="en-US"/>
        </w:rPr>
        <w:t xml:space="preserve"> of monetary rewards they earn. The design allowed choices to be made through simple, habitual responses. The task was presented as a game in which participants shoot at “aliens” using cannonballs of two different colours. During each trial, they must choose which colour cannonball to use, knowing that some colours may explode before reaching the target. There are 720 trials in total, 360 per block, 5 sets of contingencies (90/10, 70/30, 50/50, 30/70, 10/90). Each set of contingencies (segment) appears twice per block (so, four times across the whole task). Each segment has between 30-42 trials. The approximate time per trial was around 1250ms.</w:t>
      </w:r>
    </w:p>
    <w:p w14:paraId="2C8ACC38" w14:textId="77777777" w:rsidR="00E51E5B" w:rsidRPr="0064017D" w:rsidRDefault="00000000">
      <w:pPr>
        <w:rPr>
          <w:rFonts w:ascii="Times New Roman" w:hAnsi="Times New Roman" w:cs="Times New Roman"/>
        </w:rPr>
      </w:pPr>
      <w:r>
        <w:rPr>
          <w:rFonts w:ascii="Times New Roman" w:hAnsi="Times New Roman" w:cs="Times New Roman"/>
          <w:b/>
          <w:bCs/>
        </w:rPr>
        <w:t>Figure 2.</w:t>
      </w:r>
    </w:p>
    <w:p w14:paraId="63C94726" w14:textId="77777777" w:rsidR="00E51E5B" w:rsidRPr="0064017D" w:rsidRDefault="00000000">
      <w:pPr>
        <w:rPr>
          <w:rFonts w:ascii="Times New Roman" w:hAnsi="Times New Roman" w:cs="Times New Roman"/>
        </w:rPr>
      </w:pPr>
      <w:r>
        <w:rPr>
          <w:rFonts w:ascii="Times New Roman" w:hAnsi="Times New Roman" w:cs="Times New Roman"/>
          <w:i/>
          <w:iCs/>
        </w:rPr>
        <w:t>Example trial from the goal-directed decision-making task.</w:t>
      </w:r>
    </w:p>
    <w:p w14:paraId="3BBB6F98" w14:textId="77777777" w:rsidR="00403B61" w:rsidRPr="0064017D" w:rsidRDefault="00403B61" w:rsidP="00403B61">
      <w:pPr>
        <w:pStyle w:val="p1"/>
        <w:spacing w:line="480" w:lineRule="auto"/>
        <w:rPr>
          <w:rFonts w:ascii="Times New Roman" w:hAnsi="Times New Roman"/>
          <w:sz w:val="24"/>
          <w:szCs w:val="24"/>
        </w:rPr>
      </w:pPr>
      <w:r>
        <w:rPr>
          <w:rFonts w:ascii="Times New Roman" w:hAnsi="Times New Roman"/>
          <w:noProof/>
          <w:sz w:val="24"/>
          <w:szCs w:val="24"/>
        </w:rPr>
        <w:drawing>
          <wp:inline distT="0" distB="0" distL="0" distR="0" wp14:anchorId="18C9BC9A" wp14:editId="0E551BB4">
            <wp:extent cx="1536700" cy="1981200"/>
            <wp:effectExtent l="0" t="0" r="0" b="0"/>
            <wp:docPr id="1394926919" name="Picture 2" descr="A screenshot of a video gam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6919" name="Picture 2" descr="A screenshot of a video game  AI-generated content may be incorrect."/>
                    <pic:cNvPicPr/>
                  </pic:nvPicPr>
                  <pic:blipFill>
                    <a:blip r:embed="rId21"/>
                    <a:stretch>
                      <a:fillRect/>
                    </a:stretch>
                  </pic:blipFill>
                  <pic:spPr>
                    <a:xfrm>
                      <a:off x="0" y="0"/>
                      <a:ext cx="1536700" cy="1981200"/>
                    </a:xfrm>
                    <a:prstGeom prst="rect">
                      <a:avLst/>
                    </a:prstGeom>
                  </pic:spPr>
                </pic:pic>
              </a:graphicData>
            </a:graphic>
          </wp:inline>
        </w:drawing>
      </w:r>
    </w:p>
    <w:p w14:paraId="20B4FE8D"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Participants fire cannonballs at aliens flying around space. They must learn which colour ball to use and select from the left or right side of the cannon to choose the ball colour.</w:t>
      </w:r>
    </w:p>
    <w:p w14:paraId="5A962304" w14:textId="77777777" w:rsidR="00E86A18" w:rsidRPr="0064017D" w:rsidRDefault="00E86A18" w:rsidP="002C2177">
      <w:pPr>
        <w:rPr>
          <w:rFonts w:ascii="Times New Roman" w:hAnsi="Times New Roman" w:cs="Times New Roman"/>
          <w:lang w:val="en-US"/>
        </w:rPr>
      </w:pPr>
    </w:p>
    <w:p w14:paraId="4CCA2858" w14:textId="77777777" w:rsidR="002C2177" w:rsidRPr="0064017D" w:rsidRDefault="002C2177" w:rsidP="002C2177">
      <w:pPr>
        <w:pStyle w:val="Heading2"/>
        <w:rPr>
          <w:rFonts w:ascii="Times New Roman" w:hAnsi="Times New Roman" w:cs="Times New Roman"/>
        </w:rPr>
      </w:pPr>
      <w:r>
        <w:rPr>
          <w:rFonts w:ascii="Times New Roman" w:hAnsi="Times New Roman" w:cs="Times New Roman"/>
        </w:rPr>
        <w:t>Procedure</w:t>
      </w:r>
    </w:p>
    <w:p w14:paraId="027A9449"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rPr>
        <w:t xml:space="preserve">After providing informed consent, participants were seated in a sound-attenuated, dimly lit room. Following the instructional procedures, research assistants fitted the EEG </w:t>
      </w:r>
      <w:r>
        <w:rPr>
          <w:rFonts w:ascii="Times New Roman" w:hAnsi="Times New Roman" w:cs="Times New Roman"/>
        </w:rPr>
        <w:lastRenderedPageBreak/>
        <w:t>recording net onto each participant’s head, adjusted sensor placement and impedance as necessary, and then exited the room before initiating the task. The Cannonball task was administered as part of a larger multi-session EEG study lasting approximately 2 hours in total; the task itself took approximately 30 minutes. Prior to beginning, participants read on-screen instructions explaining the task. The 720 trials were completed without scheduled breaks, though participants were free to pause briefly between trials if needed. Following completion of the task, the EEG net was removed and participants were debriefed.</w:t>
      </w:r>
    </w:p>
    <w:p w14:paraId="33975F9B" w14:textId="77777777" w:rsidR="00E86A18" w:rsidRPr="0064017D" w:rsidRDefault="00E86A18" w:rsidP="002C2177">
      <w:pPr>
        <w:rPr>
          <w:rFonts w:ascii="Times New Roman" w:hAnsi="Times New Roman" w:cs="Times New Roman"/>
          <w:lang w:val="en-US"/>
        </w:rPr>
      </w:pPr>
    </w:p>
    <w:p w14:paraId="513B81CB" w14:textId="77777777" w:rsidR="00E86A18" w:rsidRPr="0064017D" w:rsidRDefault="00E86A18" w:rsidP="002C2177">
      <w:pPr>
        <w:rPr>
          <w:rFonts w:ascii="Times New Roman" w:hAnsi="Times New Roman" w:cs="Times New Roman"/>
          <w:lang w:val="en-US"/>
        </w:rPr>
      </w:pPr>
    </w:p>
    <w:p w14:paraId="72EF3A56" w14:textId="77777777" w:rsidR="002C2177" w:rsidRPr="0064017D" w:rsidRDefault="002C2177" w:rsidP="002C2177">
      <w:pPr>
        <w:pStyle w:val="Heading2"/>
        <w:rPr>
          <w:rFonts w:ascii="Times New Roman" w:hAnsi="Times New Roman" w:cs="Times New Roman"/>
        </w:rPr>
      </w:pPr>
      <w:r>
        <w:rPr>
          <w:rFonts w:ascii="Times New Roman" w:hAnsi="Times New Roman" w:cs="Times New Roman"/>
        </w:rPr>
        <w:t>Data Acquisition and Analysis</w:t>
      </w:r>
    </w:p>
    <w:p w14:paraId="5E9DDD2B"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EEG data were continuously recorded through a 64 channel in the BioSemi convention at 1024 Hz. We also used 6 external channels for EOG, ECG and reference electrodes for artifact correction. All channels were pre-processed with 40hz low-pass and 0.1 Hz high pass filters. We first visually inspected the raw EEG data and manually removed bad channels using an interactive channel‑inspection interface. For each dataset, we computed the power spectral density (PSD) to verify that the spectrum showed a physiologically plausible 1/f‑like decrease in power with increasing frequency rather than flat broadband noise.  In these PSD plots we confirmed the presence of mains‑related peaks at 50 Hz and their 100 Hz harmonics, and we noted any channels with unusual spectral features (e.g. flat spectra, abnormally high broadband power, or very sharp narrowband peaks) as candidates for exclusion or re‑recording due to potential bad channels, loose electrodes, or other hardware problems. </w:t>
      </w:r>
    </w:p>
    <w:p w14:paraId="693A920F"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To attenuate mains interference, we then applied a notch filter centered at 50 Hz and its 100 Hz harmonic, which selectively removed line‑noise components at these frequencies from the continuous EEG while minimizing distortion of neighboring frequencies. </w:t>
      </w:r>
    </w:p>
    <w:p w14:paraId="070248AE" w14:textId="77777777" w:rsidR="0074588D" w:rsidRPr="0064017D" w:rsidRDefault="00151577" w:rsidP="0074588D">
      <w:pPr>
        <w:ind w:firstLine="720"/>
        <w:rPr>
          <w:rFonts w:ascii="Times New Roman" w:hAnsi="Times New Roman" w:cs="Times New Roman"/>
        </w:rPr>
      </w:pPr>
      <w:r>
        <w:rPr>
          <w:rFonts w:ascii="Times New Roman" w:hAnsi="Times New Roman" w:cs="Times New Roman"/>
          <w:lang w:val="en-US"/>
        </w:rPr>
        <w:lastRenderedPageBreak/>
        <w:t>Channels were marked as “flat” and excluded from further processing when their standard deviation was less than 1 μV, as such near‑zero variance typically reflects disconnected, shorted, or bridged electrodes rather than genuine brain activity and can introduce numerical instabilities or atypical components in independent component analysis (ICA).</w:t>
      </w:r>
      <w:r>
        <w:rPr>
          <w:rFonts w:ascii="Times New Roman" w:hAnsi="Times New Roman" w:cs="Times New Roman"/>
        </w:rPr>
        <w:t xml:space="preserve"> This was used to identify and remove components reflecting ocular artefacts (eye blinks and saccades) and cardiac artefacts. Components were selected for rejection </w:t>
      </w:r>
      <w:proofErr w:type="gramStart"/>
      <w:r>
        <w:rPr>
          <w:rFonts w:ascii="Times New Roman" w:hAnsi="Times New Roman" w:cs="Times New Roman"/>
        </w:rPr>
        <w:t>on the basis of</w:t>
      </w:r>
      <w:proofErr w:type="gramEnd"/>
      <w:r>
        <w:rPr>
          <w:rFonts w:ascii="Times New Roman" w:hAnsi="Times New Roman" w:cs="Times New Roman"/>
        </w:rPr>
        <w:t xml:space="preserve"> their topography, time course, and spectral profile, following standard MNE-Python procedures (Gramfort et al., 2013). </w:t>
      </w:r>
    </w:p>
    <w:p w14:paraId="7DAAFF05" w14:textId="77777777" w:rsidR="002C2177" w:rsidRPr="0064017D" w:rsidRDefault="00151577" w:rsidP="002C2177">
      <w:pPr>
        <w:ind w:firstLine="720"/>
        <w:rPr>
          <w:rFonts w:ascii="Times New Roman" w:hAnsi="Times New Roman" w:cs="Times New Roman"/>
          <w:lang w:val="en-US"/>
        </w:rPr>
      </w:pPr>
      <w:r>
        <w:rPr>
          <w:rFonts w:ascii="Times New Roman" w:hAnsi="Times New Roman" w:cs="Times New Roman"/>
          <w:lang w:val="en-US"/>
        </w:rPr>
        <w:t xml:space="preserve">Channels were marked as “noisy” when their standard deviation exceeded five times the median across all channels, because this abnormally high variance usually indicates movement, poor contact, or persistent non‑neural artifacts.  Consistent with the assumption that ICA operates on a mixture of reasonably comparable sources, these flat and hyper‑noisy channels were excluded from ICA fitting so that the decomposition focused on common artifacts and brain sources present in the remaining high‑quality channels. Following ICA and subsequent artifact‑rejection procedures, we reconstructed a complete montage by interpolating the previously rejected channels from surrounding electrodes. For subsequent analyses, we implemented two parallel band‑pass–filtering pipelines on the continuous data. </w:t>
      </w:r>
    </w:p>
    <w:p w14:paraId="24064B6B" w14:textId="77777777" w:rsidR="002C2177" w:rsidRPr="0064017D" w:rsidRDefault="002C2177" w:rsidP="002C2177">
      <w:pPr>
        <w:ind w:firstLine="720"/>
        <w:rPr>
          <w:rFonts w:ascii="Times New Roman" w:eastAsia="Times New Roman" w:hAnsi="Times New Roman" w:cs="Times New Roman"/>
          <w:kern w:val="0"/>
          <w:lang w:eastAsia="en-GB"/>
          <w14:ligatures w14:val="none"/>
        </w:rPr>
      </w:pPr>
      <w:r>
        <w:rPr>
          <w:rFonts w:ascii="Times New Roman" w:hAnsi="Times New Roman" w:cs="Times New Roman"/>
          <w:lang w:val="en-US"/>
        </w:rPr>
        <w:t xml:space="preserve">We rejected epochs with residual large-amplitude artifacts. The peak-to-peak threshold was 150 </w:t>
      </w:r>
      <w:r>
        <w:rPr>
          <w:rFonts w:ascii="Times New Roman" w:eastAsia="Times New Roman" w:hAnsi="Times New Roman" w:cs="Times New Roman"/>
          <w:kern w:val="0"/>
          <w:lang w:eastAsia="en-GB"/>
          <w14:ligatures w14:val="none"/>
        </w:rPr>
        <w:t xml:space="preserve">µV and a flat threshold of 1 µV. We extracted mean power from the </w:t>
      </w:r>
      <w:proofErr w:type="gramStart"/>
      <w:r>
        <w:rPr>
          <w:rFonts w:ascii="Times New Roman" w:eastAsia="Times New Roman" w:hAnsi="Times New Roman" w:cs="Times New Roman"/>
          <w:kern w:val="0"/>
          <w:lang w:eastAsia="en-GB"/>
          <w14:ligatures w14:val="none"/>
        </w:rPr>
        <w:t>time period</w:t>
      </w:r>
      <w:proofErr w:type="gramEnd"/>
      <w:r>
        <w:rPr>
          <w:rFonts w:ascii="Times New Roman" w:eastAsia="Times New Roman" w:hAnsi="Times New Roman" w:cs="Times New Roman"/>
          <w:kern w:val="0"/>
          <w:lang w:eastAsia="en-GB"/>
          <w14:ligatures w14:val="none"/>
        </w:rPr>
        <w:t xml:space="preserve"> of action selection to outcome.</w:t>
      </w:r>
    </w:p>
    <w:p w14:paraId="2088113A" w14:textId="77777777" w:rsidR="008F4A1F" w:rsidRPr="0064017D" w:rsidRDefault="008F4A1F" w:rsidP="008F4A1F">
      <w:pPr>
        <w:pStyle w:val="Heading2"/>
        <w:rPr>
          <w:rFonts w:ascii="Times New Roman" w:hAnsi="Times New Roman" w:cs="Times New Roman"/>
        </w:rPr>
      </w:pPr>
      <w:r>
        <w:rPr>
          <w:rFonts w:ascii="Times New Roman" w:hAnsi="Times New Roman" w:cs="Times New Roman"/>
        </w:rPr>
        <w:t>Statistical Analysis Methods</w:t>
      </w:r>
    </w:p>
    <w:p w14:paraId="1F09B13E" w14:textId="77777777" w:rsidR="00965D98" w:rsidRPr="0064017D" w:rsidRDefault="008F4A1F" w:rsidP="00965D98">
      <w:pPr>
        <w:ind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All EEG preprocessing and time-frequency analyses were carried out in Python using the MNE-Python toolbox (Gramfort et al., 2013). The main analysis approach was to correlate trial-wise oscillatory power with model-derived variables within each participant, then average the resulting correlation coefficients across the group. </w:t>
      </w:r>
      <w:r>
        <w:rPr>
          <w:rFonts w:ascii="Times New Roman" w:hAnsi="Times New Roman" w:cs="Times New Roman"/>
        </w:rPr>
        <w:t xml:space="preserve">Group-level inferential </w:t>
      </w:r>
      <w:r>
        <w:rPr>
          <w:rFonts w:ascii="Times New Roman" w:hAnsi="Times New Roman" w:cs="Times New Roman"/>
        </w:rPr>
        <w:lastRenderedPageBreak/>
        <w:t>statistics are not reported, as N = 5 is insufficient to draw population-level conclusions. Within-participant correlations are nonetheless tested for significance, as these are computed across hundreds of trials per participant and thus carry sufficient degrees of freedom for meaningful hypothesis testing at the individual level. Results should be interpreted as pilot effect size estimates rather than confirmatory findings.</w:t>
      </w:r>
    </w:p>
    <w:p w14:paraId="51E162D3" w14:textId="77777777" w:rsidR="008F4A1F" w:rsidRPr="0064017D" w:rsidRDefault="008F4A1F" w:rsidP="002C2177">
      <w:pPr>
        <w:rPr>
          <w:rFonts w:ascii="Times New Roman" w:hAnsi="Times New Roman" w:cs="Times New Roman"/>
          <w:lang w:val="en-US"/>
        </w:rPr>
      </w:pPr>
    </w:p>
    <w:p w14:paraId="4E99278C" w14:textId="77777777" w:rsidR="002C2177" w:rsidRPr="0064017D" w:rsidRDefault="002C2177" w:rsidP="002C2177">
      <w:pPr>
        <w:pStyle w:val="Heading3"/>
        <w:rPr>
          <w:rFonts w:ascii="Times New Roman" w:hAnsi="Times New Roman" w:cs="Times New Roman"/>
        </w:rPr>
      </w:pPr>
      <w:r>
        <w:rPr>
          <w:rFonts w:ascii="Times New Roman" w:hAnsi="Times New Roman" w:cs="Times New Roman"/>
        </w:rPr>
        <w:t>Epoching and Time Windows</w:t>
      </w:r>
    </w:p>
    <w:p w14:paraId="648EF91A"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Epochs were time-locked to outcome onset and extracted from −0.7 to +0.8 s. The post-outcome window captures canonical feedback ERP components (feedback-related negativity, ~250 ms; P300, ~350 ms). The pre-outcome window of 700 ms was chosen to encompass at least five complete cycles of the alpha band lower </w:t>
      </w:r>
      <w:proofErr w:type="gramStart"/>
      <w:r>
        <w:rPr>
          <w:rFonts w:ascii="Times New Roman" w:hAnsi="Times New Roman" w:cs="Times New Roman"/>
          <w:lang w:val="en-US"/>
        </w:rPr>
        <w:t>bound ,</w:t>
      </w:r>
      <w:proofErr w:type="gramEnd"/>
      <w:r>
        <w:rPr>
          <w:rFonts w:ascii="Times New Roman" w:hAnsi="Times New Roman" w:cs="Times New Roman"/>
          <w:lang w:val="en-US"/>
        </w:rPr>
        <w:t xml:space="preserve"> the minimum required for reliable instantaneous amplitude estimation via the Hilbert transform (Cohen, 2014).</w:t>
      </w:r>
    </w:p>
    <w:p w14:paraId="5BF75314"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Anticipatory oscillatory power was quantified in the 500 ms immediately preceding outcome delivery. This window falls within the action-to-outcome interval (~1250 ms in the present task), capturing the period during which participants awaited feedback following their response. A 50 ms edge buffer was applied to each side of the filtered signal to mitigate filter onset/offset ringing (Widmann et al., 2015), yielding an effective analysis window of −0.45 to −0.05 s.</w:t>
      </w:r>
    </w:p>
    <w:p w14:paraId="3A3B110A" w14:textId="77777777" w:rsidR="002C2177" w:rsidRPr="0064017D" w:rsidRDefault="002C2177" w:rsidP="002C2177">
      <w:pPr>
        <w:pStyle w:val="Heading3"/>
        <w:rPr>
          <w:rFonts w:ascii="Times New Roman" w:hAnsi="Times New Roman" w:cs="Times New Roman"/>
        </w:rPr>
      </w:pPr>
      <w:r>
        <w:rPr>
          <w:rFonts w:ascii="Times New Roman" w:hAnsi="Times New Roman" w:cs="Times New Roman"/>
        </w:rPr>
        <w:t>EEG Post-Processing</w:t>
      </w:r>
    </w:p>
    <w:p w14:paraId="07098042"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We extracted band-limited alpha and beta power by band-pass filtering the EEG in the alpha (8–13 Hz) and beta (13–30 Hz) ranges and applying a Hilbert transform to obtain the instantaneous amplitude envelope at each time point, following standard MNE procedures. For each trial, we squared the envelope and averaged over a pre-outcome anticipatory </w:t>
      </w:r>
      <w:r>
        <w:rPr>
          <w:rFonts w:ascii="Times New Roman" w:hAnsi="Times New Roman" w:cs="Times New Roman"/>
          <w:lang w:val="en-US"/>
        </w:rPr>
        <w:lastRenderedPageBreak/>
        <w:t>window (−0.5 to 0 s relative to outcome onset; edges trimmed by 50 ms on each side to reduce filter ringing) across channels within a posterior alpha ROI (PO3, PO7, PO8, Oz, O1, O2) and a sensorimotor beta ROI (C3, Cz, C4, CP3, CP4, FC3, FC4), yielding a single power scalar per trial for each band. These trial-level band-limited power estimates were then correlated, on a trial-by-trial basis within each participant, with the model-derived expected values V(t) from the Rescorla–Wagner model, to assess how strongly anticipatory neural activity reflected learned expectations and unsigned surprise.</w:t>
      </w:r>
    </w:p>
    <w:p w14:paraId="128A0C5E" w14:textId="77777777" w:rsidR="002C2177" w:rsidRPr="0064017D" w:rsidRDefault="002C2177" w:rsidP="002C2177">
      <w:pPr>
        <w:pStyle w:val="Heading3"/>
        <w:rPr>
          <w:rFonts w:ascii="Times New Roman" w:hAnsi="Times New Roman" w:cs="Times New Roman"/>
        </w:rPr>
      </w:pPr>
      <w:r>
        <w:rPr>
          <w:rFonts w:ascii="Times New Roman" w:hAnsi="Times New Roman" w:cs="Times New Roman"/>
        </w:rPr>
        <w:t>Rescorla–Wagner Model Fitting to Neural Data</w:t>
      </w:r>
    </w:p>
    <w:p w14:paraId="550921F4"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To estimate the learning rate that best captures how alpha and beta (power track reward expectancy, a Rescorla-Wagner (RW) model was fit directly to trial-wise oscillatory power for each frequency band separately. The RW update rule was:</w:t>
      </w:r>
    </w:p>
    <w:p w14:paraId="5A686322" w14:textId="77777777" w:rsidR="002C2177" w:rsidRPr="0064017D" w:rsidRDefault="002C2177" w:rsidP="002C2177">
      <w:pPr>
        <w:rPr>
          <w:rFonts w:ascii="Times New Roman" w:hAnsi="Times New Roman" w:cs="Times New Roman"/>
          <w:lang w:val="en-US"/>
        </w:rPr>
      </w:pPr>
    </w:p>
    <w:p w14:paraId="71AFF2DB"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V(t+1) = V(t) + α · (R(t) − V(t))</w:t>
      </w:r>
    </w:p>
    <w:p w14:paraId="06049DCB" w14:textId="77777777" w:rsidR="002C2177" w:rsidRPr="0064017D" w:rsidRDefault="002C2177" w:rsidP="002C2177">
      <w:pPr>
        <w:rPr>
          <w:rFonts w:ascii="Times New Roman" w:hAnsi="Times New Roman" w:cs="Times New Roman"/>
          <w:lang w:val="en-US"/>
        </w:rPr>
      </w:pPr>
    </w:p>
    <w:p w14:paraId="7A262D50" w14:textId="53E9BCC3" w:rsidR="002C2177" w:rsidRPr="0064017D" w:rsidRDefault="002C2177" w:rsidP="00897234">
      <w:pPr>
        <w:rPr>
          <w:rFonts w:ascii="Times New Roman" w:hAnsi="Times New Roman" w:cs="Times New Roman"/>
          <w:lang w:val="en-US"/>
        </w:rPr>
      </w:pPr>
      <w:r>
        <w:rPr>
          <w:rFonts w:ascii="Times New Roman" w:hAnsi="Times New Roman" w:cs="Times New Roman"/>
          <w:lang w:val="en-US"/>
        </w:rPr>
        <w:t xml:space="preserve">where V(t) is the expected value before trial t, R(t) is the binary outcome, and α is the learning rate. Starting from </w:t>
      </w:r>
      <w:proofErr w:type="gramStart"/>
      <w:r>
        <w:rPr>
          <w:rFonts w:ascii="Times New Roman" w:hAnsi="Times New Roman" w:cs="Times New Roman"/>
          <w:lang w:val="en-US"/>
        </w:rPr>
        <w:t>V(</w:t>
      </w:r>
      <w:proofErr w:type="gramEnd"/>
      <w:r>
        <w:rPr>
          <w:rFonts w:ascii="Times New Roman" w:hAnsi="Times New Roman" w:cs="Times New Roman"/>
          <w:lang w:val="en-US"/>
        </w:rPr>
        <w:t>0) = 0.5, V(t) was simulated across the full trial sequence for each candidate learning rate in a grid spanning α = 0.001 to 0.99 (200 steps). Oscillatory power was extracted as the mean squared Hilbert envelope in the anticipatory window across parieto-occipital channels (and sensorimotor channels log-transformed to reduce positive skew, and z-scored with trials exceeding ±3 SD removed</w:t>
      </w:r>
      <w:r>
        <w:rPr>
          <w:rFonts w:ascii="Times New Roman" w:hAnsi="Times New Roman" w:cs="Times New Roman"/>
        </w:rPr>
        <w:t xml:space="preserve"> (Cohen, 2014)</w:t>
      </w:r>
      <w:r>
        <w:rPr>
          <w:rFonts w:ascii="Times New Roman" w:hAnsi="Times New Roman" w:cs="Times New Roman"/>
          <w:lang w:val="en-US"/>
        </w:rPr>
        <w:t xml:space="preserve">. The learning rate α and bias term ε were treated as free parameters. The optimal α was identified as the value maximising the absolute Pearson correlation between V(t) and log-power across trials </w:t>
      </w:r>
      <w:r>
        <w:rPr>
          <w:rFonts w:ascii="Times New Roman" w:hAnsi="Times New Roman" w:cs="Times New Roman"/>
        </w:rPr>
        <w:t>(Fren T.Y. Smulders et al., 2018)</w:t>
      </w:r>
      <w:r>
        <w:rPr>
          <w:rFonts w:ascii="Times New Roman" w:hAnsi="Times New Roman" w:cs="Times New Roman"/>
          <w:lang w:val="en-US"/>
        </w:rPr>
        <w:t>, with ε solved analytically as the OLS intercept.</w:t>
      </w:r>
    </w:p>
    <w:p w14:paraId="25A55B96" w14:textId="77777777" w:rsidR="00E86A18" w:rsidRPr="0064017D" w:rsidRDefault="00E86A18" w:rsidP="002C2177">
      <w:pPr>
        <w:rPr>
          <w:rFonts w:ascii="Times New Roman" w:hAnsi="Times New Roman" w:cs="Times New Roman"/>
          <w:lang w:val="en-US"/>
        </w:rPr>
      </w:pPr>
    </w:p>
    <w:p w14:paraId="53B75731" w14:textId="77777777" w:rsidR="00E86A18" w:rsidRPr="0064017D" w:rsidRDefault="00E86A18" w:rsidP="002C2177">
      <w:pPr>
        <w:pStyle w:val="Heading3"/>
        <w:rPr>
          <w:rFonts w:ascii="Times New Roman" w:hAnsi="Times New Roman" w:cs="Times New Roman"/>
        </w:rPr>
      </w:pPr>
      <w:r>
        <w:rPr>
          <w:rFonts w:ascii="Times New Roman" w:hAnsi="Times New Roman" w:cs="Times New Roman"/>
        </w:rPr>
        <w:lastRenderedPageBreak/>
        <w:t>Temporal Generalization</w:t>
      </w:r>
    </w:p>
    <w:p w14:paraId="3B98DA81" w14:textId="77777777" w:rsidR="008F4A1F" w:rsidRPr="0064017D" w:rsidRDefault="008F4A1F" w:rsidP="008F4A1F">
      <w:pPr>
        <w:ind w:firstLine="720"/>
        <w:rPr>
          <w:rFonts w:ascii="Times New Roman" w:hAnsi="Times New Roman" w:cs="Times New Roman"/>
          <w:lang w:val="en-US"/>
        </w:rPr>
      </w:pPr>
      <w:r>
        <w:rPr>
          <w:rFonts w:ascii="Times New Roman" w:hAnsi="Times New Roman" w:cs="Times New Roman"/>
          <w:lang w:val="en-US"/>
        </w:rPr>
        <w:t>To examine whether the spatial pattern of anticipatory EEG activity encoding the Rescorla–Wagner expected value V(t) was stable or evolved across the pre-outcome window, we applied a temporal generalisation approach. Raw EEG voltage was extracted across all 64 scalp channels in a pre-outcome anticipatory window (−500 to 0 ms), yielding a trial × channel × time feature matrix. The target variable was the RW model's learned value estimate V(t) on each trial.</w:t>
      </w:r>
    </w:p>
    <w:p w14:paraId="72034952" w14:textId="77777777" w:rsidR="008F4A1F" w:rsidRPr="0064017D" w:rsidRDefault="008F4A1F" w:rsidP="008F4A1F">
      <w:pPr>
        <w:ind w:firstLine="720"/>
        <w:rPr>
          <w:rFonts w:ascii="Times New Roman" w:hAnsi="Times New Roman" w:cs="Times New Roman"/>
          <w:lang w:val="en-US"/>
        </w:rPr>
      </w:pPr>
      <w:r>
        <w:rPr>
          <w:rFonts w:ascii="Times New Roman" w:hAnsi="Times New Roman" w:cs="Times New Roman"/>
          <w:lang w:val="en-US"/>
        </w:rPr>
        <w:t>At each training timepoint, a linear Support Vector Regression (SVR; C = 1) with z-score normalisation across channels was fitted to predict V(t) from the EEG spatial pattern. The trained regressor was then tested at every other timepoint in the window, producing a time × time Temporal Generalisation Matrix (TGM) of decoding performance, quantified as R². Model performance was estimated using 5-fold cross-validation, and R² values were averaged across folds. Chance-level performance corresponds to R² = 0 (equivalent to predicting the mean V(t)).</w:t>
      </w:r>
    </w:p>
    <w:p w14:paraId="0320D36B" w14:textId="77777777" w:rsidR="002C2177" w:rsidRPr="0064017D" w:rsidRDefault="008F4A1F" w:rsidP="008F4A1F">
      <w:pPr>
        <w:ind w:firstLine="720"/>
        <w:rPr>
          <w:rFonts w:ascii="Times New Roman" w:hAnsi="Times New Roman" w:cs="Times New Roman"/>
          <w:lang w:val="en-US"/>
        </w:rPr>
      </w:pPr>
      <w:r>
        <w:rPr>
          <w:rFonts w:ascii="Times New Roman" w:hAnsi="Times New Roman" w:cs="Times New Roman"/>
          <w:lang w:val="en-US"/>
        </w:rPr>
        <w:t>This approach allows us to distinguish between two patterns of anticipatory neural coding: a rapidly evolving representation, which would produce above-chance decoding only near the diagonal of the TGM, and a temporally stable representation, which would produce sustained off-diagonal decoding, indicating that the same spatial pattern encoding expected value persists across the anticipatory window.</w:t>
      </w:r>
    </w:p>
    <w:p w14:paraId="1D5B5051" w14:textId="77777777" w:rsidR="00BF066B" w:rsidRPr="0064017D" w:rsidRDefault="00BF066B" w:rsidP="00BF066B">
      <w:pPr>
        <w:pStyle w:val="Heading1"/>
        <w:rPr>
          <w:rFonts w:ascii="Times New Roman" w:hAnsi="Times New Roman" w:cs="Times New Roman"/>
        </w:rPr>
      </w:pPr>
      <w:r>
        <w:rPr>
          <w:rFonts w:ascii="Times New Roman" w:hAnsi="Times New Roman" w:cs="Times New Roman"/>
        </w:rPr>
        <w:t>Results</w:t>
      </w:r>
    </w:p>
    <w:p w14:paraId="5324FFDB" w14:textId="77777777" w:rsidR="005D2B59" w:rsidRPr="0064017D" w:rsidRDefault="00000000">
      <w:pPr>
        <w:ind w:firstLine="720"/>
        <w:rPr>
          <w:rFonts w:ascii="Times New Roman" w:hAnsi="Times New Roman" w:cs="Times New Roman"/>
        </w:rPr>
      </w:pPr>
      <w:r>
        <w:rPr>
          <w:rFonts w:ascii="Times New Roman" w:hAnsi="Times New Roman" w:cs="Times New Roman"/>
        </w:rPr>
        <w:t xml:space="preserve">Prior to examining correlations with V(t), trial-level log-power was inspected for each participant. Alpha power at the parieto-occipital ROI clustered around a grand mean of approximately −25 ln V² across participants, with comparable within-participant trial variability (Figure 3A). Beta power at the sensorimotor ROI was distributed around </w:t>
      </w:r>
      <w:r>
        <w:rPr>
          <w:rFonts w:ascii="Times New Roman" w:hAnsi="Times New Roman" w:cs="Times New Roman"/>
        </w:rPr>
        <w:lastRenderedPageBreak/>
        <w:t>approximately −26 ln V² (Figure 3B), approximately 1 ln V² lower than alpha, consistent with the different spatial origins of the two signals.</w:t>
      </w:r>
    </w:p>
    <w:p w14:paraId="4D784987" w14:textId="77777777" w:rsidR="005D2B59" w:rsidRPr="0064017D" w:rsidRDefault="00000000">
      <w:pPr>
        <w:rPr>
          <w:rFonts w:ascii="Times New Roman" w:hAnsi="Times New Roman" w:cs="Times New Roman"/>
        </w:rPr>
      </w:pPr>
      <w:r>
        <w:rPr>
          <w:rFonts w:ascii="Times New Roman" w:hAnsi="Times New Roman" w:cs="Times New Roman"/>
          <w:b/>
          <w:bCs/>
        </w:rPr>
        <w:t>Figure 3.</w:t>
      </w:r>
    </w:p>
    <w:p w14:paraId="1AA99923" w14:textId="77777777" w:rsidR="005D2B59" w:rsidRPr="0064017D" w:rsidRDefault="00000000">
      <w:pPr>
        <w:ind w:firstLine="720"/>
        <w:rPr>
          <w:rFonts w:ascii="Times New Roman" w:hAnsi="Times New Roman" w:cs="Times New Roman"/>
        </w:rPr>
      </w:pPr>
      <w:r>
        <w:rPr>
          <w:rFonts w:ascii="Times New Roman" w:hAnsi="Times New Roman" w:cs="Times New Roman"/>
          <w:i/>
          <w:iCs/>
        </w:rPr>
        <w:t>Trial-Level Log-Power Distributions for Alpha and Beta Bands by Participant.</w:t>
      </w:r>
    </w:p>
    <w:p w14:paraId="77648610" w14:textId="77777777" w:rsidR="005D2B59" w:rsidRPr="0064017D" w:rsidRDefault="00C60104">
      <w:pP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INCLUDEPICTURE "https://claude.ai/api/2dafbcab-042c-4ee4-929d-93b696cd7b89/files/019d9a3e-5c89-776f-b366-bbef351ac138/preview" \* MERGEFORMATINET </w:instrText>
      </w:r>
      <w:r>
        <w:rPr>
          <w:rFonts w:ascii="Times New Roman" w:hAnsi="Times New Roman" w:cs="Times New Roman"/>
        </w:rPr>
        <w:fldChar w:fldCharType="separate"/>
      </w:r>
      <w:r>
        <w:rPr>
          <w:rFonts w:ascii="Times New Roman" w:hAnsi="Times New Roman" w:cs="Times New Roman"/>
          <w:noProof/>
        </w:rPr>
        <mc:AlternateContent>
          <mc:Choice Requires="wps">
            <w:drawing>
              <wp:inline distT="0" distB="0" distL="0" distR="0" wp14:anchorId="5C77C4AC" wp14:editId="0D761008">
                <wp:extent cx="304800" cy="304800"/>
                <wp:effectExtent l="0" t="0" r="0" b="0"/>
                <wp:docPr id="176882125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3C11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D9 WirP2gAAAAgBAAAPAAAAZHJzL2Rvd25yZXYueG1sTE/RSsNAEHwX/IdjBV/EXhSRkuZSpCIWEYqp 9nmbW5Ngbi/NXZP49676oC+zDMPMzmTLybVqoD40ng1czRJQxKW3DVcGXrcPl3NQISJbbD2TgU8K sMxPTzJMrR/5hYYiVkpCOKRooI6xS7UOZU0Ow8x3xKK9+95hFNpX2vY4Srhr9XWS3GqHDcuHGjta 1VR+FEdnYCw3w277/Kg3F7u158P6sCrenow5P5vuFwJ3C1CRpvjngO8N0h9yKbb3R7ZBtQZkTfxB 0W7mwva/V+eZ/j8g/wIAAP//AwBQSwECLQAUAAYACAAAACEAtoM4kv4AAADhAQAAEwAAAAAAAAAA AAAAAAAAAAAAW0NvbnRlbnRfVHlwZXNdLnhtbFBLAQItABQABgAIAAAAIQA4/SH/1gAAAJQBAAAL AAAAAAAAAAAAAAAAAC8BAABfcmVscy8ucmVsc1BLAQItABQABgAIAAAAIQDuEevW0gEAAJ4DAAAO AAAAAAAAAAAAAAAAAC4CAABkcnMvZTJvRG9jLnhtbFBLAQItABQABgAIAAAAIQD9WirP2gAAAAgB AAAPAAAAAAAAAAAAAAAAACwEAABkcnMvZG93bnJldi54bWxQSwUGAAAAAAQABADzAAAAMwUAAAAA " filled="f" stroked="f">
                <o:lock v:ext="edit" aspectratio="t"/>
                <w10:anchorlock/>
              </v:rect>
            </w:pict>
          </mc:Fallback>
        </mc:AlternateContent>
      </w:r>
      <w:r>
        <w:rPr>
          <w:rFonts w:ascii="Times New Roman" w:hAnsi="Times New Roman" w:cs="Times New Roman"/>
        </w:rPr>
        <w:fldChar w:fldCharType="end"/>
      </w:r>
      <w:r>
        <w:rPr>
          <w:rFonts w:ascii="Times New Roman" w:hAnsi="Times New Roman" w:cs="Times New Roman"/>
          <w:noProof/>
        </w:rPr>
        <w:t xml:space="preserve"> </w:t>
      </w:r>
      <w:r>
        <w:rPr>
          <w:rFonts w:ascii="Times New Roman" w:hAnsi="Times New Roman" w:cs="Times New Roman"/>
          <w:noProof/>
        </w:rPr>
        <w:drawing>
          <wp:inline distT="0" distB="0" distL="0" distR="0" wp14:anchorId="75DA99F3" wp14:editId="3615D6F7">
            <wp:extent cx="5731510" cy="2386330"/>
            <wp:effectExtent l="0" t="0" r="0" b="1270"/>
            <wp:docPr id="10933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20336" name=""/>
                    <pic:cNvPicPr/>
                  </pic:nvPicPr>
                  <pic:blipFill>
                    <a:blip r:embed="rId22"/>
                    <a:stretch>
                      <a:fillRect/>
                    </a:stretch>
                  </pic:blipFill>
                  <pic:spPr>
                    <a:xfrm>
                      <a:off x="0" y="0"/>
                      <a:ext cx="5731510" cy="2386330"/>
                    </a:xfrm>
                    <a:prstGeom prst="rect">
                      <a:avLst/>
                    </a:prstGeom>
                  </pic:spPr>
                </pic:pic>
              </a:graphicData>
            </a:graphic>
          </wp:inline>
        </w:drawing>
      </w:r>
    </w:p>
    <w:p w14:paraId="66781669" w14:textId="77777777" w:rsidR="005D2B59"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Violin plots show the distribution of trial-level log-power per participant. Dashed lines indicate grand mean across participants. Dots and error bars show participant means ± 1 SD. (A) Alpha power (8–13 Hz) at the parieto-occipital ROI. (B) Beta power (13–30 Hz) at the sensorimotor ROI.</w:t>
      </w:r>
    </w:p>
    <w:p w14:paraId="2800AB10" w14:textId="77777777" w:rsidR="00C60104" w:rsidRPr="0064017D" w:rsidRDefault="00644983" w:rsidP="00C60104">
      <w:pPr>
        <w:pStyle w:val="Heading2"/>
        <w:rPr>
          <w:rFonts w:ascii="Times New Roman" w:hAnsi="Times New Roman" w:cs="Times New Roman"/>
        </w:rPr>
      </w:pPr>
      <w:r>
        <w:rPr>
          <w:rFonts w:ascii="Times New Roman" w:hAnsi="Times New Roman" w:cs="Times New Roman"/>
        </w:rPr>
        <w:t>Anticipatory Power Correlations at Fixed Learning Rate</w:t>
      </w:r>
    </w:p>
    <w:p w14:paraId="3CAF5463" w14:textId="77777777" w:rsidR="00E51E5B" w:rsidRPr="0064017D" w:rsidRDefault="00000000">
      <w:pPr>
        <w:ind w:firstLine="720"/>
        <w:rPr>
          <w:rFonts w:ascii="Times New Roman" w:hAnsi="Times New Roman" w:cs="Times New Roman"/>
        </w:rPr>
      </w:pPr>
      <w:r>
        <w:rPr>
          <w:rFonts w:ascii="Times New Roman" w:hAnsi="Times New Roman" w:cs="Times New Roman"/>
        </w:rPr>
        <w:t>The first analysis tested whether anticipatory alpha and beta power tracked learned expectancy at a fixed learning rate of α = 0.3. It did not. Neither alpha power (sub-01: r = .045; sub-02: r = .041; sub-03: r = .057; sub-04: r = −.034; sub-05: r = −.044) nor beta power (sub-01: r = −.025; sub-02: r = .014; sub-03: r = .052; sub-04: r = .003; sub-05: r &lt; .001) showed a meaningful association with V(t) in any participant (all p &gt; .10). Effect sizes were uniformly close to zero, the direction of the relationship was inconsistent across participants, and there was no evidence of a group-level effect.</w:t>
      </w:r>
    </w:p>
    <w:p w14:paraId="2D45300F" w14:textId="77777777" w:rsidR="00E51E5B" w:rsidRPr="0064017D" w:rsidRDefault="00000000">
      <w:pPr>
        <w:rPr>
          <w:rFonts w:ascii="Times New Roman" w:hAnsi="Times New Roman" w:cs="Times New Roman"/>
        </w:rPr>
      </w:pPr>
      <w:r>
        <w:rPr>
          <w:rFonts w:ascii="Times New Roman" w:hAnsi="Times New Roman" w:cs="Times New Roman"/>
          <w:b/>
          <w:bCs/>
        </w:rPr>
        <w:lastRenderedPageBreak/>
        <w:t>Figure 4.</w:t>
      </w:r>
    </w:p>
    <w:p w14:paraId="52517DF9" w14:textId="77777777" w:rsidR="00E51E5B" w:rsidRPr="0064017D" w:rsidRDefault="00000000">
      <w:pPr>
        <w:ind w:firstLine="720"/>
        <w:rPr>
          <w:rFonts w:ascii="Times New Roman" w:hAnsi="Times New Roman" w:cs="Times New Roman"/>
        </w:rPr>
      </w:pPr>
      <w:r>
        <w:rPr>
          <w:rFonts w:ascii="Times New Roman" w:hAnsi="Times New Roman" w:cs="Times New Roman"/>
          <w:i/>
          <w:iCs/>
        </w:rPr>
        <w:t>Alpha and Beta Power Correlations With RW Expected Value V(t) at Fixed Learning Rate.</w:t>
      </w:r>
    </w:p>
    <w:p w14:paraId="1B5AA116" w14:textId="77777777" w:rsidR="00E51E5B" w:rsidRPr="0064017D"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5C4DB18C" wp14:editId="2BA1370E">
            <wp:extent cx="5638800" cy="2476500"/>
            <wp:effectExtent l="0" t="0" r="0" b="0"/>
            <wp:docPr id="3546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4723" name=""/>
                    <pic:cNvPicPr/>
                  </pic:nvPicPr>
                  <pic:blipFill>
                    <a:blip r:embed="rId23"/>
                    <a:stretch>
                      <a:fillRect/>
                    </a:stretch>
                  </pic:blipFill>
                  <pic:spPr>
                    <a:xfrm>
                      <a:off x="0" y="0"/>
                      <a:ext cx="5638800" cy="2476500"/>
                    </a:xfrm>
                    <a:prstGeom prst="rect">
                      <a:avLst/>
                    </a:prstGeom>
                  </pic:spPr>
                </pic:pic>
              </a:graphicData>
            </a:graphic>
          </wp:inline>
        </w:drawing>
      </w:r>
    </w:p>
    <w:p w14:paraId="7EE2847B"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Alpha (α) and beta (β) Pearson r with RW expected value V(t) at fixed learning rate α = 0.3, per participant. Asterisks (*) indicate p &lt; .05.</w:t>
      </w:r>
    </w:p>
    <w:p w14:paraId="53016B6D" w14:textId="77777777" w:rsidR="00BF066B" w:rsidRPr="0064017D" w:rsidRDefault="00BF066B" w:rsidP="00BF066B">
      <w:pPr>
        <w:pStyle w:val="Heading2"/>
        <w:rPr>
          <w:rFonts w:ascii="Times New Roman" w:hAnsi="Times New Roman" w:cs="Times New Roman"/>
        </w:rPr>
      </w:pPr>
      <w:r>
        <w:rPr>
          <w:rFonts w:ascii="Times New Roman" w:hAnsi="Times New Roman" w:cs="Times New Roman"/>
        </w:rPr>
        <w:t>RW Learning Rate Grid Search</w:t>
      </w:r>
    </w:p>
    <w:p w14:paraId="78832177" w14:textId="2848E1F4" w:rsidR="00BF066B" w:rsidRPr="0064017D" w:rsidRDefault="000C18E3" w:rsidP="00BF066B">
      <w:pPr>
        <w:ind w:firstLine="720"/>
        <w:rPr>
          <w:rFonts w:ascii="Times New Roman" w:hAnsi="Times New Roman" w:cs="Times New Roman"/>
        </w:rPr>
      </w:pPr>
      <w:r>
        <w:rPr>
          <w:rFonts w:ascii="Times New Roman" w:hAnsi="Times New Roman" w:cs="Times New Roman"/>
        </w:rPr>
        <w:t>A</w:t>
      </w:r>
      <w:r w:rsidR="00BF066B">
        <w:rPr>
          <w:rFonts w:ascii="Times New Roman" w:hAnsi="Times New Roman" w:cs="Times New Roman"/>
        </w:rPr>
        <w:t xml:space="preserve"> grid search was then run across α = 0.01–0.99 to find, for each participant, the learning rate that produced the strongest correlation between pre-outcome power and V(t). The rationale was straightforward: if the fixed rate of 0.3 was simply a poor fit for some participants, optimising it individually might reveal an underlying relationship that the fixed-rate analysis missed.</w:t>
      </w:r>
    </w:p>
    <w:p w14:paraId="59A7CF82" w14:textId="77777777" w:rsidR="00BF066B" w:rsidRPr="0064017D" w:rsidRDefault="00BF066B" w:rsidP="00BF066B">
      <w:pPr>
        <w:ind w:firstLine="720"/>
        <w:rPr>
          <w:rFonts w:ascii="Times New Roman" w:hAnsi="Times New Roman" w:cs="Times New Roman"/>
        </w:rPr>
      </w:pPr>
      <w:r>
        <w:rPr>
          <w:rFonts w:ascii="Times New Roman" w:hAnsi="Times New Roman" w:cs="Times New Roman"/>
        </w:rPr>
        <w:t xml:space="preserve">For alpha power, significant peak correlations emerged in four of five participants. Three (sub-03: α = 0.01, r = −.095, p = .011; sub-04: α = 0.02, r = −.078, p = .037; sub-05: α = 0.03, r = −.084, p = .025) showed significant negative correlations at slow learning rates, meaning alpha power tended to be lower on trials where accumulated expectancy was high. Sub-02 went in the opposite direction, showing a significant positive correlation at a faster </w:t>
      </w:r>
      <w:r>
        <w:rPr>
          <w:rFonts w:ascii="Times New Roman" w:hAnsi="Times New Roman" w:cs="Times New Roman"/>
        </w:rPr>
        <w:lastRenderedPageBreak/>
        <w:t>learning rate (α = 0.55, r = .088, p = .019). Sub-01 did not reach significance at any tested learning rate (peak r = −.070, p = .062).</w:t>
      </w:r>
    </w:p>
    <w:p w14:paraId="15D0A30B" w14:textId="77777777" w:rsidR="00BF066B" w:rsidRPr="0064017D" w:rsidRDefault="00BF066B" w:rsidP="00B646E4">
      <w:pPr>
        <w:ind w:firstLine="720"/>
        <w:rPr>
          <w:rFonts w:ascii="Times New Roman" w:hAnsi="Times New Roman" w:cs="Times New Roman"/>
        </w:rPr>
      </w:pPr>
      <w:r>
        <w:rPr>
          <w:rFonts w:ascii="Times New Roman" w:hAnsi="Times New Roman" w:cs="Times New Roman"/>
        </w:rPr>
        <w:t>For beta power, significant peak correlations were found in three of five participants. Sub-03 showed the strongest effect (α = 0.04, r = −.127, p &lt; .001), and sub-02 also showed a significant negative relationship at a slow learning rate (α = 0.01, r = −.099, p = .008). Sub-05 again diverged, showing a significant positive correlation at the fastest learning rate tested (α = 0.99, r = .125, p = .001). Sub-01 and sub-04 did not reach significance (p &gt; .08).</w:t>
      </w:r>
    </w:p>
    <w:p w14:paraId="000B974B" w14:textId="77777777" w:rsidR="00E51E5B" w:rsidRPr="0064017D" w:rsidRDefault="00000000">
      <w:pPr>
        <w:rPr>
          <w:rFonts w:ascii="Times New Roman" w:hAnsi="Times New Roman" w:cs="Times New Roman"/>
        </w:rPr>
      </w:pPr>
      <w:r>
        <w:rPr>
          <w:rFonts w:ascii="Times New Roman" w:hAnsi="Times New Roman" w:cs="Times New Roman"/>
          <w:b/>
          <w:bCs/>
        </w:rPr>
        <w:t>Figure 5.</w:t>
      </w:r>
    </w:p>
    <w:p w14:paraId="57B7D7DC" w14:textId="77777777" w:rsidR="00E51E5B" w:rsidRPr="0064017D" w:rsidRDefault="00000000">
      <w:pPr>
        <w:rPr>
          <w:rFonts w:ascii="Times New Roman" w:hAnsi="Times New Roman" w:cs="Times New Roman"/>
        </w:rPr>
      </w:pPr>
      <w:r>
        <w:rPr>
          <w:rFonts w:ascii="Times New Roman" w:hAnsi="Times New Roman" w:cs="Times New Roman"/>
          <w:i/>
          <w:iCs/>
        </w:rPr>
        <w:t>Best-Fit RW Learning Rates and Peak Correlations by Participant.</w:t>
      </w:r>
    </w:p>
    <w:p w14:paraId="42E0F4EE" w14:textId="77777777" w:rsidR="00BF066B" w:rsidRPr="0064017D" w:rsidRDefault="00BF066B" w:rsidP="00BF066B">
      <w:pPr>
        <w:rPr>
          <w:rFonts w:ascii="Times New Roman" w:hAnsi="Times New Roman" w:cs="Times New Roman"/>
          <w:b/>
          <w:bCs/>
        </w:rPr>
      </w:pPr>
      <w:r>
        <w:rPr>
          <w:rFonts w:ascii="Times New Roman" w:hAnsi="Times New Roman" w:cs="Times New Roman"/>
          <w:b/>
          <w:bCs/>
          <w:noProof/>
        </w:rPr>
        <w:drawing>
          <wp:inline distT="0" distB="0" distL="0" distR="0" wp14:anchorId="51AC3E10" wp14:editId="57D5BEE8">
            <wp:extent cx="5731510" cy="1881505"/>
            <wp:effectExtent l="0" t="0" r="0" b="0"/>
            <wp:docPr id="110937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77772" name=""/>
                    <pic:cNvPicPr/>
                  </pic:nvPicPr>
                  <pic:blipFill>
                    <a:blip r:embed="rId24"/>
                    <a:stretch>
                      <a:fillRect/>
                    </a:stretch>
                  </pic:blipFill>
                  <pic:spPr>
                    <a:xfrm>
                      <a:off x="0" y="0"/>
                      <a:ext cx="5731510" cy="1881505"/>
                    </a:xfrm>
                    <a:prstGeom prst="rect">
                      <a:avLst/>
                    </a:prstGeom>
                  </pic:spPr>
                </pic:pic>
              </a:graphicData>
            </a:graphic>
          </wp:inline>
        </w:drawing>
      </w:r>
    </w:p>
    <w:p w14:paraId="4B21260D"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Left: best-fit Rescorla-Wagner learning rate (α) for alpha and beta power per participant. Right: peak Pearson r at optimal α. Asterisks (*) indicate p &lt; .05.</w:t>
      </w:r>
    </w:p>
    <w:p w14:paraId="51BDA786" w14:textId="77777777" w:rsidR="00BF066B" w:rsidRPr="0064017D" w:rsidRDefault="00BF066B" w:rsidP="00BF066B">
      <w:pPr>
        <w:rPr>
          <w:rFonts w:ascii="Times New Roman" w:hAnsi="Times New Roman" w:cs="Times New Roman"/>
        </w:rPr>
      </w:pPr>
    </w:p>
    <w:p w14:paraId="73D0A19C" w14:textId="77777777" w:rsidR="00BF066B" w:rsidRPr="0064017D" w:rsidRDefault="00BF066B" w:rsidP="00BF066B">
      <w:pPr>
        <w:rPr>
          <w:rFonts w:ascii="Times New Roman" w:hAnsi="Times New Roman" w:cs="Times New Roman"/>
        </w:rPr>
      </w:pPr>
    </w:p>
    <w:p w14:paraId="25D4C706" w14:textId="77777777" w:rsidR="00BF066B" w:rsidRPr="0064017D" w:rsidRDefault="00BF066B" w:rsidP="00BF066B">
      <w:pPr>
        <w:pStyle w:val="Heading2"/>
        <w:rPr>
          <w:rFonts w:ascii="Times New Roman" w:hAnsi="Times New Roman" w:cs="Times New Roman"/>
        </w:rPr>
      </w:pPr>
      <w:r>
        <w:rPr>
          <w:rFonts w:ascii="Times New Roman" w:hAnsi="Times New Roman" w:cs="Times New Roman"/>
        </w:rPr>
        <w:t>Temporal Generalisation of V(t) Decoding</w:t>
      </w:r>
    </w:p>
    <w:p w14:paraId="6EE3F37D" w14:textId="77777777" w:rsidR="00BF066B" w:rsidRPr="0064017D" w:rsidRDefault="00BF066B" w:rsidP="00BF066B">
      <w:pPr>
        <w:ind w:firstLine="720"/>
        <w:rPr>
          <w:rFonts w:ascii="Times New Roman" w:hAnsi="Times New Roman" w:cs="Times New Roman"/>
        </w:rPr>
      </w:pPr>
      <w:r>
        <w:rPr>
          <w:rFonts w:ascii="Times New Roman" w:hAnsi="Times New Roman" w:cs="Times New Roman"/>
        </w:rPr>
        <w:t xml:space="preserve">The final analysis asked whether any spatial pattern of broadband EEG activity reliably encoded V(t) across the pre-outcome window. A temporal generalisation approach was used, applying Support Vector Regression (SVR; linear kernel, C = 1) with 5-fold cross-validation. At every combination of training and test timepoints within the −500 to 0 ms </w:t>
      </w:r>
      <w:r>
        <w:rPr>
          <w:rFonts w:ascii="Times New Roman" w:hAnsi="Times New Roman" w:cs="Times New Roman"/>
        </w:rPr>
        <w:lastRenderedPageBreak/>
        <w:t>window, the SVR was trained to predict V(t) from the 64-channel EEG spatial pattern, with performance quantified as R².</w:t>
      </w:r>
    </w:p>
    <w:p w14:paraId="3A00F919" w14:textId="77777777" w:rsidR="00BF066B" w:rsidRPr="0064017D" w:rsidRDefault="00BF066B" w:rsidP="00BF066B">
      <w:pPr>
        <w:ind w:firstLine="720"/>
        <w:rPr>
          <w:rFonts w:ascii="Times New Roman" w:hAnsi="Times New Roman" w:cs="Times New Roman"/>
        </w:rPr>
      </w:pPr>
      <w:r>
        <w:rPr>
          <w:rFonts w:ascii="Times New Roman" w:hAnsi="Times New Roman" w:cs="Times New Roman"/>
        </w:rPr>
        <w:t>The results were clear. Across all five participants, R² values were consistently negative throughout the temporal generalisation matrix (all subject-level maxima &lt; −0.016), meaning the model did worse than simply predicting the mean V(t) at every timepoint. No above-chance decoding was found anywhere on or off the diagonal for any participant.</w:t>
      </w:r>
    </w:p>
    <w:p w14:paraId="52610321" w14:textId="77777777" w:rsidR="00E51E5B" w:rsidRPr="0064017D" w:rsidRDefault="00000000">
      <w:pPr>
        <w:rPr>
          <w:rFonts w:ascii="Times New Roman" w:hAnsi="Times New Roman" w:cs="Times New Roman"/>
        </w:rPr>
      </w:pPr>
      <w:r>
        <w:rPr>
          <w:rFonts w:ascii="Times New Roman" w:hAnsi="Times New Roman" w:cs="Times New Roman"/>
          <w:b/>
          <w:bCs/>
        </w:rPr>
        <w:t>Figure 6.</w:t>
      </w:r>
    </w:p>
    <w:p w14:paraId="6EC1FB07" w14:textId="77777777" w:rsidR="00E51E5B" w:rsidRPr="0064017D" w:rsidRDefault="00000000">
      <w:pPr>
        <w:ind w:firstLine="720"/>
        <w:rPr>
          <w:rFonts w:ascii="Times New Roman" w:hAnsi="Times New Roman" w:cs="Times New Roman"/>
        </w:rPr>
      </w:pPr>
      <w:r>
        <w:rPr>
          <w:rFonts w:ascii="Times New Roman" w:hAnsi="Times New Roman" w:cs="Times New Roman"/>
          <w:i/>
          <w:iCs/>
        </w:rPr>
        <w:t>Temporal Generalisation Matrices for SVR Decoding of RW Expected Value V(t).</w:t>
      </w:r>
    </w:p>
    <w:p w14:paraId="22C826EB" w14:textId="77777777" w:rsidR="00BF066B" w:rsidRPr="0064017D" w:rsidRDefault="00BF066B" w:rsidP="00BF066B">
      <w:pPr>
        <w:rPr>
          <w:rFonts w:ascii="Times New Roman" w:hAnsi="Times New Roman" w:cs="Times New Roman"/>
        </w:rPr>
      </w:pPr>
      <w:r>
        <w:rPr>
          <w:rFonts w:ascii="Times New Roman" w:hAnsi="Times New Roman" w:cs="Times New Roman"/>
          <w:noProof/>
        </w:rPr>
        <w:drawing>
          <wp:inline distT="0" distB="0" distL="0" distR="0" wp14:anchorId="7230821C" wp14:editId="49FC59DE">
            <wp:extent cx="3721100" cy="3111500"/>
            <wp:effectExtent l="0" t="0" r="0" b="0"/>
            <wp:docPr id="25336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5183" name=""/>
                    <pic:cNvPicPr/>
                  </pic:nvPicPr>
                  <pic:blipFill>
                    <a:blip r:embed="rId25"/>
                    <a:stretch>
                      <a:fillRect/>
                    </a:stretch>
                  </pic:blipFill>
                  <pic:spPr>
                    <a:xfrm>
                      <a:off x="0" y="0"/>
                      <a:ext cx="3721100" cy="3111500"/>
                    </a:xfrm>
                    <a:prstGeom prst="rect">
                      <a:avLst/>
                    </a:prstGeom>
                  </pic:spPr>
                </pic:pic>
              </a:graphicData>
            </a:graphic>
          </wp:inline>
        </w:drawing>
      </w:r>
    </w:p>
    <w:p w14:paraId="7389C415" w14:textId="77777777" w:rsidR="00BF066B" w:rsidRPr="0064017D" w:rsidRDefault="00BF066B" w:rsidP="00BF066B">
      <w:pPr>
        <w:rPr>
          <w:rFonts w:ascii="Times New Roman" w:hAnsi="Times New Roman" w:cs="Times New Roman"/>
        </w:rPr>
      </w:pPr>
      <w:r>
        <w:rPr>
          <w:rFonts w:ascii="Times New Roman" w:hAnsi="Times New Roman" w:cs="Times New Roman"/>
          <w:noProof/>
        </w:rPr>
        <w:drawing>
          <wp:inline distT="0" distB="0" distL="0" distR="0" wp14:anchorId="1F8FB160" wp14:editId="384A422F">
            <wp:extent cx="6610935" cy="1375508"/>
            <wp:effectExtent l="0" t="0" r="6350" b="0"/>
            <wp:docPr id="169701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9840" name=""/>
                    <pic:cNvPicPr/>
                  </pic:nvPicPr>
                  <pic:blipFill>
                    <a:blip r:embed="rId26"/>
                    <a:stretch>
                      <a:fillRect/>
                    </a:stretch>
                  </pic:blipFill>
                  <pic:spPr>
                    <a:xfrm>
                      <a:off x="0" y="0"/>
                      <a:ext cx="6620477" cy="1377493"/>
                    </a:xfrm>
                    <a:prstGeom prst="rect">
                      <a:avLst/>
                    </a:prstGeom>
                  </pic:spPr>
                </pic:pic>
              </a:graphicData>
            </a:graphic>
          </wp:inline>
        </w:drawing>
      </w:r>
    </w:p>
    <w:p w14:paraId="07345B1C"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Top: group TGM (N = 5) showing R² for SVR decoding of V(t) from 64-channel EEG at each train–test timepoint pair (−500 to 0 ms). Bottom: individual-participant TGMs. Chance = R² = 0.</w:t>
      </w:r>
    </w:p>
    <w:p w14:paraId="7E97EFD9" w14:textId="77777777" w:rsidR="00BF066B" w:rsidRPr="0064017D" w:rsidRDefault="00BF066B" w:rsidP="002C2177">
      <w:pPr>
        <w:rPr>
          <w:rFonts w:ascii="Times New Roman" w:hAnsi="Times New Roman" w:cs="Times New Roman"/>
          <w:lang w:val="en-US"/>
        </w:rPr>
      </w:pPr>
    </w:p>
    <w:p w14:paraId="25D95E41" w14:textId="77777777" w:rsidR="008F4A1F" w:rsidRPr="0064017D" w:rsidRDefault="00B646E4" w:rsidP="00E86A18">
      <w:pPr>
        <w:pStyle w:val="Heading1"/>
        <w:rPr>
          <w:rFonts w:ascii="Times New Roman" w:hAnsi="Times New Roman" w:cs="Times New Roman"/>
        </w:rPr>
      </w:pPr>
      <w:r>
        <w:rPr>
          <w:rFonts w:ascii="Times New Roman" w:hAnsi="Times New Roman" w:cs="Times New Roman"/>
        </w:rPr>
        <w:t>Discussion</w:t>
      </w:r>
    </w:p>
    <w:p w14:paraId="1F01B836" w14:textId="77777777" w:rsidR="00B646E4" w:rsidRPr="0064017D" w:rsidRDefault="00B646E4" w:rsidP="00E86A18">
      <w:pPr>
        <w:rPr>
          <w:rFonts w:ascii="Times New Roman" w:hAnsi="Times New Roman" w:cs="Times New Roman"/>
        </w:rPr>
      </w:pPr>
    </w:p>
    <w:p w14:paraId="2004A5DE" w14:textId="77777777" w:rsidR="00B646E4" w:rsidRPr="0064017D" w:rsidRDefault="00B646E4" w:rsidP="00E86A18">
      <w:pPr>
        <w:ind w:firstLine="720"/>
        <w:rPr>
          <w:rFonts w:ascii="Times New Roman" w:hAnsi="Times New Roman" w:cs="Times New Roman"/>
        </w:rPr>
      </w:pPr>
      <w:r>
        <w:rPr>
          <w:rFonts w:ascii="Times New Roman" w:hAnsi="Times New Roman" w:cs="Times New Roman"/>
        </w:rPr>
        <w:t>The study examined whether anticipatory alpha and beta oscillations tracked learned expectancy, as indexed by the Rescorla Wagner expected value, in a gamified reinforcement learning task. Across all three analyses the results did not provide consistent support for the hypotheses. The central finding was that correlations between oscillatory power and V(t) were near zero, even under more favourable analytical conditions.</w:t>
      </w:r>
    </w:p>
    <w:p w14:paraId="6D5BFC9A" w14:textId="77777777" w:rsidR="00566066" w:rsidRPr="0064017D" w:rsidRDefault="00566066" w:rsidP="00566066">
      <w:pPr>
        <w:rPr>
          <w:rFonts w:ascii="Times New Roman" w:hAnsi="Times New Roman" w:cs="Times New Roman"/>
        </w:rPr>
      </w:pPr>
    </w:p>
    <w:p w14:paraId="7CF6A0AB" w14:textId="77777777" w:rsidR="00566066" w:rsidRPr="0064017D" w:rsidRDefault="00566066" w:rsidP="00566066">
      <w:pPr>
        <w:pStyle w:val="Heading3"/>
        <w:rPr>
          <w:rFonts w:ascii="Times New Roman" w:hAnsi="Times New Roman" w:cs="Times New Roman"/>
        </w:rPr>
      </w:pPr>
      <w:r>
        <w:rPr>
          <w:rFonts w:ascii="Times New Roman" w:hAnsi="Times New Roman" w:cs="Times New Roman"/>
        </w:rPr>
        <w:t>Absence of effects at a fixed learning rate</w:t>
      </w:r>
    </w:p>
    <w:p w14:paraId="1C7EC293" w14:textId="535413AB" w:rsidR="00566066" w:rsidRPr="0064017D" w:rsidRDefault="00C56D5D" w:rsidP="00566066">
      <w:pPr>
        <w:ind w:firstLine="720"/>
        <w:rPr>
          <w:rFonts w:ascii="Times New Roman" w:hAnsi="Times New Roman" w:cs="Times New Roman"/>
        </w:rPr>
      </w:pPr>
      <w:r>
        <w:rPr>
          <w:rFonts w:ascii="Times New Roman" w:hAnsi="Times New Roman" w:cs="Times New Roman"/>
        </w:rPr>
        <w:t>In the case of V(t) calculated at a fixed learning rate of α = 0.3, neither alpha nor beta power showed a meaningful association with expected value in any participant (alpha: range r = −.044 to .057; beta: range r = −.025 to .052). This was not entirely unexpected. Fixing the learning rate across all participants assumes that everyone updates their expectations at the same pace, which is unlikely given the well-documented variability in individual learning dynamics. Hence, the null result here may say more about model</w:t>
      </w:r>
      <w:r w:rsidR="000C18E3">
        <w:rPr>
          <w:rFonts w:ascii="Times New Roman" w:hAnsi="Times New Roman" w:cs="Times New Roman"/>
        </w:rPr>
        <w:t xml:space="preserve"> not being specific enough</w:t>
      </w:r>
      <w:r>
        <w:rPr>
          <w:rFonts w:ascii="Times New Roman" w:hAnsi="Times New Roman" w:cs="Times New Roman"/>
        </w:rPr>
        <w:t xml:space="preserve"> than about the relationship between anticipatory oscillations and expectancy itself, which motivated the grid search analysis.</w:t>
      </w:r>
    </w:p>
    <w:p w14:paraId="45FB3E05" w14:textId="77777777" w:rsidR="00566066" w:rsidRPr="0064017D" w:rsidRDefault="00566066" w:rsidP="00566066">
      <w:pPr>
        <w:rPr>
          <w:rFonts w:ascii="Times New Roman" w:hAnsi="Times New Roman" w:cs="Times New Roman"/>
        </w:rPr>
      </w:pPr>
    </w:p>
    <w:p w14:paraId="52871DA2" w14:textId="77777777" w:rsidR="00566066" w:rsidRPr="0064017D" w:rsidRDefault="00566066" w:rsidP="00566066">
      <w:pPr>
        <w:pStyle w:val="Heading3"/>
        <w:rPr>
          <w:rFonts w:ascii="Times New Roman" w:hAnsi="Times New Roman" w:cs="Times New Roman"/>
        </w:rPr>
      </w:pPr>
      <w:r>
        <w:rPr>
          <w:rFonts w:ascii="Times New Roman" w:hAnsi="Times New Roman" w:cs="Times New Roman"/>
        </w:rPr>
        <w:t>Near-zero effect sizes as the key finding</w:t>
      </w:r>
    </w:p>
    <w:p w14:paraId="2488A532" w14:textId="77777777" w:rsidR="00566066" w:rsidRPr="0064017D" w:rsidRDefault="00C56D5D" w:rsidP="00566066">
      <w:pPr>
        <w:ind w:firstLine="720"/>
        <w:rPr>
          <w:rFonts w:ascii="Times New Roman" w:hAnsi="Times New Roman" w:cs="Times New Roman"/>
        </w:rPr>
      </w:pPr>
      <w:r>
        <w:rPr>
          <w:rFonts w:ascii="Times New Roman" w:hAnsi="Times New Roman" w:cs="Times New Roman"/>
        </w:rPr>
        <w:t xml:space="preserve">However, even when learning rates were individually optimised in the grid search, correlations remained small in absolute terms (alpha: max |r| = .095; beta: max |r| = .127), and the temporal generalisation analysis produced R² values at or below zero throughout, </w:t>
      </w:r>
      <w:r>
        <w:rPr>
          <w:rFonts w:ascii="Times New Roman" w:hAnsi="Times New Roman" w:cs="Times New Roman"/>
        </w:rPr>
        <w:lastRenderedPageBreak/>
        <w:t>suggesting that broadband EEG spatial patterns carried no reliable information about V(t). Taken together, the near-zero effect sizes across all three analyses are arguably the most important finding of this pilot. If the true effect were moderate or large, some signal would be expected to emerge even at N = 5, particularly in the grid search where analytical conditions were optimised per participant. The consistently small effects instead suggest that paradigm differences from Riels et al. (2021) are likely to explain the relationship between anticipatory oscillations and learned expectancy, and that any power calculation for a confirmatory replication should be based on these pilot estimates rather than the original effect sizes.</w:t>
      </w:r>
    </w:p>
    <w:p w14:paraId="293644BC" w14:textId="77777777" w:rsidR="00C56D5D" w:rsidRPr="0064017D" w:rsidRDefault="000E576D" w:rsidP="00C56D5D">
      <w:pPr>
        <w:pStyle w:val="Heading3"/>
        <w:rPr>
          <w:rFonts w:ascii="Times New Roman" w:hAnsi="Times New Roman" w:cs="Times New Roman"/>
        </w:rPr>
      </w:pPr>
      <w:r>
        <w:rPr>
          <w:rFonts w:ascii="Times New Roman" w:hAnsi="Times New Roman" w:cs="Times New Roman"/>
        </w:rPr>
        <w:t>High Variation between individual learning rates</w:t>
      </w:r>
    </w:p>
    <w:p w14:paraId="21F7A469" w14:textId="77777777" w:rsidR="00C56D5D" w:rsidRDefault="00C56D5D" w:rsidP="00C56D5D">
      <w:pPr>
        <w:ind w:firstLine="720"/>
        <w:rPr>
          <w:rFonts w:ascii="Times New Roman" w:hAnsi="Times New Roman" w:cs="Times New Roman"/>
        </w:rPr>
      </w:pPr>
      <w:r>
        <w:rPr>
          <w:rFonts w:ascii="Times New Roman" w:hAnsi="Times New Roman" w:cs="Times New Roman"/>
        </w:rPr>
        <w:t>There also was significant variability in optimal learning rates among participants — perhaps a qualitative divide as opposed to a gradient. Most participants showed peak effects at very low learning rates (α = 0.01–0.04), while sub-02 and sub-05 only arrived at significance at very rapid learning rates (α = 0.55 and 0.99, respectively). Crucially, however, all peak correlations remained small in absolute terms (max |r| = .095 for alpha, .127 for beta). This means that participants may have taken very different approaches to following reward contingencies, and no one learning rate can explain this data at the group level. One reason for this heterogeneity is that the participants of slow optimal learning rate were efficiently averaging reward history across a great number of trials, and their V(t) was then biased towards later, more fatiguing periods of the task, in the latter increasing with independent time-on-task effects (Tran et al., 2020), rather than via a genuinely independent modulation of variable expectancy. Regardless, the consistently near-zero effect sizes suggest that any relationship between anticipatory oscillations and V(t) is at best weak in this paradigm, and that a confirmatory replication would require more flexible modelling approaches capable of capturing dynamic, individually varying learning processes rather than assuming a fixed update timescale (Pike &amp; Robinson, 2022).</w:t>
      </w:r>
    </w:p>
    <w:p w14:paraId="4D0540AE" w14:textId="0CCC1A84" w:rsidR="008C16B2" w:rsidRPr="0064017D" w:rsidRDefault="008C16B2" w:rsidP="00C56D5D">
      <w:pPr>
        <w:ind w:firstLine="720"/>
        <w:rPr>
          <w:rFonts w:ascii="Times New Roman" w:hAnsi="Times New Roman" w:cs="Times New Roman"/>
        </w:rPr>
      </w:pPr>
      <w:r>
        <w:rPr>
          <w:rFonts w:ascii="Times New Roman" w:hAnsi="Times New Roman" w:cs="Times New Roman"/>
        </w:rPr>
        <w:lastRenderedPageBreak/>
        <w:t>T</w:t>
      </w:r>
      <w:r w:rsidRPr="008C16B2">
        <w:rPr>
          <w:rFonts w:ascii="Times New Roman" w:hAnsi="Times New Roman" w:cs="Times New Roman"/>
        </w:rPr>
        <w:t>he present data suggest that participants may cluster into qualitatively distinct learner types</w:t>
      </w:r>
      <w:r>
        <w:rPr>
          <w:rFonts w:ascii="Times New Roman" w:hAnsi="Times New Roman" w:cs="Times New Roman"/>
        </w:rPr>
        <w:t xml:space="preserve">: </w:t>
      </w:r>
      <w:r w:rsidRPr="008C16B2">
        <w:rPr>
          <w:rFonts w:ascii="Times New Roman" w:hAnsi="Times New Roman" w:cs="Times New Roman"/>
        </w:rPr>
        <w:t>those who integrate reward history slowly across many trials and those who update rapidl</w:t>
      </w:r>
      <w:r>
        <w:rPr>
          <w:rFonts w:ascii="Times New Roman" w:hAnsi="Times New Roman" w:cs="Times New Roman"/>
        </w:rPr>
        <w:t>y, and that t</w:t>
      </w:r>
      <w:r w:rsidRPr="008C16B2">
        <w:rPr>
          <w:rFonts w:ascii="Times New Roman" w:hAnsi="Times New Roman" w:cs="Times New Roman"/>
        </w:rPr>
        <w:t>hese groups may show opposite relationships between oscillatory power and V(t) at any given fixed rate. If so, a group average could in principle reflect a mixture of opposing effects rather than a coherent neural signal, and the replication of Riels et al. in a larger sample should treat learning rate as a subject-level variable rather than a fixed parameter.</w:t>
      </w:r>
    </w:p>
    <w:p w14:paraId="346B07E4" w14:textId="77777777" w:rsidR="00566066" w:rsidRPr="0064017D" w:rsidRDefault="00566066" w:rsidP="00C56D5D">
      <w:pPr>
        <w:rPr>
          <w:rFonts w:ascii="Times New Roman" w:hAnsi="Times New Roman" w:cs="Times New Roman"/>
        </w:rPr>
      </w:pPr>
    </w:p>
    <w:p w14:paraId="091A9511" w14:textId="77777777" w:rsidR="00B646E4" w:rsidRPr="0064017D" w:rsidRDefault="00B646E4" w:rsidP="00566066">
      <w:pPr>
        <w:pStyle w:val="Heading3"/>
        <w:rPr>
          <w:rFonts w:ascii="Times New Roman" w:hAnsi="Times New Roman" w:cs="Times New Roman"/>
        </w:rPr>
      </w:pPr>
      <w:r>
        <w:rPr>
          <w:rFonts w:ascii="Times New Roman" w:hAnsi="Times New Roman" w:cs="Times New Roman"/>
        </w:rPr>
        <w:t>Failure of temporal generalisation</w:t>
      </w:r>
    </w:p>
    <w:p w14:paraId="5BD55B7B" w14:textId="77777777" w:rsidR="00C56D5D" w:rsidRPr="0064017D" w:rsidRDefault="00C56D5D" w:rsidP="00A63A24">
      <w:pPr>
        <w:ind w:firstLine="720"/>
        <w:rPr>
          <w:rFonts w:ascii="Times New Roman" w:hAnsi="Times New Roman" w:cs="Times New Roman"/>
        </w:rPr>
      </w:pPr>
      <w:r>
        <w:rPr>
          <w:rFonts w:ascii="Times New Roman" w:hAnsi="Times New Roman" w:cs="Times New Roman"/>
        </w:rPr>
        <w:t>The temporal generalisation analysis returned uniformly negative R² values close to 0 for all participants, that is, no spatial pattern of broadband EEG activity consistently encoded V(t) at any point in the pre-outcome window. This is the most clear-cut null result of this experiment. The SVR approach is highly likely to be underpowered (at N = 5). Multivariate decoding techniques involve much larger trial numbers and sample sizes to obtain credible estimates, especially in the present data set which likely does not have the statistical power to detect anything other than very substantial effects. The null TGM finding thus is more an indication of the challenge to perform this task than of the failure to have a genuine neural equivalent of expectancy.</w:t>
      </w:r>
    </w:p>
    <w:p w14:paraId="23236144" w14:textId="77777777" w:rsidR="00A63A24" w:rsidRPr="0064017D" w:rsidRDefault="00A63A24" w:rsidP="00A63A24">
      <w:pPr>
        <w:pStyle w:val="Heading2"/>
        <w:rPr>
          <w:rFonts w:ascii="Times New Roman" w:hAnsi="Times New Roman" w:cs="Times New Roman"/>
        </w:rPr>
      </w:pPr>
      <w:r>
        <w:rPr>
          <w:rFonts w:ascii="Times New Roman" w:hAnsi="Times New Roman" w:cs="Times New Roman"/>
        </w:rPr>
        <w:t>Strengths</w:t>
      </w:r>
    </w:p>
    <w:p w14:paraId="1F57308B" w14:textId="77777777" w:rsidR="00A63A24" w:rsidRPr="0064017D" w:rsidRDefault="00A63A24" w:rsidP="00A63A24">
      <w:pPr>
        <w:ind w:firstLine="720"/>
        <w:rPr>
          <w:rFonts w:ascii="Times New Roman" w:hAnsi="Times New Roman" w:cs="Times New Roman"/>
        </w:rPr>
      </w:pPr>
      <w:r>
        <w:rPr>
          <w:rFonts w:ascii="Times New Roman" w:hAnsi="Times New Roman" w:cs="Times New Roman"/>
        </w:rPr>
        <w:t xml:space="preserve">Despite the null findings, the study has several notable strengths. The combination of model-based and data-driven analyses (fitting the Rescorla-Wagner model at the individual level alongside SVM temporal generalisation) is a meaningful methodological advance over approaches that rely on coarse condition averages. Linking trial-level expected value and prediction error directly to oscillatory power provides finer-grained, mechanistically </w:t>
      </w:r>
      <w:r>
        <w:rPr>
          <w:rFonts w:ascii="Times New Roman" w:hAnsi="Times New Roman" w:cs="Times New Roman"/>
        </w:rPr>
        <w:lastRenderedPageBreak/>
        <w:t>interpretable insights into associative learning than group-level comparisons would allow. The gamified Cannonball task also improves on the simple cue-aversive noise paradigm used by Riels et al. (2021) in terms of ecological validity and participant engagement, and the extension to beta oscillations broadens the inferential scope of the study beyond what a single-band approach would allow.</w:t>
      </w:r>
    </w:p>
    <w:p w14:paraId="6EEDF8DE" w14:textId="77777777" w:rsidR="00566066" w:rsidRPr="0064017D" w:rsidRDefault="00566066" w:rsidP="00566066">
      <w:pPr>
        <w:pStyle w:val="Heading2"/>
        <w:rPr>
          <w:rFonts w:ascii="Times New Roman" w:hAnsi="Times New Roman" w:cs="Times New Roman"/>
        </w:rPr>
      </w:pPr>
      <w:r>
        <w:rPr>
          <w:rFonts w:ascii="Times New Roman" w:hAnsi="Times New Roman" w:cs="Times New Roman"/>
        </w:rPr>
        <w:t>Limitations</w:t>
      </w:r>
    </w:p>
    <w:p w14:paraId="3A715B94" w14:textId="77777777" w:rsidR="00566066" w:rsidRPr="0064017D" w:rsidRDefault="00566066" w:rsidP="00566066">
      <w:pPr>
        <w:ind w:firstLine="720"/>
        <w:rPr>
          <w:rFonts w:ascii="Times New Roman" w:hAnsi="Times New Roman" w:cs="Times New Roman"/>
        </w:rPr>
      </w:pPr>
      <w:r>
        <w:rPr>
          <w:rFonts w:ascii="Times New Roman" w:hAnsi="Times New Roman" w:cs="Times New Roman"/>
        </w:rPr>
        <w:t>Several methodological limitations should be considered when interpreting these findings. The fast-paced, gamified nature of the Cannonball task almost certainly introduced signal contamination that would not have been present in the simpler paradigm used by Riels et al. (2021). The continuous motor demands of the task meant that movement-related artefacts and motor-preparatory beta activity were likely present throughout the anticipatory window, making it hard to cleanly isolate any expectancy-related oscillatory signal from background motor noise.</w:t>
      </w:r>
    </w:p>
    <w:p w14:paraId="29D30B11" w14:textId="77777777" w:rsidR="006E400F" w:rsidRPr="0064017D" w:rsidRDefault="00566066" w:rsidP="00566066">
      <w:pPr>
        <w:ind w:firstLine="720"/>
        <w:rPr>
          <w:rFonts w:ascii="Times New Roman" w:hAnsi="Times New Roman" w:cs="Times New Roman"/>
        </w:rPr>
      </w:pPr>
      <w:r>
        <w:rPr>
          <w:rFonts w:ascii="Times New Roman" w:hAnsi="Times New Roman" w:cs="Times New Roman"/>
        </w:rPr>
        <w:t>A related issue is that the overlapping trial structure of a 720-trial task means neural responses to successive outcomes were never fully temporally separated. Without proper deconvolution of the EEG signal, pre-outcome power estimates may partly reflect lingering contamination from the preceding trial's feedback rather than genuine anticipatory activity on the current trial. This is a particular concern for the RW model correlations, which assume that trial-level power estimates reflect each trial's expectancy state in isolation.</w:t>
      </w:r>
    </w:p>
    <w:p w14:paraId="205C5DE6" w14:textId="77777777" w:rsidR="00566066" w:rsidRPr="0064017D" w:rsidRDefault="006E400F" w:rsidP="00566066">
      <w:pPr>
        <w:ind w:firstLine="720"/>
        <w:rPr>
          <w:rFonts w:ascii="Times New Roman" w:hAnsi="Times New Roman" w:cs="Times New Roman"/>
        </w:rPr>
      </w:pPr>
      <w:r>
        <w:rPr>
          <w:rFonts w:ascii="Times New Roman" w:hAnsi="Times New Roman" w:cs="Times New Roman"/>
        </w:rPr>
        <w:t>With N = 5, all findings should be treated as pilot effect size estimates rather than inferential results. The study was never powered to detect effects reliably, and the pattern of individual differences observed probably will not generalise to a broader population.</w:t>
      </w:r>
    </w:p>
    <w:p w14:paraId="399641ED" w14:textId="77777777" w:rsidR="008C16B2" w:rsidRDefault="006E400F" w:rsidP="00566066">
      <w:pPr>
        <w:ind w:firstLine="720"/>
        <w:rPr>
          <w:rFonts w:ascii="Times New Roman" w:hAnsi="Times New Roman" w:cs="Times New Roman"/>
        </w:rPr>
      </w:pPr>
      <w:r>
        <w:rPr>
          <w:rFonts w:ascii="Times New Roman" w:hAnsi="Times New Roman" w:cs="Times New Roman"/>
        </w:rPr>
        <w:t xml:space="preserve">One could also argue that the paradigm deviates too substantially from Riels et al. (2021) to constitute a meaningful conceptual replication, as the shift from a simple cue-aversive noise design to a complex gamified task changes multiple factors simultaneously </w:t>
      </w:r>
      <w:r>
        <w:rPr>
          <w:rFonts w:ascii="Times New Roman" w:hAnsi="Times New Roman" w:cs="Times New Roman"/>
        </w:rPr>
        <w:lastRenderedPageBreak/>
        <w:t xml:space="preserve">including reinforcement type, cognitive load, motor demands, and task context. Furthermore, the task is embedded within a larger drug study on a high-anxiety sample, meaning pharmacological effects on alpha and beta dynamics cannot be controlled for, and the timing of the task within the broader battery adds a further source of uncontrolled variability. </w:t>
      </w:r>
    </w:p>
    <w:p w14:paraId="128B086A" w14:textId="402DD6CD" w:rsidR="006E400F" w:rsidRPr="0064017D" w:rsidRDefault="006E400F" w:rsidP="00566066">
      <w:pPr>
        <w:ind w:firstLine="720"/>
        <w:rPr>
          <w:rFonts w:ascii="Times New Roman" w:hAnsi="Times New Roman" w:cs="Times New Roman"/>
        </w:rPr>
      </w:pPr>
      <w:r>
        <w:rPr>
          <w:rFonts w:ascii="Times New Roman" w:hAnsi="Times New Roman" w:cs="Times New Roman"/>
        </w:rPr>
        <w:t>A more fundamental limitation is the temporal simplicity of the Rescorla-Wagner model itself. Although fitting it at the individual level improves on condition-averaged approaches, the model updates a single associative strength based only on the most recent trial's prediction error and cannot capture longer sequences of past decisions or second-order contingency effects.</w:t>
      </w:r>
    </w:p>
    <w:p w14:paraId="7ACE8566" w14:textId="77777777" w:rsidR="006E400F" w:rsidRPr="0064017D" w:rsidRDefault="006E400F" w:rsidP="00566066">
      <w:pPr>
        <w:rPr>
          <w:rFonts w:ascii="Times New Roman" w:hAnsi="Times New Roman" w:cs="Times New Roman"/>
        </w:rPr>
      </w:pPr>
    </w:p>
    <w:p w14:paraId="5FE0916A" w14:textId="77777777" w:rsidR="00BE2E05" w:rsidRPr="0064017D" w:rsidRDefault="006E400F" w:rsidP="00BE2E05">
      <w:pPr>
        <w:pStyle w:val="Heading2"/>
        <w:rPr>
          <w:rFonts w:ascii="Times New Roman" w:hAnsi="Times New Roman" w:cs="Times New Roman"/>
        </w:rPr>
      </w:pPr>
      <w:r>
        <w:rPr>
          <w:rFonts w:ascii="Times New Roman" w:hAnsi="Times New Roman" w:cs="Times New Roman"/>
        </w:rPr>
        <w:t>Future Directions</w:t>
      </w:r>
    </w:p>
    <w:p w14:paraId="453776FC" w14:textId="77777777" w:rsidR="006E400F" w:rsidRPr="0064017D" w:rsidRDefault="00B03EDB" w:rsidP="00BE2E05">
      <w:pPr>
        <w:ind w:firstLine="720"/>
        <w:rPr>
          <w:rFonts w:ascii="Times New Roman" w:hAnsi="Times New Roman" w:cs="Times New Roman"/>
        </w:rPr>
      </w:pPr>
      <w:r>
        <w:rPr>
          <w:rFonts w:ascii="Times New Roman" w:hAnsi="Times New Roman" w:cs="Times New Roman"/>
        </w:rPr>
        <w:t xml:space="preserve">Therefore, an alternative to the Rescorla-Wagner model, a recurrent neural network (RNN), could be adopted in future </w:t>
      </w:r>
      <w:proofErr w:type="gramStart"/>
      <w:r>
        <w:rPr>
          <w:rFonts w:ascii="Times New Roman" w:hAnsi="Times New Roman" w:cs="Times New Roman"/>
        </w:rPr>
        <w:t>in order to</w:t>
      </w:r>
      <w:proofErr w:type="gramEnd"/>
      <w:r>
        <w:rPr>
          <w:rFonts w:ascii="Times New Roman" w:hAnsi="Times New Roman" w:cs="Times New Roman"/>
        </w:rPr>
        <w:t xml:space="preserve"> better learn complex temporal relationships for long trial sequences and latent internal representation possibly closer to EEG dynamics structure (Botvinick et al., 2020). Whereas the Rescorla-Wagner model relies on a fixed update rule, an RNN trained using trial-by-trial behavioural and neural data may capture, theoretically, individual differences in the amount of time participants work with reward history over, leading to more accurate and better-targeted predictions of anticipatory oscillatory behaviour. That proposed approach, however, falls outside the scope of the current pilot, as it would need a large amount of training data and participants. A confirmatory replication must be nevertheless architected with this longer-term direction in mind, and design which includes trial number as a within-subject covariate, use proper EEG deconvolution for overlapping trial responses, as well as power calculations which derive from the pilot effect sizes shown here and not those reported by Riels et al. (2021).</w:t>
      </w:r>
    </w:p>
    <w:p w14:paraId="7BDC7577" w14:textId="77777777" w:rsidR="00C26B76" w:rsidRPr="0064017D" w:rsidRDefault="00941AAF" w:rsidP="00C26B76">
      <w:pPr>
        <w:ind w:firstLine="720"/>
        <w:rPr>
          <w:rFonts w:ascii="Times New Roman" w:hAnsi="Times New Roman" w:cs="Times New Roman"/>
        </w:rPr>
      </w:pPr>
      <w:r>
        <w:rPr>
          <w:rFonts w:ascii="Times New Roman" w:hAnsi="Times New Roman" w:cs="Times New Roman"/>
        </w:rPr>
        <w:lastRenderedPageBreak/>
        <w:t>Additionally, scalp EEG as a recording modality is also limited in nature. Different from electrocorticography (ECoG) or invasive depth electrodes, scalp EEG captures neural signals through multilayered attenuation, with scalp, skull, and dura acting as a spatial low-pass filter, blurring cortical signal sources contributing to every electrode’s signal. This volume conduction issue implies that a single scalp electrode represents a weighted mixture of activity that originates in a relatively large cortical location rather than a singular neural population, dramatically reducing spatial resolution to between 5–9 cm² versus the sub-millimetre focus achievable with invasive arrays (Leuthardt et al., 2004). The consequence for the current study is that any expectancy-oriented signal, localised to a distinctively narrow spatial generator (e.g., a specific subregion of posterior parietal cortex), will be analysed geospatially across the parieto-occipital ROI, thereby reducing sensitivity and possibly reducing correlation with V(t). Future work aiming to correctly localise the neural substrates of anticipatory oscillations during reinforcement learning would benefit from ECoG recordings in clinical populations or high-density EEG with source modelling, where both offer substantially improved spatial specificity and more reflective measurements overall.</w:t>
      </w:r>
    </w:p>
    <w:p w14:paraId="539340DA" w14:textId="77777777" w:rsidR="004F0858" w:rsidRPr="0064017D" w:rsidRDefault="004F0858" w:rsidP="004F0858">
      <w:pPr>
        <w:rPr>
          <w:rFonts w:ascii="Times New Roman" w:hAnsi="Times New Roman" w:cs="Times New Roman"/>
        </w:rPr>
      </w:pPr>
    </w:p>
    <w:p w14:paraId="532BD751" w14:textId="77777777" w:rsidR="004F0858" w:rsidRPr="0064017D" w:rsidRDefault="004F0858" w:rsidP="004F0858">
      <w:pPr>
        <w:ind w:firstLine="720"/>
        <w:rPr>
          <w:rFonts w:ascii="Times New Roman" w:hAnsi="Times New Roman" w:cs="Times New Roman"/>
        </w:rPr>
      </w:pPr>
      <w:r>
        <w:rPr>
          <w:rFonts w:ascii="Times New Roman" w:hAnsi="Times New Roman" w:cs="Times New Roman"/>
        </w:rPr>
        <w:t xml:space="preserve">To conclude, the current study found very little evidence to support that anticipatory alpha or beta oscillatory power tracks learned expectancy in the context of gamified reinforcement learning, with correlations still hovering virtually at or around zero with individually optimised analytical conditions. However, this doesn't preclude a genuine relationship between anticipatory oscillations and expectancy. Rather, it implies that the effect found by Riels et al. (2021) may not generalise straightforwardly to more complex paradigms and that, in this context, effect sizes are likely small. The pilot estimates presented in this report nevertheless give an empirical starting point for designing a more adequately </w:t>
      </w:r>
      <w:r>
        <w:rPr>
          <w:rFonts w:ascii="Times New Roman" w:hAnsi="Times New Roman" w:cs="Times New Roman"/>
        </w:rPr>
        <w:lastRenderedPageBreak/>
        <w:t>powered confirmatory replication, and the combination of individual-level RW modelling with temporal generalisation remains a potentially useful framework for future investigation.</w:t>
      </w:r>
    </w:p>
    <w:p w14:paraId="53F01C63" w14:textId="77777777" w:rsidR="0074588D" w:rsidRPr="0064017D" w:rsidRDefault="0074588D" w:rsidP="0074588D">
      <w:pPr>
        <w:ind w:firstLine="720"/>
        <w:rPr>
          <w:rFonts w:ascii="Times New Roman" w:hAnsi="Times New Roman" w:cs="Times New Roman"/>
        </w:rPr>
      </w:pPr>
      <w:r>
        <w:rPr>
          <w:rFonts w:ascii="Times New Roman" w:hAnsi="Times New Roman" w:cs="Times New Roman"/>
        </w:rPr>
        <w:t>References</w:t>
      </w:r>
    </w:p>
    <w:p w14:paraId="3D7DD343" w14:textId="77777777" w:rsidR="0064017D" w:rsidRPr="0064017D" w:rsidRDefault="0064017D" w:rsidP="0064017D">
      <w:pPr>
        <w:pStyle w:val="NormalWeb"/>
        <w:spacing w:before="0" w:beforeAutospacing="0" w:after="0" w:afterAutospacing="0" w:line="480" w:lineRule="auto"/>
        <w:ind w:left="720" w:hanging="720"/>
      </w:pPr>
      <w:r>
        <w:t xml:space="preserve">Bae, G.-Y., &amp; Luck, S. J. (2017). Dissociable Decoding of Spatial Attention and Working Memory from EEG Oscillations and Sustained Potentials. </w:t>
      </w:r>
      <w:r>
        <w:rPr>
          <w:i/>
          <w:iCs/>
        </w:rPr>
        <w:t>The Journal of Neuroscience</w:t>
      </w:r>
      <w:r>
        <w:t xml:space="preserve">, </w:t>
      </w:r>
      <w:r>
        <w:rPr>
          <w:i/>
          <w:iCs/>
        </w:rPr>
        <w:t>38</w:t>
      </w:r>
      <w:r>
        <w:t>(2), 409–422. https://doi.org/10.1523/jneurosci.2860-17.2017</w:t>
      </w:r>
    </w:p>
    <w:p w14:paraId="1F1E8E41" w14:textId="77777777" w:rsidR="0064017D" w:rsidRPr="0064017D" w:rsidRDefault="0064017D" w:rsidP="0064017D">
      <w:pPr>
        <w:pStyle w:val="NormalWeb"/>
        <w:spacing w:before="0" w:beforeAutospacing="0" w:after="0" w:afterAutospacing="0" w:line="480" w:lineRule="auto"/>
        <w:ind w:left="720" w:hanging="720"/>
      </w:pPr>
      <w:r>
        <w:t xml:space="preserve">Bartsch, F., Hamuni, G., Miskovic, V., Lang, P. J., &amp; Keil, A. (2015). Oscillatory brain activity in the alpha range is modulated by the content of word-prompted mental imagery. </w:t>
      </w:r>
      <w:r>
        <w:rPr>
          <w:i/>
          <w:iCs/>
        </w:rPr>
        <w:t>Psychophysiology</w:t>
      </w:r>
      <w:r>
        <w:t xml:space="preserve">, </w:t>
      </w:r>
      <w:r>
        <w:rPr>
          <w:i/>
          <w:iCs/>
        </w:rPr>
        <w:t>52</w:t>
      </w:r>
      <w:r>
        <w:t>(6), 727–735. https://doi.org/10.1111/psyp.12405</w:t>
      </w:r>
    </w:p>
    <w:p w14:paraId="72441014" w14:textId="77777777" w:rsidR="0064017D" w:rsidRPr="0064017D" w:rsidRDefault="0064017D" w:rsidP="0064017D">
      <w:pPr>
        <w:pStyle w:val="NormalWeb"/>
        <w:spacing w:before="0" w:beforeAutospacing="0" w:after="0" w:afterAutospacing="0" w:line="480" w:lineRule="auto"/>
        <w:ind w:left="720" w:hanging="720"/>
      </w:pPr>
      <w:r>
        <w:t xml:space="preserve">Başar, E., &amp; Güntekin, B. (2012). A short review of alpha activity in cognitive processes and in cognitive impairment. </w:t>
      </w:r>
      <w:r>
        <w:rPr>
          <w:i/>
          <w:iCs/>
        </w:rPr>
        <w:t>International Journal of Psychophysiology</w:t>
      </w:r>
      <w:r>
        <w:t xml:space="preserve">, </w:t>
      </w:r>
      <w:r>
        <w:rPr>
          <w:i/>
          <w:iCs/>
        </w:rPr>
        <w:t>86</w:t>
      </w:r>
      <w:r>
        <w:t>(1), 25–38. https://doi.org/10.1016/j.ijpsycho.2012.07.001</w:t>
      </w:r>
    </w:p>
    <w:p w14:paraId="3829BF82" w14:textId="77777777" w:rsidR="0064017D" w:rsidRPr="0064017D" w:rsidRDefault="0064017D" w:rsidP="0064017D">
      <w:pPr>
        <w:pStyle w:val="NormalWeb"/>
        <w:spacing w:before="0" w:beforeAutospacing="0" w:after="0" w:afterAutospacing="0" w:line="480" w:lineRule="auto"/>
        <w:ind w:left="720" w:hanging="720"/>
      </w:pPr>
      <w:r>
        <w:t xml:space="preserve">Bonnefond, M., &amp; Jensen, O. (2012). Alpha Oscillations Serve to Protect Working Memory Maintenance against Anticipated Distracters. </w:t>
      </w:r>
      <w:r>
        <w:rPr>
          <w:i/>
          <w:iCs/>
        </w:rPr>
        <w:t>Current Biology</w:t>
      </w:r>
      <w:r>
        <w:t xml:space="preserve">, </w:t>
      </w:r>
      <w:r>
        <w:rPr>
          <w:i/>
          <w:iCs/>
        </w:rPr>
        <w:t>22</w:t>
      </w:r>
      <w:r>
        <w:t>(20), 1969–1974. https://doi.org/10.1016/j.cub.2012.08.029</w:t>
      </w:r>
    </w:p>
    <w:p w14:paraId="34A4BBD0" w14:textId="77777777" w:rsidR="0064017D" w:rsidRPr="0064017D" w:rsidRDefault="0064017D" w:rsidP="0064017D">
      <w:pPr>
        <w:pStyle w:val="NormalWeb"/>
        <w:spacing w:before="0" w:beforeAutospacing="0" w:after="0" w:afterAutospacing="0" w:line="480" w:lineRule="auto"/>
        <w:ind w:left="720" w:hanging="720"/>
      </w:pPr>
      <w:r>
        <w:t xml:space="preserve">Botvinick, M., Wang, J. X., Dabney, W., Miller, K. J., &amp; Kurth-Nelson, Z. (2020). Deep Reinforcement Learning and Its Neuroscientific Implications. </w:t>
      </w:r>
      <w:r>
        <w:rPr>
          <w:i/>
          <w:iCs/>
        </w:rPr>
        <w:t>Neuron</w:t>
      </w:r>
      <w:r>
        <w:t xml:space="preserve">, </w:t>
      </w:r>
      <w:r>
        <w:rPr>
          <w:i/>
          <w:iCs/>
        </w:rPr>
        <w:t>107</w:t>
      </w:r>
      <w:r>
        <w:t>(4), 603–616. https://doi.org/10.1016/j.neuron.2020.06.014</w:t>
      </w:r>
    </w:p>
    <w:p w14:paraId="2EC5EF62" w14:textId="77777777" w:rsidR="0064017D" w:rsidRPr="0064017D" w:rsidRDefault="0064017D" w:rsidP="0064017D">
      <w:pPr>
        <w:pStyle w:val="NormalWeb"/>
        <w:spacing w:before="0" w:beforeAutospacing="0" w:after="0" w:afterAutospacing="0" w:line="480" w:lineRule="auto"/>
        <w:ind w:left="720" w:hanging="720"/>
      </w:pPr>
      <w:r>
        <w:t xml:space="preserve">Clark, A. (2013). Whatever next? Predictive brains, situated agents, and the future of cognitive science. </w:t>
      </w:r>
      <w:r>
        <w:rPr>
          <w:i/>
          <w:iCs/>
        </w:rPr>
        <w:t>Behavioral and Brain Sciences</w:t>
      </w:r>
      <w:r>
        <w:t xml:space="preserve">, </w:t>
      </w:r>
      <w:r>
        <w:rPr>
          <w:i/>
          <w:iCs/>
        </w:rPr>
        <w:t>36</w:t>
      </w:r>
      <w:r>
        <w:t>(3), 181–204. https://doi.org/10.1017/s0140525x12000477</w:t>
      </w:r>
    </w:p>
    <w:p w14:paraId="7A7D4DC0" w14:textId="77777777" w:rsidR="0064017D" w:rsidRPr="0064017D" w:rsidRDefault="0064017D" w:rsidP="0064017D">
      <w:pPr>
        <w:pStyle w:val="NormalWeb"/>
        <w:spacing w:before="0" w:beforeAutospacing="0" w:after="0" w:afterAutospacing="0" w:line="480" w:lineRule="auto"/>
        <w:ind w:left="720" w:hanging="720"/>
      </w:pPr>
      <w:r>
        <w:t xml:space="preserve">Cohen, M. X. (2014). </w:t>
      </w:r>
      <w:r>
        <w:rPr>
          <w:i/>
          <w:iCs/>
        </w:rPr>
        <w:t>Analyzing Neural Time Series Data</w:t>
      </w:r>
      <w:r>
        <w:t>. The MIT Press. https://doi.org/10.7551/mitpress/9609.001.0001</w:t>
      </w:r>
    </w:p>
    <w:p w14:paraId="341CC612" w14:textId="77777777" w:rsidR="0064017D" w:rsidRPr="0064017D" w:rsidRDefault="0064017D" w:rsidP="0064017D">
      <w:pPr>
        <w:pStyle w:val="NormalWeb"/>
        <w:spacing w:before="0" w:beforeAutospacing="0" w:after="0" w:afterAutospacing="0" w:line="480" w:lineRule="auto"/>
        <w:ind w:left="720" w:hanging="720"/>
      </w:pPr>
      <w:r>
        <w:t xml:space="preserve">Costa, Vincent D., Dal Monte, O., Lucas, Daniel R., Murray, Elisabeth A., &amp; Averbeck, Bruno B. (2016). Amygdala and Ventral Striatum Make Distinct Contributions to </w:t>
      </w:r>
      <w:r>
        <w:lastRenderedPageBreak/>
        <w:t xml:space="preserve">Reinforcement Learning. </w:t>
      </w:r>
      <w:r>
        <w:rPr>
          <w:i/>
          <w:iCs/>
        </w:rPr>
        <w:t>Neuron</w:t>
      </w:r>
      <w:r>
        <w:t xml:space="preserve">, </w:t>
      </w:r>
      <w:r>
        <w:rPr>
          <w:i/>
          <w:iCs/>
        </w:rPr>
        <w:t>92</w:t>
      </w:r>
      <w:r>
        <w:t>(2), 505–517. https://doi.org/10.1016/j.neuron.2016.09.025</w:t>
      </w:r>
    </w:p>
    <w:p w14:paraId="4EE77C07" w14:textId="77777777" w:rsidR="0064017D" w:rsidRPr="0064017D" w:rsidRDefault="0064017D" w:rsidP="0064017D">
      <w:pPr>
        <w:pStyle w:val="NormalWeb"/>
        <w:spacing w:before="0" w:beforeAutospacing="0" w:after="0" w:afterAutospacing="0" w:line="480" w:lineRule="auto"/>
        <w:ind w:left="720" w:hanging="720"/>
      </w:pPr>
      <w:r>
        <w:t xml:space="preserve">Dyck, S., &amp; Klaes, C. (2024). Training-related changes in neural beta oscillations associated with implicit and explicit motor sequence learning. </w:t>
      </w:r>
      <w:r>
        <w:rPr>
          <w:i/>
          <w:iCs/>
        </w:rPr>
        <w:t>Scientific Reports</w:t>
      </w:r>
      <w:r>
        <w:t xml:space="preserve">, </w:t>
      </w:r>
      <w:r>
        <w:rPr>
          <w:i/>
          <w:iCs/>
        </w:rPr>
        <w:t>14</w:t>
      </w:r>
      <w:r>
        <w:t>(1). https://doi.org/10.1038/s41598-024-57285-7</w:t>
      </w:r>
    </w:p>
    <w:p w14:paraId="218DEA11" w14:textId="77777777" w:rsidR="0064017D" w:rsidRPr="0064017D" w:rsidRDefault="0064017D" w:rsidP="0064017D">
      <w:pPr>
        <w:pStyle w:val="NormalWeb"/>
        <w:spacing w:before="0" w:beforeAutospacing="0" w:after="0" w:afterAutospacing="0" w:line="480" w:lineRule="auto"/>
        <w:ind w:left="720" w:hanging="720"/>
      </w:pPr>
      <w:r>
        <w:t xml:space="preserve">Ferree, T. C., Luu, P., Russell, G. S., &amp; Tucker, D. M. (2001). Scalp electrode impedance, infection risk, and EEG data quality. </w:t>
      </w:r>
      <w:r>
        <w:rPr>
          <w:i/>
          <w:iCs/>
        </w:rPr>
        <w:t>Clinical Neurophysiology</w:t>
      </w:r>
      <w:r>
        <w:t xml:space="preserve">, </w:t>
      </w:r>
      <w:r>
        <w:rPr>
          <w:i/>
          <w:iCs/>
        </w:rPr>
        <w:t>112</w:t>
      </w:r>
      <w:r>
        <w:t>(3), 536–544. https://doi.org/10.1016/s1388-2457(00)00533-2</w:t>
      </w:r>
    </w:p>
    <w:p w14:paraId="5C5959A1" w14:textId="77777777" w:rsidR="0064017D" w:rsidRPr="0064017D" w:rsidRDefault="0064017D" w:rsidP="0064017D">
      <w:pPr>
        <w:pStyle w:val="NormalWeb"/>
        <w:spacing w:before="0" w:beforeAutospacing="0" w:after="0" w:afterAutospacing="0" w:line="480" w:lineRule="auto"/>
        <w:ind w:left="720" w:hanging="720"/>
      </w:pPr>
      <w:r>
        <w:t xml:space="preserve">Fren T.Y. Smulders, Sanne ten Oever, Franc, Conny W.E.M. Quaedflieg, &amp; Vincent. (2018). Single-trial log transformation is optimal in frequency analysis of resting EEG alpha. </w:t>
      </w:r>
      <w:r>
        <w:rPr>
          <w:i/>
          <w:iCs/>
        </w:rPr>
        <w:t>European Journal of Neuroscience</w:t>
      </w:r>
      <w:r>
        <w:t xml:space="preserve">, </w:t>
      </w:r>
      <w:r>
        <w:rPr>
          <w:i/>
          <w:iCs/>
        </w:rPr>
        <w:t>48</w:t>
      </w:r>
      <w:r>
        <w:t>(7), 2585–2598. https://doi.org/10.1111/ejn.13854</w:t>
      </w:r>
    </w:p>
    <w:p w14:paraId="6AD04BF4" w14:textId="77777777" w:rsidR="0064017D" w:rsidRPr="0064017D" w:rsidRDefault="0064017D" w:rsidP="0064017D">
      <w:pPr>
        <w:pStyle w:val="NormalWeb"/>
        <w:spacing w:before="0" w:beforeAutospacing="0" w:after="0" w:afterAutospacing="0" w:line="480" w:lineRule="auto"/>
        <w:ind w:left="720" w:hanging="720"/>
      </w:pPr>
      <w:r>
        <w:t xml:space="preserve">Gramfort, A. (2013). MEG and EEG data analysis with MNE-Python. </w:t>
      </w:r>
      <w:r>
        <w:rPr>
          <w:i/>
          <w:iCs/>
        </w:rPr>
        <w:t>Frontiers in Neuroscience</w:t>
      </w:r>
      <w:r>
        <w:t xml:space="preserve">, </w:t>
      </w:r>
      <w:r>
        <w:rPr>
          <w:i/>
          <w:iCs/>
        </w:rPr>
        <w:t>7</w:t>
      </w:r>
      <w:r>
        <w:t>. https://doi.org/10.3389/fnins.2013.00267</w:t>
      </w:r>
    </w:p>
    <w:p w14:paraId="53FEC102" w14:textId="77777777" w:rsidR="0064017D" w:rsidRPr="0064017D" w:rsidRDefault="0064017D" w:rsidP="0064017D">
      <w:pPr>
        <w:pStyle w:val="NormalWeb"/>
        <w:spacing w:before="0" w:beforeAutospacing="0" w:after="0" w:afterAutospacing="0" w:line="480" w:lineRule="auto"/>
        <w:ind w:left="720" w:hanging="720"/>
      </w:pPr>
      <w:r>
        <w:t xml:space="preserve">Haegens, S., Cousijn, H., Wallis, G., Harrison, P. J., &amp; Nobre, A. C. (2014). Inter- and intra-individual variability in alpha peak frequency. </w:t>
      </w:r>
      <w:r>
        <w:rPr>
          <w:i/>
          <w:iCs/>
        </w:rPr>
        <w:t>NeuroImage</w:t>
      </w:r>
      <w:r>
        <w:t xml:space="preserve">, </w:t>
      </w:r>
      <w:r>
        <w:rPr>
          <w:i/>
          <w:iCs/>
        </w:rPr>
        <w:t>92</w:t>
      </w:r>
      <w:r>
        <w:t>, 46–55. https://doi.org/10.1016/j.neuroimage.2014.01.049</w:t>
      </w:r>
    </w:p>
    <w:p w14:paraId="6F3F3CD2" w14:textId="77777777" w:rsidR="0064017D" w:rsidRPr="0064017D" w:rsidRDefault="0064017D" w:rsidP="0064017D">
      <w:pPr>
        <w:pStyle w:val="NormalWeb"/>
        <w:spacing w:before="0" w:beforeAutospacing="0" w:after="0" w:afterAutospacing="0" w:line="480" w:lineRule="auto"/>
        <w:ind w:left="720" w:hanging="720"/>
      </w:pPr>
      <w:r>
        <w:t xml:space="preserve">HajiHosseini, A., &amp; Hutcherson, C. A. (2021). Alpha oscillations and event-related potentials reflect distinct dynamics of attribute construction and evidence accumulation in dietary decision making. </w:t>
      </w:r>
      <w:r>
        <w:rPr>
          <w:i/>
          <w:iCs/>
        </w:rPr>
        <w:t>ELife</w:t>
      </w:r>
      <w:r>
        <w:t xml:space="preserve">, </w:t>
      </w:r>
      <w:r>
        <w:rPr>
          <w:i/>
          <w:iCs/>
        </w:rPr>
        <w:t>10</w:t>
      </w:r>
      <w:r>
        <w:t>. https://doi.org/10.7554/elife.60874</w:t>
      </w:r>
    </w:p>
    <w:p w14:paraId="680D2EFC" w14:textId="77777777" w:rsidR="0064017D" w:rsidRPr="0064017D" w:rsidRDefault="0064017D" w:rsidP="0064017D">
      <w:pPr>
        <w:pStyle w:val="NormalWeb"/>
        <w:spacing w:before="0" w:beforeAutospacing="0" w:after="0" w:afterAutospacing="0" w:line="480" w:lineRule="auto"/>
        <w:ind w:left="720" w:hanging="720"/>
      </w:pPr>
      <w:r>
        <w:t xml:space="preserve">Haufe, S., Meinecke, F. C., Görgen, K., Sven Dähne, Haynes, J.-D., Blankertz, B., &amp; Bießmann, F. (2014). On the interpretation of weight vectors of linear models in multivariate neuroimaging. </w:t>
      </w:r>
      <w:r>
        <w:rPr>
          <w:i/>
          <w:iCs/>
        </w:rPr>
        <w:t>NeuroImage</w:t>
      </w:r>
      <w:r>
        <w:t xml:space="preserve">, </w:t>
      </w:r>
      <w:r>
        <w:rPr>
          <w:i/>
          <w:iCs/>
        </w:rPr>
        <w:t>87</w:t>
      </w:r>
      <w:r>
        <w:t>, 96–110. https://doi.org/10.1016/j.neuroimage.2013.10.067</w:t>
      </w:r>
    </w:p>
    <w:p w14:paraId="5CD06C8F" w14:textId="77777777" w:rsidR="0064017D" w:rsidRPr="0064017D" w:rsidRDefault="0064017D" w:rsidP="0064017D">
      <w:pPr>
        <w:pStyle w:val="NormalWeb"/>
        <w:spacing w:before="0" w:beforeAutospacing="0" w:after="0" w:afterAutospacing="0" w:line="480" w:lineRule="auto"/>
        <w:ind w:left="720" w:hanging="720"/>
      </w:pPr>
      <w:r>
        <w:lastRenderedPageBreak/>
        <w:t xml:space="preserve">Haxby, J. V., Connolly, A. C., &amp; Guntupalli, J. S. (2014). Decoding Neural Representational Spaces Using Multivariate Pattern Analysis. </w:t>
      </w:r>
      <w:r>
        <w:rPr>
          <w:i/>
          <w:iCs/>
        </w:rPr>
        <w:t>Annual Review of Neuroscience</w:t>
      </w:r>
      <w:r>
        <w:t xml:space="preserve">, </w:t>
      </w:r>
      <w:r>
        <w:rPr>
          <w:i/>
          <w:iCs/>
        </w:rPr>
        <w:t>37</w:t>
      </w:r>
      <w:r>
        <w:t>(1), 435–456. https://doi.org/10.1146/annurev-neuro-062012-170325</w:t>
      </w:r>
    </w:p>
    <w:p w14:paraId="42E1A32F" w14:textId="77777777" w:rsidR="0064017D" w:rsidRPr="0064017D" w:rsidRDefault="0064017D" w:rsidP="0064017D">
      <w:pPr>
        <w:pStyle w:val="NormalWeb"/>
        <w:spacing w:before="0" w:beforeAutospacing="0" w:after="0" w:afterAutospacing="0" w:line="480" w:lineRule="auto"/>
        <w:ind w:left="720" w:hanging="720"/>
      </w:pPr>
      <w:r>
        <w:t xml:space="preserve">King, J-R., &amp; Dehaene, S. (2014). Characterizing the dynamics of mental representations: the temporal generalization method. </w:t>
      </w:r>
      <w:r>
        <w:rPr>
          <w:i/>
          <w:iCs/>
        </w:rPr>
        <w:t>Trends in Cognitive Sciences</w:t>
      </w:r>
      <w:r>
        <w:t xml:space="preserve">, </w:t>
      </w:r>
      <w:r>
        <w:rPr>
          <w:i/>
          <w:iCs/>
        </w:rPr>
        <w:t>18</w:t>
      </w:r>
      <w:r>
        <w:t>(4), 203–210. https://doi.org/10.1016/j.tics.2014.01.002</w:t>
      </w:r>
    </w:p>
    <w:p w14:paraId="653E17DD" w14:textId="77777777" w:rsidR="0064017D" w:rsidRPr="0064017D" w:rsidRDefault="0064017D" w:rsidP="0064017D">
      <w:pPr>
        <w:pStyle w:val="NormalWeb"/>
        <w:spacing w:before="0" w:beforeAutospacing="0" w:after="0" w:afterAutospacing="0" w:line="480" w:lineRule="auto"/>
        <w:ind w:left="720" w:hanging="720"/>
      </w:pPr>
      <w:r>
        <w:t xml:space="preserve">Klimesch, W. (2012). Alpha-band oscillations, attention, and controlled access to stored information. </w:t>
      </w:r>
      <w:r>
        <w:rPr>
          <w:i/>
          <w:iCs/>
        </w:rPr>
        <w:t>Trends in Cognitive Sciences</w:t>
      </w:r>
      <w:r>
        <w:t xml:space="preserve">, </w:t>
      </w:r>
      <w:r>
        <w:rPr>
          <w:i/>
          <w:iCs/>
        </w:rPr>
        <w:t>16</w:t>
      </w:r>
      <w:r>
        <w:t>(12), 606–617. https://doi.org/10.1016/j.tics.2012.10.007</w:t>
      </w:r>
    </w:p>
    <w:p w14:paraId="1A2678AA" w14:textId="77777777" w:rsidR="0064017D" w:rsidRPr="0064017D" w:rsidRDefault="0064017D" w:rsidP="0064017D">
      <w:pPr>
        <w:pStyle w:val="NormalWeb"/>
        <w:spacing w:before="0" w:beforeAutospacing="0" w:after="0" w:afterAutospacing="0" w:line="480" w:lineRule="auto"/>
        <w:ind w:left="720" w:hanging="720"/>
      </w:pPr>
      <w:r>
        <w:t xml:space="preserve">Knyazev, G. G., Savostyanov, A. N., &amp; Levin, E. A. (2004). Alpha oscillations as a correlate of trait anxiety. </w:t>
      </w:r>
      <w:r>
        <w:rPr>
          <w:i/>
          <w:iCs/>
        </w:rPr>
        <w:t>International Journal of Psychophysiology</w:t>
      </w:r>
      <w:r>
        <w:t xml:space="preserve">, </w:t>
      </w:r>
      <w:r>
        <w:rPr>
          <w:i/>
          <w:iCs/>
        </w:rPr>
        <w:t>53</w:t>
      </w:r>
      <w:r>
        <w:t>(2), 147–160. https://doi.org/10.1016/j.ijpsycho.2004.03.001</w:t>
      </w:r>
    </w:p>
    <w:p w14:paraId="50EFE381" w14:textId="77777777" w:rsidR="0064017D" w:rsidRPr="0064017D" w:rsidRDefault="0064017D" w:rsidP="0064017D">
      <w:pPr>
        <w:pStyle w:val="NormalWeb"/>
        <w:spacing w:before="0" w:beforeAutospacing="0" w:after="0" w:afterAutospacing="0" w:line="480" w:lineRule="auto"/>
        <w:ind w:left="720" w:hanging="720"/>
      </w:pPr>
      <w:r>
        <w:t xml:space="preserve">Leuthardt, E. C., Schalk, G., Wolpaw, J. R., Ojemann, J. G., &amp; Moran, D. W. (2004). A brain–computer interface using electrocorticographic signals in humans. </w:t>
      </w:r>
      <w:r>
        <w:rPr>
          <w:i/>
          <w:iCs/>
        </w:rPr>
        <w:t>Journal of Neural Engineering</w:t>
      </w:r>
      <w:r>
        <w:t xml:space="preserve">, </w:t>
      </w:r>
      <w:r>
        <w:rPr>
          <w:i/>
          <w:iCs/>
        </w:rPr>
        <w:t>1</w:t>
      </w:r>
      <w:r>
        <w:t>(2), 63–71. https://doi.org/10.1088/1741-2560/1/2/001</w:t>
      </w:r>
    </w:p>
    <w:p w14:paraId="1DF7AC39" w14:textId="77777777" w:rsidR="0064017D" w:rsidRPr="0064017D" w:rsidRDefault="0064017D" w:rsidP="0064017D">
      <w:pPr>
        <w:pStyle w:val="NormalWeb"/>
        <w:spacing w:before="0" w:beforeAutospacing="0" w:after="0" w:afterAutospacing="0" w:line="480" w:lineRule="auto"/>
        <w:ind w:left="720" w:hanging="720"/>
      </w:pPr>
      <w:r>
        <w:t xml:space="preserve">Perruchet, P. (2015). Dissociating conscious expectancies from automatic link formation in associative learning: A review on the so-called Perruchet effect. </w:t>
      </w:r>
      <w:r>
        <w:rPr>
          <w:i/>
          <w:iCs/>
        </w:rPr>
        <w:t>Journal of Experimental Psychology: Animal Learning and Cognition</w:t>
      </w:r>
      <w:r>
        <w:t xml:space="preserve">, </w:t>
      </w:r>
      <w:r>
        <w:rPr>
          <w:i/>
          <w:iCs/>
        </w:rPr>
        <w:t>41</w:t>
      </w:r>
      <w:r>
        <w:t>(2), 105–127. https://doi.org/10.1037/xan0000060</w:t>
      </w:r>
    </w:p>
    <w:p w14:paraId="4196D0D0" w14:textId="77777777" w:rsidR="0064017D" w:rsidRPr="0064017D" w:rsidRDefault="0064017D" w:rsidP="0064017D">
      <w:pPr>
        <w:pStyle w:val="NormalWeb"/>
        <w:spacing w:before="0" w:beforeAutospacing="0" w:after="0" w:afterAutospacing="0" w:line="480" w:lineRule="auto"/>
        <w:ind w:left="720" w:hanging="720"/>
      </w:pPr>
      <w:r>
        <w:t xml:space="preserve">Pike, A. C., &amp; Robinson, O. J. (2022). Reinforcement Learning in Patients With Mood and Anxiety Disorders vs Control Individuals. </w:t>
      </w:r>
      <w:r>
        <w:rPr>
          <w:i/>
          <w:iCs/>
        </w:rPr>
        <w:t>JAMA Psychiatry</w:t>
      </w:r>
      <w:r>
        <w:t xml:space="preserve">, </w:t>
      </w:r>
      <w:r>
        <w:rPr>
          <w:i/>
          <w:iCs/>
        </w:rPr>
        <w:t>79</w:t>
      </w:r>
      <w:r>
        <w:t>(4). https://doi.org/10.1001/jamapsychiatry.2022.0051</w:t>
      </w:r>
    </w:p>
    <w:p w14:paraId="51D587B0" w14:textId="77777777" w:rsidR="0064017D" w:rsidRPr="0064017D" w:rsidRDefault="0064017D" w:rsidP="0064017D">
      <w:pPr>
        <w:pStyle w:val="NormalWeb"/>
        <w:spacing w:before="0" w:beforeAutospacing="0" w:after="0" w:afterAutospacing="0" w:line="480" w:lineRule="auto"/>
        <w:ind w:left="720" w:hanging="720"/>
      </w:pPr>
      <w:r>
        <w:t xml:space="preserve">Raffaelli, Q., Mills, C., &amp; Christoff, K. (2017). The knowns and unknowns of boredom: a review of the literature. </w:t>
      </w:r>
      <w:r>
        <w:rPr>
          <w:i/>
          <w:iCs/>
        </w:rPr>
        <w:t>Experimental Brain Research</w:t>
      </w:r>
      <w:r>
        <w:t xml:space="preserve">, </w:t>
      </w:r>
      <w:r>
        <w:rPr>
          <w:i/>
          <w:iCs/>
        </w:rPr>
        <w:t>236</w:t>
      </w:r>
      <w:r>
        <w:t>(9), 2451–2462. https://doi.org/10.1007/s00221-017-4922-7</w:t>
      </w:r>
    </w:p>
    <w:p w14:paraId="07C359C3" w14:textId="77777777" w:rsidR="0064017D" w:rsidRPr="0064017D" w:rsidRDefault="0064017D" w:rsidP="0064017D">
      <w:pPr>
        <w:pStyle w:val="NormalWeb"/>
        <w:spacing w:before="0" w:beforeAutospacing="0" w:after="0" w:afterAutospacing="0" w:line="480" w:lineRule="auto"/>
        <w:ind w:left="720" w:hanging="720"/>
      </w:pPr>
      <w:r>
        <w:lastRenderedPageBreak/>
        <w:t xml:space="preserve">Riels, K., Ramos Campagnoli, R., Thigpen, N., &amp; Keil, A. (2021). Oscillatory brain activity links experience to expectancy during associative learning. </w:t>
      </w:r>
      <w:r>
        <w:rPr>
          <w:i/>
          <w:iCs/>
        </w:rPr>
        <w:t>Psychophysiology</w:t>
      </w:r>
      <w:r>
        <w:t xml:space="preserve">, </w:t>
      </w:r>
      <w:r>
        <w:rPr>
          <w:i/>
          <w:iCs/>
        </w:rPr>
        <w:t>59</w:t>
      </w:r>
      <w:r>
        <w:t>(5). https://doi.org/10.1111/psyp.13946</w:t>
      </w:r>
    </w:p>
    <w:p w14:paraId="6C5733C0" w14:textId="77777777" w:rsidR="0064017D" w:rsidRPr="0064017D" w:rsidRDefault="0064017D" w:rsidP="0064017D">
      <w:pPr>
        <w:pStyle w:val="NormalWeb"/>
        <w:spacing w:before="0" w:beforeAutospacing="0" w:after="0" w:afterAutospacing="0" w:line="480" w:lineRule="auto"/>
        <w:ind w:left="720" w:hanging="720"/>
      </w:pPr>
      <w:r>
        <w:t xml:space="preserve">Rodriguez, P. F., Aron, A. R., &amp; Poldrack, R. A. (2006). Ventral–striatal/nucleus–accumbens sensitivity to prediction errors during classification learning. </w:t>
      </w:r>
      <w:r>
        <w:rPr>
          <w:i/>
          <w:iCs/>
        </w:rPr>
        <w:t>Human Brain Mapping</w:t>
      </w:r>
      <w:r>
        <w:t xml:space="preserve">, </w:t>
      </w:r>
      <w:r>
        <w:rPr>
          <w:i/>
          <w:iCs/>
        </w:rPr>
        <w:t>27</w:t>
      </w:r>
      <w:r>
        <w:t>(4), 306–313. https://doi.org/10.1002/hbm.20186</w:t>
      </w:r>
    </w:p>
    <w:p w14:paraId="68694981" w14:textId="77777777" w:rsidR="0064017D" w:rsidRPr="0064017D" w:rsidRDefault="0064017D" w:rsidP="0064017D">
      <w:pPr>
        <w:pStyle w:val="NormalWeb"/>
        <w:spacing w:before="0" w:beforeAutospacing="0" w:after="0" w:afterAutospacing="0" w:line="480" w:lineRule="auto"/>
        <w:ind w:left="720" w:hanging="720"/>
      </w:pPr>
      <w:r>
        <w:t xml:space="preserve">Sprevak, M., &amp; Smith, R. (2023). An Introduction to Predictive Processing Models of Perception and Decision‐Making. </w:t>
      </w:r>
      <w:r>
        <w:rPr>
          <w:i/>
          <w:iCs/>
        </w:rPr>
        <w:t>Topics in Cognitive Science</w:t>
      </w:r>
      <w:r>
        <w:t>. https://doi.org/10.1111/tops.12704</w:t>
      </w:r>
    </w:p>
    <w:p w14:paraId="2A35C457" w14:textId="77777777" w:rsidR="0064017D" w:rsidRPr="0064017D" w:rsidRDefault="0064017D" w:rsidP="0064017D">
      <w:pPr>
        <w:pStyle w:val="NormalWeb"/>
        <w:spacing w:before="0" w:beforeAutospacing="0" w:after="0" w:afterAutospacing="0" w:line="480" w:lineRule="auto"/>
        <w:ind w:left="720" w:hanging="720"/>
      </w:pPr>
      <w:r>
        <w:t xml:space="preserve">Tran, Y., Craig, A., Craig, R., Chai, R., &amp; Nguyen, H. (2020). The influence of mental fatigue on brain activity: Evidence from a systematic review with meta‐analyses. </w:t>
      </w:r>
      <w:r>
        <w:rPr>
          <w:i/>
          <w:iCs/>
        </w:rPr>
        <w:t>Psychophysiology</w:t>
      </w:r>
      <w:r>
        <w:t xml:space="preserve">, </w:t>
      </w:r>
      <w:r>
        <w:rPr>
          <w:i/>
          <w:iCs/>
        </w:rPr>
        <w:t>57</w:t>
      </w:r>
      <w:r>
        <w:t>(5). https://doi.org/10.1111/psyp.13554</w:t>
      </w:r>
    </w:p>
    <w:p w14:paraId="6BB9F55A" w14:textId="77777777" w:rsidR="0064017D" w:rsidRPr="0064017D" w:rsidRDefault="0064017D" w:rsidP="0064017D">
      <w:pPr>
        <w:pStyle w:val="NormalWeb"/>
        <w:spacing w:before="0" w:beforeAutospacing="0" w:after="0" w:afterAutospacing="0" w:line="480" w:lineRule="auto"/>
        <w:ind w:left="720" w:hanging="720"/>
      </w:pPr>
      <w:r>
        <w:t xml:space="preserve">Weaverdyck, M. E., Lieberman, M. D., &amp; Parkinson, C. (2020). Tools of the Trade Multivoxel pattern analysis in fMRI: a practical introduction for social and affective neuroscientists. </w:t>
      </w:r>
      <w:r>
        <w:rPr>
          <w:i/>
          <w:iCs/>
        </w:rPr>
        <w:t>Social Cognitive and Affective Neuroscience</w:t>
      </w:r>
      <w:r>
        <w:t xml:space="preserve">, </w:t>
      </w:r>
      <w:r>
        <w:rPr>
          <w:i/>
          <w:iCs/>
        </w:rPr>
        <w:t>15</w:t>
      </w:r>
      <w:r>
        <w:t>(4), 487–509. https://doi.org/10.1093/scan/nsaa057</w:t>
      </w:r>
    </w:p>
    <w:p w14:paraId="58065CEE" w14:textId="77777777" w:rsidR="0064017D" w:rsidRPr="0064017D" w:rsidRDefault="0064017D" w:rsidP="0064017D">
      <w:pPr>
        <w:pStyle w:val="NormalWeb"/>
        <w:spacing w:before="0" w:beforeAutospacing="0" w:after="0" w:afterAutospacing="0" w:line="480" w:lineRule="auto"/>
        <w:ind w:left="720" w:hanging="720"/>
      </w:pPr>
      <w:r>
        <w:t xml:space="preserve">Widmann, A., Schröger, E., &amp; Maess, B. (2015). Digital filter design for electrophysiological data – a practical approach. </w:t>
      </w:r>
      <w:r>
        <w:rPr>
          <w:i/>
          <w:iCs/>
        </w:rPr>
        <w:t>Journal of Neuroscience Methods</w:t>
      </w:r>
      <w:r>
        <w:t xml:space="preserve">, </w:t>
      </w:r>
      <w:r>
        <w:rPr>
          <w:i/>
          <w:iCs/>
        </w:rPr>
        <w:t>250</w:t>
      </w:r>
      <w:r>
        <w:t>, 34–46. https://doi.org/10.1016/j.jneumeth.2014.08.002</w:t>
      </w:r>
    </w:p>
    <w:p w14:paraId="0727EB35" w14:textId="77777777" w:rsidR="0064017D" w:rsidRPr="0064017D" w:rsidRDefault="0064017D" w:rsidP="0064017D">
      <w:pPr>
        <w:pStyle w:val="NormalWeb"/>
        <w:spacing w:before="0" w:beforeAutospacing="0" w:after="0" w:afterAutospacing="0" w:line="480" w:lineRule="auto"/>
        <w:ind w:left="720" w:hanging="720"/>
      </w:pPr>
      <w:r>
        <w:t xml:space="preserve">Zhang, L., &amp; Gläscher, J. (2020). A brain network supporting social influences in human decision-making. </w:t>
      </w:r>
      <w:r>
        <w:rPr>
          <w:i/>
          <w:iCs/>
        </w:rPr>
        <w:t>Science Advances</w:t>
      </w:r>
      <w:r>
        <w:t xml:space="preserve">, </w:t>
      </w:r>
      <w:r>
        <w:rPr>
          <w:i/>
          <w:iCs/>
        </w:rPr>
        <w:t>6</w:t>
      </w:r>
      <w:r>
        <w:t>(34), eabb4159. https://doi.org/10.1126/sciadv.abb4159</w:t>
      </w:r>
    </w:p>
    <w:p w14:paraId="21771471" w14:textId="77777777" w:rsidR="0074588D" w:rsidRPr="0064017D" w:rsidRDefault="0074588D" w:rsidP="0074588D">
      <w:pPr>
        <w:rPr>
          <w:rFonts w:ascii="Times New Roman" w:hAnsi="Times New Roman" w:cs="Times New Roman"/>
        </w:rPr>
      </w:pPr>
    </w:p>
    <w:p w14:paraId="7057F1C3" w14:textId="77777777" w:rsidR="0074588D" w:rsidRPr="0064017D" w:rsidRDefault="0074588D" w:rsidP="0074588D">
      <w:pPr>
        <w:pStyle w:val="Heading1"/>
        <w:rPr>
          <w:rFonts w:ascii="Times New Roman" w:hAnsi="Times New Roman" w:cs="Times New Roman"/>
        </w:rPr>
      </w:pPr>
      <w:r>
        <w:rPr>
          <w:rFonts w:ascii="Times New Roman" w:hAnsi="Times New Roman" w:cs="Times New Roman"/>
        </w:rPr>
        <w:lastRenderedPageBreak/>
        <w:t>Appendix</w:t>
      </w:r>
    </w:p>
    <w:p w14:paraId="78E2C750" w14:textId="77777777" w:rsidR="0074588D" w:rsidRPr="0064017D" w:rsidRDefault="0074588D" w:rsidP="000F7100">
      <w:pPr>
        <w:rPr>
          <w:rFonts w:ascii="Times New Roman" w:hAnsi="Times New Roman" w:cs="Times New Roman"/>
          <w:spacing w:val="1"/>
        </w:rPr>
      </w:pPr>
      <w:r>
        <w:rPr>
          <w:rFonts w:ascii="Times New Roman" w:hAnsi="Times New Roman" w:cs="Times New Roman"/>
          <w:spacing w:val="1"/>
        </w:rPr>
        <w:t xml:space="preserve">All participants must: </w:t>
      </w:r>
    </w:p>
    <w:p w14:paraId="2F054379" w14:textId="77777777" w:rsidR="0074588D" w:rsidRPr="0064017D" w:rsidRDefault="0074588D" w:rsidP="000F7100">
      <w:pPr>
        <w:rPr>
          <w:rFonts w:ascii="Times New Roman" w:hAnsi="Times New Roman" w:cs="Times New Roman"/>
          <w:spacing w:val="1"/>
        </w:rPr>
      </w:pPr>
      <w:r>
        <w:rPr>
          <w:rFonts w:ascii="Times New Roman" w:hAnsi="Times New Roman" w:cs="Times New Roman"/>
          <w:spacing w:val="1"/>
        </w:rPr>
        <w:t xml:space="preserve">1. Be aged between 18 and 55 years of age. </w:t>
      </w:r>
    </w:p>
    <w:p w14:paraId="77FA32B9" w14:textId="77777777" w:rsidR="0074588D" w:rsidRPr="0064017D" w:rsidRDefault="0074588D" w:rsidP="000F7100">
      <w:pPr>
        <w:rPr>
          <w:rFonts w:ascii="Times New Roman" w:hAnsi="Times New Roman" w:cs="Times New Roman"/>
          <w:spacing w:val="1"/>
        </w:rPr>
      </w:pPr>
      <w:r>
        <w:rPr>
          <w:rFonts w:ascii="Times New Roman" w:hAnsi="Times New Roman" w:cs="Times New Roman"/>
          <w:spacing w:val="1"/>
        </w:rPr>
        <w:t xml:space="preserve">2. Have a high level of trait anxiety, as assessed using the trait component of the self-report State Trait Inventory of Cognitive and Somatic Anxiety (STICSA). The threshold for inclusion will be a score of 42 or higher. This threshold will be applied to both healthy individuals and participants that will have a current or previous clinical diagnosis of an anxiety and/or mood disorder. </w:t>
      </w:r>
    </w:p>
    <w:p w14:paraId="5478E522" w14:textId="77777777" w:rsidR="0074588D" w:rsidRPr="0064017D" w:rsidRDefault="0074588D" w:rsidP="0074588D">
      <w:pPr>
        <w:ind w:firstLine="720"/>
        <w:rPr>
          <w:rFonts w:ascii="Times New Roman" w:hAnsi="Times New Roman" w:cs="Times New Roman"/>
          <w:spacing w:val="1"/>
        </w:rPr>
      </w:pPr>
      <w:r>
        <w:rPr>
          <w:rFonts w:ascii="Times New Roman" w:hAnsi="Times New Roman" w:cs="Times New Roman"/>
          <w:spacing w:val="1"/>
        </w:rPr>
        <w:t xml:space="preserve">3. Be physically healthy, defined as having not clinically relevant abnormalities identified by a detailed medical history and full examination including blood pressure and pulse rate measurement, 12-lead ECG and clinical laboratory test. </w:t>
      </w:r>
    </w:p>
    <w:p w14:paraId="3CFB21D8" w14:textId="77777777" w:rsidR="0074588D" w:rsidRPr="0064017D" w:rsidRDefault="0074588D" w:rsidP="0074588D">
      <w:pPr>
        <w:ind w:firstLine="720"/>
        <w:rPr>
          <w:rFonts w:ascii="Times New Roman" w:hAnsi="Times New Roman" w:cs="Times New Roman"/>
          <w:spacing w:val="1"/>
        </w:rPr>
      </w:pPr>
      <w:r>
        <w:rPr>
          <w:rFonts w:ascii="Times New Roman" w:hAnsi="Times New Roman" w:cs="Times New Roman"/>
          <w:spacing w:val="1"/>
        </w:rPr>
        <w:t xml:space="preserve">4. Have sufficient language skills to complete validated questionnaires and cognitive tasks. </w:t>
      </w:r>
    </w:p>
    <w:p w14:paraId="094E22CE" w14:textId="77777777" w:rsidR="0074588D" w:rsidRPr="0064017D" w:rsidRDefault="0074588D" w:rsidP="0074588D">
      <w:pPr>
        <w:ind w:firstLine="720"/>
        <w:rPr>
          <w:rFonts w:ascii="Times New Roman" w:hAnsi="Times New Roman" w:cs="Times New Roman"/>
          <w:spacing w:val="1"/>
        </w:rPr>
      </w:pPr>
      <w:r>
        <w:rPr>
          <w:rFonts w:ascii="Times New Roman" w:hAnsi="Times New Roman" w:cs="Times New Roman"/>
          <w:spacing w:val="1"/>
        </w:rPr>
        <w:t xml:space="preserve">5. Provide a personally signed and dated informed consent document indicating that the participant has been informed of and agrees to comply with all aspects of the study. </w:t>
      </w:r>
    </w:p>
    <w:p w14:paraId="1599E951" w14:textId="77777777" w:rsidR="0074588D" w:rsidRPr="0064017D" w:rsidRDefault="0074588D" w:rsidP="0074588D">
      <w:pPr>
        <w:ind w:firstLine="720"/>
        <w:rPr>
          <w:rFonts w:ascii="Times New Roman" w:hAnsi="Times New Roman" w:cs="Times New Roman"/>
          <w:spacing w:val="1"/>
        </w:rPr>
      </w:pPr>
      <w:r>
        <w:rPr>
          <w:rFonts w:ascii="Times New Roman" w:hAnsi="Times New Roman" w:cs="Times New Roman"/>
          <w:spacing w:val="1"/>
        </w:rPr>
        <w:t xml:space="preserve">6. Be willing and able to comply with scheduled visits, dosing plan, laboratory trials and any other necessary procedures. </w:t>
      </w:r>
    </w:p>
    <w:p w14:paraId="4C988FE8" w14:textId="77777777" w:rsidR="0074588D" w:rsidRPr="0064017D" w:rsidRDefault="0074588D" w:rsidP="0074588D">
      <w:pPr>
        <w:ind w:firstLine="720"/>
        <w:rPr>
          <w:rFonts w:ascii="Times New Roman" w:hAnsi="Times New Roman" w:cs="Times New Roman"/>
        </w:rPr>
      </w:pPr>
      <w:r>
        <w:rPr>
          <w:rFonts w:ascii="Times New Roman" w:hAnsi="Times New Roman" w:cs="Times New Roman"/>
          <w:spacing w:val="1"/>
        </w:rPr>
        <w:t xml:space="preserve">7. Agree to use a medically accepted and highly effective method of contraception throughout the study, if of childbearing potential. </w:t>
      </w:r>
    </w:p>
    <w:p w14:paraId="13D59C10"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All participants must not:</w:t>
      </w:r>
    </w:p>
    <w:p w14:paraId="04D0D10E"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 Have a current or previously diagnosed psychotic disorder or personality disorder, based on the determination of the investigators.</w:t>
      </w:r>
    </w:p>
    <w:p w14:paraId="59F0C540"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 Have scored 70 or lower in the WASI at the screening visit.</w:t>
      </w:r>
    </w:p>
    <w:p w14:paraId="04CC06D0"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lastRenderedPageBreak/>
        <w:t>3. Have a medically significant condition which renders them unsuitable for the study (e.g., diabetes, severe cardiovascular disease, severe respiratory disease (e.g. COPD), hepatic or renal failure etc.).</w:t>
      </w:r>
    </w:p>
    <w:p w14:paraId="222E15E2"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4. Have a diagnosis of epilepsy, or a family history of epilepsy or seizures.</w:t>
      </w:r>
    </w:p>
    <w:p w14:paraId="5D0A3B0B"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5. Be pregnant or breastfeeding. Participants of childbearing potential must have a negative pregnancy test at screening and at all subsequent drug sessions.</w:t>
      </w:r>
    </w:p>
    <w:p w14:paraId="6C87FAD2"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 xml:space="preserve">6. Currently consume alcohol </w:t>
      </w:r>
      <w:proofErr w:type="gramStart"/>
      <w:r>
        <w:rPr>
          <w:rFonts w:ascii="Times New Roman" w:hAnsi="Times New Roman"/>
          <w:sz w:val="24"/>
          <w:szCs w:val="24"/>
        </w:rPr>
        <w:t>in excess of</w:t>
      </w:r>
      <w:proofErr w:type="gramEnd"/>
      <w:r>
        <w:rPr>
          <w:rFonts w:ascii="Times New Roman" w:hAnsi="Times New Roman"/>
          <w:sz w:val="24"/>
          <w:szCs w:val="24"/>
        </w:rPr>
        <w:t xml:space="preserve"> 28 units a week or more than 6 cups of caffeinated drinks per day.</w:t>
      </w:r>
    </w:p>
    <w:p w14:paraId="37AE44B9"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7. Smoke more than 5 cigarette per day.</w:t>
      </w:r>
    </w:p>
    <w:p w14:paraId="338F3F6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8. Have taken illicit drugs 7 days prior to admission or current use of drugs of abuse including amphetamines, MDMA, cannabis and opioids.</w:t>
      </w:r>
    </w:p>
    <w:p w14:paraId="1980363A"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 xml:space="preserve">9. Have taken any other medication </w:t>
      </w:r>
      <w:proofErr w:type="gramStart"/>
      <w:r>
        <w:rPr>
          <w:rFonts w:ascii="Times New Roman" w:hAnsi="Times New Roman"/>
          <w:sz w:val="24"/>
          <w:szCs w:val="24"/>
        </w:rPr>
        <w:t>during the course of</w:t>
      </w:r>
      <w:proofErr w:type="gramEnd"/>
      <w:r>
        <w:rPr>
          <w:rFonts w:ascii="Times New Roman" w:hAnsi="Times New Roman"/>
          <w:sz w:val="24"/>
          <w:szCs w:val="24"/>
        </w:rPr>
        <w:t xml:space="preserve"> the study that has not been discussed. This should be documented by the investigators. (As an exception, 1g paracetamol/24 hours may be taken up to 24 hours prior to any visit).</w:t>
      </w:r>
    </w:p>
    <w:p w14:paraId="66AD0072"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10. Have consumed alcohol or caffeine within 12 hours and/or nicotine 4 hours prior to the screening visit and study days 1, 2 and 3 until discharged at the end of each of those visits.</w:t>
      </w:r>
    </w:p>
    <w:p w14:paraId="15F70A2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11. Have consumed grapefruit juice or Seville oranges-containing products 24 hours prior to admission.</w:t>
      </w:r>
    </w:p>
    <w:p w14:paraId="414D53DB"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12. Have used any prescribed medication (aside from the contraceptive pill or hormone replacement theory) in the 3 weeks prior to enrolment or non-prescription medication (other than paracetamol) in the previous 7 days.</w:t>
      </w:r>
    </w:p>
    <w:p w14:paraId="4E96E2A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13. Have a significant history of drugs of abuse (including benzodiazepines) or positive drugs of abuse test.</w:t>
      </w:r>
    </w:p>
    <w:p w14:paraId="0D8228AB"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14. Have received another new chemical entity in the 1 month before dosing or taken part in another research study using drugs within 1 month before dosing.</w:t>
      </w:r>
    </w:p>
    <w:p w14:paraId="555ECF3C"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lastRenderedPageBreak/>
        <w:t>15. Have an acute illness within 2 weeks before the start of study.</w:t>
      </w:r>
    </w:p>
    <w:p w14:paraId="3141039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16. Have any clinically significant abnormalities in clinical chemistry (including liver function tests), haematology or urinalysis results.</w:t>
      </w:r>
    </w:p>
    <w:p w14:paraId="2633AD0C"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17. Have self-reported HIV, hepatitis B or hepatitis C.</w:t>
      </w:r>
    </w:p>
    <w:p w14:paraId="27825C22"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18. Have a definite or suspected personal or family history of intolerance or hypersensitivity to drugs and/or their excipients, judged to be clinically relevant by the investigator.</w:t>
      </w:r>
    </w:p>
    <w:p w14:paraId="4F1555B9"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19. Have a history or presence of gastrointestinal, hepatic or renal disease or other condition known to interfere with absorption, distribution, metabolism or excretion of drugs.</w:t>
      </w:r>
    </w:p>
    <w:p w14:paraId="00867E17"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20. Have diagnosed hypertension, or supine systolic BP outside of the range of 90 to 140 mmHg and a supine diastolic BP outside the range of 40 to 90 mmHg, after a period of acclimatisation.</w:t>
      </w:r>
    </w:p>
    <w:p w14:paraId="429FF0B4"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21. Have a decrease in systolic BP of &gt; 25 mmHg or a decrease in diastolic BP of &gt; 15 mmHg when going from resting in bed to standing position, with or without symptoms such as dizziness or light-headedness. (For determination of orthostatic hypotension, lying and standing BP will be recorded after the subject has rested for 10 minutes and has had resting BP recorded followed by measurements 5 minutes after standing).</w:t>
      </w:r>
    </w:p>
    <w:p w14:paraId="0CE1F3A6"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22. Have had treatment in the previous 3 months with any drug known to have a well-defined potential for hepatotoxicity (</w:t>
      </w:r>
      <w:proofErr w:type="gramStart"/>
      <w:r>
        <w:rPr>
          <w:rFonts w:ascii="Times New Roman" w:hAnsi="Times New Roman"/>
          <w:sz w:val="24"/>
          <w:szCs w:val="24"/>
        </w:rPr>
        <w:t>e.g.,halothane</w:t>
      </w:r>
      <w:proofErr w:type="gramEnd"/>
      <w:r>
        <w:rPr>
          <w:rFonts w:ascii="Times New Roman" w:hAnsi="Times New Roman"/>
          <w:sz w:val="24"/>
          <w:szCs w:val="24"/>
        </w:rPr>
        <w:t>).</w:t>
      </w:r>
    </w:p>
    <w:p w14:paraId="534CE67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23. Has a risk of suicide or self-harm according to the investigator’s clinical judgment.</w:t>
      </w:r>
    </w:p>
    <w:p w14:paraId="48326827"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24. Be a subject who, in the opinion of the investigator, should not participate in the study for reasons of safety.</w:t>
      </w:r>
    </w:p>
    <w:p w14:paraId="50D282D9" w14:textId="77777777" w:rsidR="0074588D" w:rsidRPr="0064017D" w:rsidRDefault="0074588D" w:rsidP="0074588D">
      <w:pPr>
        <w:pStyle w:val="p1"/>
        <w:spacing w:line="480" w:lineRule="auto"/>
        <w:rPr>
          <w:rFonts w:ascii="Times New Roman" w:hAnsi="Times New Roman"/>
        </w:rPr>
      </w:pPr>
    </w:p>
    <w:p w14:paraId="36F2A124" w14:textId="77777777" w:rsidR="00C26B76" w:rsidRPr="002C2177" w:rsidRDefault="00C26B76" w:rsidP="00BE2E05"/>
    <w:sectPr w:rsidR="00C26B76" w:rsidRPr="002C2177">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4381" w14:textId="77777777" w:rsidR="00694AEE" w:rsidRDefault="00694AEE" w:rsidP="00BF066B">
      <w:pPr>
        <w:spacing w:line="240" w:lineRule="auto"/>
      </w:pPr>
      <w:r>
        <w:separator/>
      </w:r>
    </w:p>
  </w:endnote>
  <w:endnote w:type="continuationSeparator" w:id="0">
    <w:p w14:paraId="14DAA719" w14:textId="77777777" w:rsidR="00694AEE" w:rsidRDefault="00694AEE" w:rsidP="00BF06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ings Caslon Text">
    <w:altName w:val="Calibri"/>
    <w:panose1 w:val="020B0604020202020204"/>
    <w:charset w:val="00"/>
    <w:family w:val="auto"/>
    <w:pitch w:val="variable"/>
    <w:sig w:usb0="A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5D02" w14:textId="77777777" w:rsidR="00897234" w:rsidRDefault="008972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F5C3" w14:textId="77777777" w:rsidR="00897234" w:rsidRDefault="008972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554B" w14:textId="77777777" w:rsidR="00897234" w:rsidRDefault="00897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75D11" w14:textId="77777777" w:rsidR="00694AEE" w:rsidRDefault="00694AEE" w:rsidP="00BF066B">
      <w:pPr>
        <w:spacing w:line="240" w:lineRule="auto"/>
      </w:pPr>
      <w:r>
        <w:separator/>
      </w:r>
    </w:p>
  </w:footnote>
  <w:footnote w:type="continuationSeparator" w:id="0">
    <w:p w14:paraId="717C8031" w14:textId="77777777" w:rsidR="00694AEE" w:rsidRDefault="00694AEE" w:rsidP="00BF06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1F72" w14:textId="77777777" w:rsidR="00897234" w:rsidRDefault="008972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7AEE" w14:textId="77777777" w:rsidR="00897234" w:rsidRDefault="00897234" w:rsidP="0036182C">
    <w:pPr>
      <w:tabs>
        <w:tab w:val="center" w:pos="4536"/>
        <w:tab w:val="right" w:pos="8931"/>
      </w:tabs>
    </w:pPr>
    <w:r>
      <w:tab/>
    </w:r>
  </w:p>
  <w:p w14:paraId="4A47CA75" w14:textId="77777777" w:rsidR="00897234" w:rsidRDefault="008972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443751"/>
      <w:docPartObj>
        <w:docPartGallery w:val="Page Numbers (Top of Page)"/>
        <w:docPartUnique/>
      </w:docPartObj>
    </w:sdtPr>
    <w:sdtEndPr>
      <w:rPr>
        <w:rFonts w:ascii="Times New Roman" w:hAnsi="Times New Roman" w:cs="Times New Roman"/>
        <w:noProof/>
      </w:rPr>
    </w:sdtEndPr>
    <w:sdtContent>
      <w:p w14:paraId="60E374CE" w14:textId="77777777" w:rsidR="00897234" w:rsidRPr="008564CE" w:rsidRDefault="00897234">
        <w:pPr>
          <w:pStyle w:val="Header"/>
          <w:jc w:val="right"/>
          <w:rPr>
            <w:rFonts w:ascii="Times New Roman" w:hAnsi="Times New Roman" w:cs="Times New Roman"/>
          </w:rPr>
        </w:pPr>
        <w:r w:rsidRPr="008564CE">
          <w:rPr>
            <w:rFonts w:ascii="Times New Roman" w:hAnsi="Times New Roman" w:cs="Times New Roman"/>
          </w:rPr>
          <w:fldChar w:fldCharType="begin"/>
        </w:r>
        <w:r w:rsidRPr="008564CE">
          <w:rPr>
            <w:rFonts w:ascii="Times New Roman" w:hAnsi="Times New Roman" w:cs="Times New Roman"/>
          </w:rPr>
          <w:instrText xml:space="preserve"> PAGE   \* MERGEFORMAT </w:instrText>
        </w:r>
        <w:r w:rsidRPr="008564CE">
          <w:rPr>
            <w:rFonts w:ascii="Times New Roman" w:hAnsi="Times New Roman" w:cs="Times New Roman"/>
          </w:rPr>
          <w:fldChar w:fldCharType="separate"/>
        </w:r>
        <w:r w:rsidRPr="008564CE">
          <w:rPr>
            <w:rFonts w:ascii="Times New Roman" w:hAnsi="Times New Roman" w:cs="Times New Roman"/>
            <w:noProof/>
          </w:rPr>
          <w:t>2</w:t>
        </w:r>
        <w:r w:rsidRPr="008564CE">
          <w:rPr>
            <w:rFonts w:ascii="Times New Roman" w:hAnsi="Times New Roman" w:cs="Times New Roman"/>
            <w:noProof/>
          </w:rPr>
          <w:fldChar w:fldCharType="end"/>
        </w:r>
      </w:p>
    </w:sdtContent>
  </w:sdt>
  <w:p w14:paraId="1104EC0A" w14:textId="77777777" w:rsidR="00897234" w:rsidRPr="00205D9F" w:rsidRDefault="00897234" w:rsidP="00205D9F">
    <w:pPr>
      <w:tabs>
        <w:tab w:val="center" w:pos="4536"/>
        <w:tab w:val="right" w:pos="8931"/>
      </w:tabs>
      <w:rPr>
        <w:rFonts w:ascii="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7715" w14:textId="77777777" w:rsidR="00C13581" w:rsidRDefault="00000000">
    <w:pP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sidR="00897234">
      <w:rPr>
        <w:rFonts w:ascii="Times New Roman" w:hAnsi="Times New Roman" w:cs="Times New Roman"/>
      </w:rPr>
      <w:fldChar w:fldCharType="separate"/>
    </w:r>
    <w:r w:rsidR="00897234">
      <w:rPr>
        <w:rFonts w:ascii="Times New Roman" w:hAnsi="Times New Roman" w:cs="Times New Roman"/>
        <w:noProof/>
      </w:rPr>
      <w:t>1</w:t>
    </w:r>
    <w:r>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DF468C"/>
    <w:multiLevelType w:val="multilevel"/>
    <w:tmpl w:val="3EA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6214463">
    <w:abstractNumId w:val="0"/>
  </w:num>
  <w:num w:numId="2" w16cid:durableId="1399791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BB"/>
    <w:rsid w:val="000C18E3"/>
    <w:rsid w:val="000E576D"/>
    <w:rsid w:val="000F7100"/>
    <w:rsid w:val="00151577"/>
    <w:rsid w:val="0023233A"/>
    <w:rsid w:val="002B18C8"/>
    <w:rsid w:val="002C2177"/>
    <w:rsid w:val="0030613E"/>
    <w:rsid w:val="003102BC"/>
    <w:rsid w:val="0035711B"/>
    <w:rsid w:val="0037376F"/>
    <w:rsid w:val="003B37F2"/>
    <w:rsid w:val="00403B61"/>
    <w:rsid w:val="00407414"/>
    <w:rsid w:val="004D6535"/>
    <w:rsid w:val="004F0858"/>
    <w:rsid w:val="00521AA3"/>
    <w:rsid w:val="00566066"/>
    <w:rsid w:val="005D2B59"/>
    <w:rsid w:val="00626A94"/>
    <w:rsid w:val="0064017D"/>
    <w:rsid w:val="00644983"/>
    <w:rsid w:val="00692123"/>
    <w:rsid w:val="00694AEE"/>
    <w:rsid w:val="006E3E9F"/>
    <w:rsid w:val="006E400F"/>
    <w:rsid w:val="00710EFC"/>
    <w:rsid w:val="007445FB"/>
    <w:rsid w:val="0074588D"/>
    <w:rsid w:val="008066BB"/>
    <w:rsid w:val="00897234"/>
    <w:rsid w:val="008C16B2"/>
    <w:rsid w:val="008F4A1F"/>
    <w:rsid w:val="00941AAF"/>
    <w:rsid w:val="00965D98"/>
    <w:rsid w:val="00965FE0"/>
    <w:rsid w:val="009F225C"/>
    <w:rsid w:val="00A0787B"/>
    <w:rsid w:val="00A63A24"/>
    <w:rsid w:val="00A72D28"/>
    <w:rsid w:val="00AE2EF5"/>
    <w:rsid w:val="00B03EDB"/>
    <w:rsid w:val="00B54DDB"/>
    <w:rsid w:val="00B646E4"/>
    <w:rsid w:val="00B77ABF"/>
    <w:rsid w:val="00BE2E05"/>
    <w:rsid w:val="00BF066B"/>
    <w:rsid w:val="00C13581"/>
    <w:rsid w:val="00C26B76"/>
    <w:rsid w:val="00C437D7"/>
    <w:rsid w:val="00C56D5D"/>
    <w:rsid w:val="00C60104"/>
    <w:rsid w:val="00C7140F"/>
    <w:rsid w:val="00DC549D"/>
    <w:rsid w:val="00DC7BAE"/>
    <w:rsid w:val="00E51E5B"/>
    <w:rsid w:val="00E86A18"/>
    <w:rsid w:val="00EA79F4"/>
    <w:rsid w:val="00EF4DD8"/>
    <w:rsid w:val="00F4063B"/>
    <w:rsid w:val="00FD09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4525"/>
  <w15:chartTrackingRefBased/>
  <w15:docId w15:val="{5766FB1E-846B-8748-9029-6B0811F8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177"/>
  </w:style>
  <w:style w:type="paragraph" w:styleId="Heading1">
    <w:name w:val="heading 1"/>
    <w:basedOn w:val="Normal"/>
    <w:next w:val="Normal"/>
    <w:link w:val="Heading1Char"/>
    <w:uiPriority w:val="9"/>
    <w:qFormat/>
    <w:rsid w:val="00806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6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6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6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6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6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6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6BB"/>
    <w:rPr>
      <w:rFonts w:eastAsiaTheme="majorEastAsia" w:cstheme="majorBidi"/>
      <w:color w:val="272727" w:themeColor="text1" w:themeTint="D8"/>
    </w:rPr>
  </w:style>
  <w:style w:type="paragraph" w:styleId="Title">
    <w:name w:val="Title"/>
    <w:basedOn w:val="Normal"/>
    <w:next w:val="Normal"/>
    <w:link w:val="TitleChar"/>
    <w:uiPriority w:val="10"/>
    <w:qFormat/>
    <w:rsid w:val="0080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6BB"/>
    <w:pPr>
      <w:spacing w:before="160"/>
      <w:jc w:val="center"/>
    </w:pPr>
    <w:rPr>
      <w:i/>
      <w:iCs/>
      <w:color w:val="404040" w:themeColor="text1" w:themeTint="BF"/>
    </w:rPr>
  </w:style>
  <w:style w:type="character" w:customStyle="1" w:styleId="QuoteChar">
    <w:name w:val="Quote Char"/>
    <w:basedOn w:val="DefaultParagraphFont"/>
    <w:link w:val="Quote"/>
    <w:uiPriority w:val="29"/>
    <w:rsid w:val="008066BB"/>
    <w:rPr>
      <w:i/>
      <w:iCs/>
      <w:color w:val="404040" w:themeColor="text1" w:themeTint="BF"/>
    </w:rPr>
  </w:style>
  <w:style w:type="paragraph" w:styleId="ListParagraph">
    <w:name w:val="List Paragraph"/>
    <w:basedOn w:val="Normal"/>
    <w:uiPriority w:val="34"/>
    <w:qFormat/>
    <w:rsid w:val="008066BB"/>
    <w:pPr>
      <w:ind w:left="720"/>
      <w:contextualSpacing/>
    </w:pPr>
  </w:style>
  <w:style w:type="character" w:styleId="IntenseEmphasis">
    <w:name w:val="Intense Emphasis"/>
    <w:basedOn w:val="DefaultParagraphFont"/>
    <w:uiPriority w:val="21"/>
    <w:qFormat/>
    <w:rsid w:val="008066BB"/>
    <w:rPr>
      <w:i/>
      <w:iCs/>
      <w:color w:val="0F4761" w:themeColor="accent1" w:themeShade="BF"/>
    </w:rPr>
  </w:style>
  <w:style w:type="paragraph" w:styleId="IntenseQuote">
    <w:name w:val="Intense Quote"/>
    <w:basedOn w:val="Normal"/>
    <w:next w:val="Normal"/>
    <w:link w:val="IntenseQuoteChar"/>
    <w:uiPriority w:val="30"/>
    <w:qFormat/>
    <w:rsid w:val="00806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6BB"/>
    <w:rPr>
      <w:i/>
      <w:iCs/>
      <w:color w:val="0F4761" w:themeColor="accent1" w:themeShade="BF"/>
    </w:rPr>
  </w:style>
  <w:style w:type="character" w:styleId="IntenseReference">
    <w:name w:val="Intense Reference"/>
    <w:basedOn w:val="DefaultParagraphFont"/>
    <w:uiPriority w:val="32"/>
    <w:qFormat/>
    <w:rsid w:val="008066BB"/>
    <w:rPr>
      <w:b/>
      <w:bCs/>
      <w:smallCaps/>
      <w:color w:val="0F4761" w:themeColor="accent1" w:themeShade="BF"/>
      <w:spacing w:val="5"/>
    </w:rPr>
  </w:style>
  <w:style w:type="paragraph" w:customStyle="1" w:styleId="py-0">
    <w:name w:val="py-0"/>
    <w:basedOn w:val="Normal"/>
    <w:rsid w:val="00A078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y-2">
    <w:name w:val="my-2"/>
    <w:basedOn w:val="Normal"/>
    <w:rsid w:val="00A078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table" w:styleId="TableGrid">
    <w:name w:val="Table Grid"/>
    <w:basedOn w:val="TableNormal"/>
    <w:uiPriority w:val="59"/>
    <w:rsid w:val="00E86A18"/>
    <w:pPr>
      <w:spacing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6A18"/>
    <w:rPr>
      <w:color w:val="0000FF"/>
      <w:u w:val="single"/>
    </w:rPr>
  </w:style>
  <w:style w:type="paragraph" w:styleId="Header">
    <w:name w:val="header"/>
    <w:basedOn w:val="Normal"/>
    <w:link w:val="HeaderChar"/>
    <w:uiPriority w:val="99"/>
    <w:unhideWhenUsed/>
    <w:rsid w:val="00BF066B"/>
    <w:pPr>
      <w:tabs>
        <w:tab w:val="center" w:pos="4513"/>
        <w:tab w:val="right" w:pos="9026"/>
      </w:tabs>
      <w:spacing w:line="240" w:lineRule="auto"/>
    </w:pPr>
  </w:style>
  <w:style w:type="character" w:customStyle="1" w:styleId="HeaderChar">
    <w:name w:val="Header Char"/>
    <w:basedOn w:val="DefaultParagraphFont"/>
    <w:link w:val="Header"/>
    <w:uiPriority w:val="99"/>
    <w:rsid w:val="00BF066B"/>
  </w:style>
  <w:style w:type="paragraph" w:styleId="Footer">
    <w:name w:val="footer"/>
    <w:basedOn w:val="Normal"/>
    <w:link w:val="FooterChar"/>
    <w:uiPriority w:val="99"/>
    <w:unhideWhenUsed/>
    <w:rsid w:val="00BF066B"/>
    <w:pPr>
      <w:tabs>
        <w:tab w:val="center" w:pos="4513"/>
        <w:tab w:val="right" w:pos="9026"/>
      </w:tabs>
      <w:spacing w:line="240" w:lineRule="auto"/>
    </w:pPr>
  </w:style>
  <w:style w:type="character" w:customStyle="1" w:styleId="FooterChar">
    <w:name w:val="Footer Char"/>
    <w:basedOn w:val="DefaultParagraphFont"/>
    <w:link w:val="Footer"/>
    <w:uiPriority w:val="99"/>
    <w:rsid w:val="00BF066B"/>
  </w:style>
  <w:style w:type="paragraph" w:customStyle="1" w:styleId="p1">
    <w:name w:val="p1"/>
    <w:basedOn w:val="Normal"/>
    <w:rsid w:val="00403B61"/>
    <w:pPr>
      <w:spacing w:line="240" w:lineRule="auto"/>
    </w:pPr>
    <w:rPr>
      <w:rFonts w:ascii="Helvetica" w:eastAsia="Times New Roman" w:hAnsi="Helvetica" w:cs="Times New Roman"/>
      <w:color w:val="000000"/>
      <w:kern w:val="0"/>
      <w:sz w:val="17"/>
      <w:szCs w:val="17"/>
      <w:lang w:eastAsia="en-GB"/>
      <w14:ligatures w14:val="none"/>
    </w:rPr>
  </w:style>
  <w:style w:type="paragraph" w:customStyle="1" w:styleId="p2">
    <w:name w:val="p2"/>
    <w:basedOn w:val="Normal"/>
    <w:rsid w:val="00403B61"/>
    <w:pPr>
      <w:spacing w:line="240" w:lineRule="auto"/>
    </w:pPr>
    <w:rPr>
      <w:rFonts w:ascii="Arial" w:eastAsia="Times New Roman" w:hAnsi="Arial" w:cs="Arial"/>
      <w:color w:val="000000"/>
      <w:kern w:val="0"/>
      <w:sz w:val="15"/>
      <w:szCs w:val="15"/>
      <w:lang w:eastAsia="en-GB"/>
      <w14:ligatures w14:val="none"/>
    </w:rPr>
  </w:style>
  <w:style w:type="paragraph" w:customStyle="1" w:styleId="w7sjnrxzl6krnffuzhqe">
    <w:name w:val="w7sjnrxzl6krnffuzhqe"/>
    <w:basedOn w:val="Normal"/>
    <w:rsid w:val="00C56D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458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745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cl.ac.uk/policyhub/non-academic-misconduct-policy" TargetMode="External"/><Relationship Id="rId13" Type="http://schemas.openxmlformats.org/officeDocument/2006/relationships/hyperlink" Target="https://openai.com/index/dall-e-3/" TargetMode="External"/><Relationship Id="rId18" Type="http://schemas.openxmlformats.org/officeDocument/2006/relationships/header" Target="header3.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www.kcl.ac.uk/policyhub/academic-misconduct-policy" TargetMode="External"/><Relationship Id="rId12" Type="http://schemas.openxmlformats.org/officeDocument/2006/relationships/hyperlink" Target="https://chatgpt.com/" TargetMode="External"/><Relationship Id="rId17" Type="http://schemas.openxmlformats.org/officeDocument/2006/relationships/footer" Target="footer2.xm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gi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cl.ac.uk/about/strategy/learning-and-teaching/ai-guidance/student-guidance"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https://self-service.kcl.ac.uk/article/KA-01219/en-us"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kcl.ac.uk/about/strategy/learning-and-teaching/ai-guidance/student-guidance" TargetMode="External"/><Relationship Id="rId14" Type="http://schemas.openxmlformats.org/officeDocument/2006/relationships/header" Target="header1.xml"/><Relationship Id="rId22" Type="http://schemas.openxmlformats.org/officeDocument/2006/relationships/image" Target="media/image3.png"/><Relationship Id="rId2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8627</Words>
  <Characters>50387</Characters>
  <Application>Microsoft Office Word</Application>
  <DocSecurity>0</DocSecurity>
  <Lines>826</Lines>
  <Paragraphs>167</Paragraphs>
  <ScaleCrop>false</ScaleCrop>
  <Company/>
  <LinksUpToDate>false</LinksUpToDate>
  <CharactersWithSpaces>58847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Hsia</dc:creator>
  <cp:keywords/>
  <dc:description/>
  <cp:lastModifiedBy>Arthur Hsia</cp:lastModifiedBy>
  <cp:revision>2</cp:revision>
  <dcterms:created xsi:type="dcterms:W3CDTF">2026-04-20T09:49:00Z</dcterms:created>
  <dcterms:modified xsi:type="dcterms:W3CDTF">2026-04-20T09:49:00Z</dcterms:modified>
</cp:coreProperties>
</file>