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B3A9" w14:textId="0DF58D2F" w:rsidR="00A16979" w:rsidRDefault="00A16979">
      <w:r>
        <w:t>Subject bp</w:t>
      </w:r>
    </w:p>
    <w:p w14:paraId="37C27C94" w14:textId="77777777" w:rsidR="00A16979" w:rsidRDefault="00A16979"/>
    <w:p w14:paraId="71BFFAA5" w14:textId="4629417F" w:rsidR="00A077C5" w:rsidRDefault="008F2C76">
      <w:r w:rsidRPr="008F2C76">
        <w:drawing>
          <wp:inline distT="0" distB="0" distL="0" distR="0" wp14:anchorId="275699C2" wp14:editId="1A1D1ADC">
            <wp:extent cx="5731510" cy="2197735"/>
            <wp:effectExtent l="0" t="0" r="0" b="0"/>
            <wp:docPr id="6191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1658" w14:textId="77777777" w:rsidR="00A16979" w:rsidRDefault="00A16979"/>
    <w:p w14:paraId="58B944B6" w14:textId="77777777" w:rsidR="008F2C76" w:rsidRP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Inter</w:t>
      </w:r>
      <w:proofErr w:type="gramEnd"/>
      <w:r w:rsidRPr="008F2C76">
        <w:t xml:space="preserve">-channel correlation matrix (left) computed across all 47 electrodes after CAR preprocessing </w:t>
      </w:r>
    </w:p>
    <w:p w14:paraId="568DCEEF" w14:textId="77777777" w:rsidR="008F2C76" w:rsidRP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Majority</w:t>
      </w:r>
      <w:proofErr w:type="gramEnd"/>
      <w:r w:rsidRPr="008F2C76">
        <w:t xml:space="preserve"> of off-diagonal entries are near-zero or slightly negative, confirming CAR successfully removed the global common-mode signal shared across the electrode grid </w:t>
      </w:r>
    </w:p>
    <w:p w14:paraId="19489858" w14:textId="1489679E" w:rsidR="008F2C76" w:rsidRP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A</w:t>
      </w:r>
      <w:proofErr w:type="gramEnd"/>
      <w:r w:rsidRPr="008F2C76">
        <w:t xml:space="preserve"> localised cluster of elevated positive correlations visible among channels 0–12 (r up to 0.7), </w:t>
      </w:r>
      <w:r>
        <w:t xml:space="preserve">possibly </w:t>
      </w:r>
      <w:r w:rsidRPr="008F2C76">
        <w:t>reflecting spatial overlap between physically adjacent electrodes</w:t>
      </w:r>
      <w:r>
        <w:t>- due to activation by the task?</w:t>
      </w:r>
      <w:r w:rsidRPr="008F2C76">
        <w:t xml:space="preserve"> </w:t>
      </w:r>
    </w:p>
    <w:p w14:paraId="11092291" w14:textId="77777777" w:rsidR="008F2C76" w:rsidRP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Right</w:t>
      </w:r>
      <w:proofErr w:type="gramEnd"/>
      <w:r w:rsidRPr="008F2C76">
        <w:t xml:space="preserve"> panel shows the full pairwise Pearson r distribution: approximately zero-centred (mean r = −0.012) with a rightward skew driven by the residual local cluster </w:t>
      </w:r>
    </w:p>
    <w:p w14:paraId="267FC9CD" w14:textId="77777777" w:rsidR="008F2C76" w:rsidRP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Slight</w:t>
      </w:r>
      <w:proofErr w:type="gramEnd"/>
      <w:r w:rsidRPr="008F2C76">
        <w:t xml:space="preserve"> negative bias (mean r = −0.012) is a known mathematical consequence of CAR — the constraint that CAR-referenced channels sum to zero forces mean off-diagonal covariance toward zero </w:t>
      </w:r>
    </w:p>
    <w:p w14:paraId="2C9E1414" w14:textId="408DCCF3" w:rsidR="008F2C76" w:rsidRDefault="008F2C76" w:rsidP="008F2C76">
      <w:proofErr w:type="gramStart"/>
      <w:r w:rsidRPr="008F2C76">
        <w:rPr>
          <w:rFonts w:hAnsi="Symbol"/>
        </w:rPr>
        <w:t></w:t>
      </w:r>
      <w:r w:rsidRPr="008F2C76">
        <w:t xml:space="preserve">  Residual</w:t>
      </w:r>
      <w:proofErr w:type="gramEnd"/>
      <w:r w:rsidRPr="008F2C76">
        <w:t xml:space="preserve"> inter-electrode correlation structure </w:t>
      </w:r>
      <w:r>
        <w:t>-&gt;</w:t>
      </w:r>
      <w:r w:rsidRPr="008F2C76">
        <w:t xml:space="preserve"> redundancy-aware channel selection (</w:t>
      </w:r>
      <w:proofErr w:type="spellStart"/>
      <w:r w:rsidRPr="008F2C76">
        <w:t>mRMR</w:t>
      </w:r>
      <w:proofErr w:type="spellEnd"/>
      <w:r w:rsidRPr="008F2C76">
        <w:t>)</w:t>
      </w:r>
      <w:r>
        <w:t>, however inter-electrode correlation is not that high after CAR</w:t>
      </w:r>
    </w:p>
    <w:p w14:paraId="7312A4AB" w14:textId="1A0371DF" w:rsidR="008F2C76" w:rsidRDefault="00A16979" w:rsidP="008F2C76">
      <w:r w:rsidRPr="00A16979">
        <w:drawing>
          <wp:inline distT="0" distB="0" distL="0" distR="0" wp14:anchorId="113435FB" wp14:editId="7E7A9AB3">
            <wp:extent cx="5731510" cy="1618615"/>
            <wp:effectExtent l="0" t="0" r="0" b="0"/>
            <wp:docPr id="206450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0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5258" w14:textId="04142C81" w:rsidR="00A16979" w:rsidRPr="00A16979" w:rsidRDefault="00A16979" w:rsidP="00A16979">
      <w:pPr>
        <w:spacing w:before="100" w:beforeAutospacing="1" w:after="100" w:afterAutospacing="1"/>
      </w:pPr>
      <w:r w:rsidRPr="00A16979">
        <w:rPr>
          <w:b/>
          <w:bCs/>
        </w:rPr>
        <w:t>Per-channel noise profile for subject bp (post-CAR).</w:t>
      </w:r>
    </w:p>
    <w:p w14:paraId="17FCE545" w14:textId="25CD0EDD" w:rsidR="00A16979" w:rsidRP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 w:rsidRPr="00A16979">
        <w:t xml:space="preserve">Three complementary noise metrics </w:t>
      </w:r>
      <w:r>
        <w:t xml:space="preserve">should have been </w:t>
      </w:r>
      <w:r w:rsidRPr="00A16979">
        <w:t>computed per channel to identify problematic electrodes prior to classification pipeline entry</w:t>
      </w:r>
    </w:p>
    <w:p w14:paraId="5BF43FBD" w14:textId="77777777" w:rsidR="00A16979" w:rsidRP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 w:rsidRPr="00A16979">
        <w:rPr>
          <w:b/>
          <w:bCs/>
        </w:rPr>
        <w:t>Left — Channel RMS amplitude:</w:t>
      </w:r>
      <w:r w:rsidRPr="00A16979">
        <w:t xml:space="preserve"> five channels exceed the 90th percentile threshold (channels 10, 18, 30, 34, 46, shown in red); elevated RMS alone is ambiguous — could reflect strong genuine neural signal or poor electrode contact, requiring visual inspection of raw time series to distinguish</w:t>
      </w:r>
    </w:p>
    <w:p w14:paraId="2B2F51B4" w14:textId="77777777" w:rsid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 w:rsidRPr="00A16979">
        <w:rPr>
          <w:b/>
          <w:bCs/>
        </w:rPr>
        <w:t>Middle — Excess kurtosis:</w:t>
      </w:r>
      <w:r w:rsidRPr="00A16979">
        <w:t xml:space="preserve"> channels 15 and 16 dramatically exceed the kurtosis &gt; 5 threshold (kurtosis ≈ 6–7), indicative of intermittent large-amplitude epileptic spike </w:t>
      </w:r>
      <w:r w:rsidRPr="00A16979">
        <w:lastRenderedPageBreak/>
        <w:t xml:space="preserve">activity arising from the patient's seizure focus; channel 23 shows borderline elevation (~4.7) and warrants monitoring; </w:t>
      </w:r>
    </w:p>
    <w:p w14:paraId="443E0DED" w14:textId="577759DA" w:rsidR="00A16979" w:rsidRP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>
        <w:t>E</w:t>
      </w:r>
      <w:r w:rsidRPr="00A16979">
        <w:t>pileptic spikes are pathological discharges unrelated to the motor task and would introduce non-stationary variance into covariance estimates, distorting Riemannian distances and potentially creating spurious discriminative signal if spike timing correlates with trial structure</w:t>
      </w:r>
    </w:p>
    <w:p w14:paraId="1BA915E4" w14:textId="55F05516" w:rsidR="00A16979" w:rsidRP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 w:rsidRPr="00A16979">
        <w:rPr>
          <w:b/>
          <w:bCs/>
        </w:rPr>
        <w:t>Right — 60 Hz line noise ratio:</w:t>
      </w:r>
      <w:r w:rsidRPr="00A16979">
        <w:t xml:space="preserve"> all channels fall well below the 3× baseline threshold; 60 Hz harmonics at 120 Hz and 180 Hz are not present at problematic levels, so notch filtering is unnecessary for this subject</w:t>
      </w:r>
    </w:p>
    <w:p w14:paraId="40B988AC" w14:textId="77777777" w:rsidR="00A16979" w:rsidRPr="00A16979" w:rsidRDefault="00A16979" w:rsidP="00A16979">
      <w:pPr>
        <w:numPr>
          <w:ilvl w:val="0"/>
          <w:numId w:val="1"/>
        </w:numPr>
        <w:spacing w:before="100" w:beforeAutospacing="1" w:after="100" w:afterAutospacing="1"/>
      </w:pPr>
      <w:r w:rsidRPr="00A16979">
        <w:t>Channels 15 and 16 are flagged for exclusion from all subsequent pipeline stages; high-RMS channels require raw time-series inspection before a keep/exclude decision is made</w:t>
      </w:r>
    </w:p>
    <w:p w14:paraId="5C1A91EF" w14:textId="2A3B06BF" w:rsidR="00A16979" w:rsidRDefault="005B7588" w:rsidP="008F2C76">
      <w:r w:rsidRPr="005B7588">
        <w:drawing>
          <wp:inline distT="0" distB="0" distL="0" distR="0" wp14:anchorId="357E891B" wp14:editId="19424D50">
            <wp:extent cx="5731510" cy="2037080"/>
            <wp:effectExtent l="0" t="0" r="0" b="0"/>
            <wp:docPr id="9335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3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B8EB" w14:textId="4EBBD9AD" w:rsidR="005B7588" w:rsidRDefault="005B7588" w:rsidP="005B7588">
      <w:pPr>
        <w:spacing w:before="100" w:beforeAutospacing="1" w:after="100" w:afterAutospacing="1"/>
      </w:pPr>
      <w:r w:rsidRPr="005B7588">
        <w:rPr>
          <w:b/>
          <w:bCs/>
        </w:rPr>
        <w:t>Event-locked band power for subject bp.</w:t>
      </w:r>
      <w:r w:rsidRPr="005B7588">
        <w:t xml:space="preserve"> Both HFB (70–200 Hz) and beta (8–32 Hz) show clear movement-locked responses time-locked to trial onset — HFB increases post-movement while beta suppresses</w:t>
      </w:r>
      <w:r>
        <w:t>, with hand eliciting a stronger response than tongue</w:t>
      </w:r>
    </w:p>
    <w:p w14:paraId="4311B83B" w14:textId="77777777" w:rsidR="005B7588" w:rsidRPr="005B7588" w:rsidRDefault="005B7588" w:rsidP="005B7588">
      <w:pPr>
        <w:spacing w:before="100" w:beforeAutospacing="1" w:after="100" w:afterAutospacing="1"/>
      </w:pPr>
    </w:p>
    <w:p w14:paraId="5B514013" w14:textId="0AD91A20" w:rsidR="005B7588" w:rsidRDefault="005B7588" w:rsidP="008F2C76">
      <w:r w:rsidRPr="005B7588">
        <w:drawing>
          <wp:inline distT="0" distB="0" distL="0" distR="0" wp14:anchorId="45CBF226" wp14:editId="2F7CEAC4">
            <wp:extent cx="5731510" cy="2037080"/>
            <wp:effectExtent l="0" t="0" r="0" b="0"/>
            <wp:docPr id="89512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6F76" w14:textId="64F8CF55" w:rsidR="005B7588" w:rsidRDefault="005B7588" w:rsidP="005B7588">
      <w:r>
        <w:rPr>
          <w:rStyle w:val="Strong"/>
        </w:rPr>
        <w:t>Power spectral density pre- and post-CAR for subject bp</w:t>
      </w:r>
      <w:r>
        <w:t>, showing prominent line noise at 60 Hz and harmonics (120, 180, 240 Hz) in the raw signal; CAR substantially removes the 60 Hz fundamental via common-mode rejection but residual harmonics at 120 and 180 Hz survive into the HFB band (70–200 Hz), necessitating notch filtering at all harmonic frequencies prior to covariance estimation.</w:t>
      </w:r>
    </w:p>
    <w:p w14:paraId="2B5B7006" w14:textId="753948A2" w:rsidR="005B7588" w:rsidRDefault="005B7588" w:rsidP="005B7588">
      <w:r w:rsidRPr="005B7588">
        <w:lastRenderedPageBreak/>
        <w:drawing>
          <wp:inline distT="0" distB="0" distL="0" distR="0" wp14:anchorId="31A452E2" wp14:editId="3D977F9A">
            <wp:extent cx="5731510" cy="3253740"/>
            <wp:effectExtent l="0" t="0" r="0" b="0"/>
            <wp:docPr id="978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4473" w14:textId="55D650A3" w:rsidR="005B7588" w:rsidRPr="005B7588" w:rsidRDefault="005B7588" w:rsidP="005B7588">
      <w:pPr>
        <w:spacing w:before="100" w:beforeAutospacing="1" w:after="100" w:afterAutospacing="1"/>
      </w:pPr>
      <w:r w:rsidRPr="005B7588">
        <w:rPr>
          <w:b/>
          <w:bCs/>
        </w:rPr>
        <w:t xml:space="preserve">Raw </w:t>
      </w:r>
      <w:proofErr w:type="spellStart"/>
      <w:r w:rsidRPr="005B7588">
        <w:rPr>
          <w:b/>
          <w:bCs/>
        </w:rPr>
        <w:t>ECoG</w:t>
      </w:r>
      <w:proofErr w:type="spellEnd"/>
      <w:r w:rsidRPr="005B7588">
        <w:rPr>
          <w:b/>
          <w:bCs/>
        </w:rPr>
        <w:t xml:space="preserve"> time series inspection for subject bp.</w:t>
      </w:r>
    </w:p>
    <w:p w14:paraId="5619E9AF" w14:textId="77777777" w:rsidR="005B7588" w:rsidRPr="005B7588" w:rsidRDefault="005B7588" w:rsidP="005B7588">
      <w:pPr>
        <w:numPr>
          <w:ilvl w:val="0"/>
          <w:numId w:val="2"/>
        </w:numPr>
        <w:spacing w:before="100" w:beforeAutospacing="1" w:after="100" w:afterAutospacing="1"/>
      </w:pPr>
      <w:r w:rsidRPr="005B7588">
        <w:t>30-second overview (top) shows continuous, physiologically plausible signal across 6 representative channels with no gross artifacts (flat lines, saturation, or step discontinuities), though slow low-frequency drifts are visible in some channels</w:t>
      </w:r>
    </w:p>
    <w:p w14:paraId="3B26CCCB" w14:textId="77777777" w:rsidR="005B7588" w:rsidRPr="005B7588" w:rsidRDefault="005B7588" w:rsidP="005B7588">
      <w:pPr>
        <w:numPr>
          <w:ilvl w:val="0"/>
          <w:numId w:val="2"/>
        </w:numPr>
        <w:spacing w:before="100" w:beforeAutospacing="1" w:after="100" w:afterAutospacing="1"/>
      </w:pPr>
      <w:r w:rsidRPr="005B7588">
        <w:t>Single hand trial post-CAR across all 47 channels (middle) shows clean signal quality with no obvious single-trial artifacts across the 1000ms epoch window</w:t>
      </w:r>
    </w:p>
    <w:p w14:paraId="4013781A" w14:textId="296E83DC" w:rsidR="005B7588" w:rsidRDefault="005B7588" w:rsidP="005B7588">
      <w:pPr>
        <w:numPr>
          <w:ilvl w:val="0"/>
          <w:numId w:val="2"/>
        </w:numPr>
        <w:spacing w:before="100" w:beforeAutospacing="1" w:after="100" w:afterAutospacing="1"/>
      </w:pPr>
      <w:r w:rsidRPr="005B7588">
        <w:t xml:space="preserve">Raw vs CAR comparison (bottom) confirms CAR correction is modest for these channels, with the largest raw-CAR divergence occurring at movement onset (0–200ms); </w:t>
      </w:r>
    </w:p>
    <w:p w14:paraId="1E9988D5" w14:textId="339E2981" w:rsidR="005B7588" w:rsidRDefault="005B7588" w:rsidP="005B7588">
      <w:pPr>
        <w:spacing w:before="100" w:beforeAutospacing="1" w:after="100" w:afterAutospacing="1"/>
      </w:pPr>
      <w:r w:rsidRPr="005B7588">
        <w:drawing>
          <wp:inline distT="0" distB="0" distL="0" distR="0" wp14:anchorId="55AB09D0" wp14:editId="12D2E300">
            <wp:extent cx="5731510" cy="1878330"/>
            <wp:effectExtent l="0" t="0" r="0" b="1270"/>
            <wp:docPr id="5175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1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2D53" w14:textId="467B9AA7" w:rsidR="005B7588" w:rsidRDefault="005B7588" w:rsidP="005B7588">
      <w:pPr>
        <w:spacing w:before="100" w:beforeAutospacing="1" w:after="100" w:afterAutospacing="1"/>
      </w:pPr>
      <w:r>
        <w:rPr>
          <w:rStyle w:val="Strong"/>
        </w:rPr>
        <w:t>Per-trial RMS amplitude for subject bp</w:t>
      </w:r>
      <w:r>
        <w:t xml:space="preserve">, showing generally stable signal quality across the session with 3 trials exceeding the 95th percentile threshold (RMS &gt; 2558) — two tongue trials (~21, ~31) and one hand trial (~52) — which </w:t>
      </w:r>
      <w:r>
        <w:t>should be</w:t>
      </w:r>
      <w:r>
        <w:t xml:space="preserve"> flagged for exclusion prior to covariance estimation to prevent outlier trials from distorting the Riemannian mean during classifier training.</w:t>
      </w:r>
    </w:p>
    <w:p w14:paraId="63FDEB4F" w14:textId="2FD8F527" w:rsidR="00503245" w:rsidRPr="00503245" w:rsidRDefault="00503245" w:rsidP="005B7588">
      <w:pPr>
        <w:spacing w:before="100" w:beforeAutospacing="1" w:after="100" w:afterAutospacing="1"/>
        <w:rPr>
          <w:sz w:val="36"/>
          <w:szCs w:val="36"/>
        </w:rPr>
      </w:pPr>
      <w:r w:rsidRPr="00503245">
        <w:rPr>
          <w:sz w:val="36"/>
          <w:szCs w:val="36"/>
        </w:rPr>
        <w:t xml:space="preserve">BETWEEN </w:t>
      </w:r>
      <w:proofErr w:type="gramStart"/>
      <w:r w:rsidRPr="00503245">
        <w:rPr>
          <w:sz w:val="36"/>
          <w:szCs w:val="36"/>
        </w:rPr>
        <w:t>SUBJECT</w:t>
      </w:r>
      <w:proofErr w:type="gramEnd"/>
    </w:p>
    <w:p w14:paraId="72D9F682" w14:textId="54D8884E" w:rsidR="00503245" w:rsidRDefault="00503245" w:rsidP="005B7588">
      <w:pPr>
        <w:spacing w:before="100" w:beforeAutospacing="1" w:after="100" w:afterAutospacing="1"/>
      </w:pPr>
      <w:r w:rsidRPr="00503245">
        <w:lastRenderedPageBreak/>
        <w:drawing>
          <wp:inline distT="0" distB="0" distL="0" distR="0" wp14:anchorId="11F1F57A" wp14:editId="215BB4A0">
            <wp:extent cx="5731510" cy="4961890"/>
            <wp:effectExtent l="0" t="0" r="0" b="3810"/>
            <wp:docPr id="18160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5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68D2" w14:textId="42C30CE5" w:rsidR="00503245" w:rsidRDefault="00503245" w:rsidP="00503245">
      <w:pPr>
        <w:pStyle w:val="font-claude-response-body"/>
      </w:pPr>
      <w:r>
        <w:rPr>
          <w:rStyle w:val="Strong"/>
        </w:rPr>
        <w:t>HFB OVR R² per channel for all subjects</w:t>
      </w:r>
      <w:r>
        <w:t>, revealing substantial inter-subject variability in motor cortex electrode responsiveness — ranging from strong, spatially concentrated discriminability (</w:t>
      </w:r>
      <w:proofErr w:type="spellStart"/>
      <w:r>
        <w:t>fp</w:t>
      </w:r>
      <w:proofErr w:type="spellEnd"/>
      <w:r>
        <w:t xml:space="preserve">, ug, cc) through moderate responses (bp, hl, </w:t>
      </w:r>
      <w:proofErr w:type="spellStart"/>
      <w:r>
        <w:t>jk</w:t>
      </w:r>
      <w:proofErr w:type="spellEnd"/>
      <w:r>
        <w:t>) to near-absent HFB discriminability (</w:t>
      </w:r>
      <w:proofErr w:type="spellStart"/>
      <w:r>
        <w:t>gc</w:t>
      </w:r>
      <w:proofErr w:type="spellEnd"/>
      <w:r>
        <w:t xml:space="preserve">, gf, </w:t>
      </w:r>
      <w:proofErr w:type="spellStart"/>
      <w:r>
        <w:t>jp</w:t>
      </w:r>
      <w:proofErr w:type="spellEnd"/>
      <w:r>
        <w:t xml:space="preserve">), with subject </w:t>
      </w:r>
      <w:proofErr w:type="spellStart"/>
      <w:r>
        <w:t>jf</w:t>
      </w:r>
      <w:proofErr w:type="spellEnd"/>
      <w:r>
        <w:t xml:space="preserve"> showing anomalously high R² (≈1.0) across nearly all channels that warrants investigation for potential data artifacts prior to inclusion in group analyses.</w:t>
      </w:r>
    </w:p>
    <w:p w14:paraId="672CC3E8" w14:textId="5B3D3775" w:rsidR="00503245" w:rsidRDefault="000D2686" w:rsidP="005B7588">
      <w:pPr>
        <w:spacing w:before="100" w:beforeAutospacing="1" w:after="100" w:afterAutospacing="1"/>
        <w:rPr>
          <w:lang w:val="en-US"/>
        </w:rPr>
      </w:pPr>
      <w:r w:rsidRPr="000D2686">
        <w:lastRenderedPageBreak/>
        <w:drawing>
          <wp:inline distT="0" distB="0" distL="0" distR="0" wp14:anchorId="56857C36" wp14:editId="35C3ACEE">
            <wp:extent cx="5731510" cy="4961890"/>
            <wp:effectExtent l="0" t="0" r="0" b="3810"/>
            <wp:docPr id="17940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8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33D" w14:textId="0AF5F154" w:rsidR="000D2686" w:rsidRDefault="000D2686" w:rsidP="005B7588">
      <w:pPr>
        <w:spacing w:before="100" w:beforeAutospacing="1" w:after="100" w:afterAutospacing="1"/>
        <w:rPr>
          <w:lang w:val="en-US"/>
        </w:rPr>
      </w:pPr>
      <w:r>
        <w:rPr>
          <w:rStyle w:val="Strong"/>
        </w:rPr>
        <w:t>Trial stationarity of HFB power across session for all subjects</w:t>
      </w:r>
      <w:r>
        <w:t xml:space="preserve"> — 6/19 subjects show significant drift (Mann-Whitney U, p&lt;0.05), including gradual attenuation in </w:t>
      </w:r>
      <w:proofErr w:type="spellStart"/>
      <w:r>
        <w:t>fp</w:t>
      </w:r>
      <w:proofErr w:type="spellEnd"/>
      <w:r>
        <w:t xml:space="preserve"> (p=0.004), </w:t>
      </w:r>
      <w:proofErr w:type="spellStart"/>
      <w:r>
        <w:t>gc</w:t>
      </w:r>
      <w:proofErr w:type="spellEnd"/>
      <w:r>
        <w:t xml:space="preserve"> (p=0.013), gf (p=0.001), and ug (p=0.001), and discrete step changes in </w:t>
      </w:r>
      <w:proofErr w:type="spellStart"/>
      <w:r>
        <w:t>jc</w:t>
      </w:r>
      <w:proofErr w:type="spellEnd"/>
      <w:r>
        <w:t xml:space="preserve"> (p=0.000) and </w:t>
      </w:r>
      <w:proofErr w:type="spellStart"/>
      <w:r>
        <w:t>jf</w:t>
      </w:r>
      <w:proofErr w:type="spellEnd"/>
      <w:r>
        <w:t xml:space="preserve"> (p=0.000), the latter exhibiting a near-zero to high-power transition at trial ~30 that explains the anomalous R²≈1.0 observed in the responsive electrode map and confirms </w:t>
      </w:r>
      <w:proofErr w:type="spellStart"/>
      <w:r>
        <w:t>jf</w:t>
      </w:r>
      <w:proofErr w:type="spellEnd"/>
      <w:r>
        <w:t xml:space="preserve"> as an artifact-driven outlier requiring exclusion.</w:t>
      </w:r>
      <w:r>
        <w:t xml:space="preserve"> Reject JF.</w:t>
      </w:r>
    </w:p>
    <w:p w14:paraId="5B0FAA72" w14:textId="77777777" w:rsidR="000D2686" w:rsidRDefault="000D2686" w:rsidP="005B7588">
      <w:pPr>
        <w:spacing w:before="100" w:beforeAutospacing="1" w:after="100" w:afterAutospacing="1"/>
        <w:rPr>
          <w:lang w:val="en-US"/>
        </w:rPr>
      </w:pPr>
    </w:p>
    <w:p w14:paraId="1CFD109B" w14:textId="1837E90D" w:rsidR="00503245" w:rsidRPr="00A077C5" w:rsidRDefault="00503245" w:rsidP="005B7588">
      <w:pPr>
        <w:spacing w:before="100" w:beforeAutospacing="1" w:after="100" w:afterAutospacing="1"/>
      </w:pPr>
    </w:p>
    <w:sectPr w:rsidR="00503245" w:rsidRPr="00A07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2CD8"/>
    <w:multiLevelType w:val="multilevel"/>
    <w:tmpl w:val="4938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F6AD9"/>
    <w:multiLevelType w:val="multilevel"/>
    <w:tmpl w:val="AE5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85718">
    <w:abstractNumId w:val="0"/>
  </w:num>
  <w:num w:numId="2" w16cid:durableId="180971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66"/>
    <w:rsid w:val="000D2686"/>
    <w:rsid w:val="00293898"/>
    <w:rsid w:val="00345019"/>
    <w:rsid w:val="004925DB"/>
    <w:rsid w:val="00503245"/>
    <w:rsid w:val="005B7588"/>
    <w:rsid w:val="00756CBC"/>
    <w:rsid w:val="007F4BF8"/>
    <w:rsid w:val="008F2C76"/>
    <w:rsid w:val="00A077C5"/>
    <w:rsid w:val="00A16979"/>
    <w:rsid w:val="00EC1361"/>
    <w:rsid w:val="00F4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F7FF"/>
  <w15:chartTrackingRefBased/>
  <w15:docId w15:val="{60ED66A2-D18F-9342-A6EB-233372B4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5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6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077C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A1697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16979"/>
    <w:rPr>
      <w:b/>
      <w:bCs/>
    </w:rPr>
  </w:style>
  <w:style w:type="character" w:customStyle="1" w:styleId="text-text-500">
    <w:name w:val="text-text-500"/>
    <w:basedOn w:val="DefaultParagraphFont"/>
    <w:rsid w:val="005B7588"/>
  </w:style>
  <w:style w:type="character" w:customStyle="1" w:styleId="absolute">
    <w:name w:val="absolute"/>
    <w:basedOn w:val="DefaultParagraphFont"/>
    <w:rsid w:val="005B7588"/>
  </w:style>
  <w:style w:type="character" w:customStyle="1" w:styleId="inline-flex">
    <w:name w:val="inline-flex"/>
    <w:basedOn w:val="DefaultParagraphFont"/>
    <w:rsid w:val="005B7588"/>
  </w:style>
  <w:style w:type="character" w:customStyle="1" w:styleId="transition-all">
    <w:name w:val="transition-all"/>
    <w:basedOn w:val="DefaultParagraphFont"/>
    <w:rsid w:val="005B7588"/>
  </w:style>
  <w:style w:type="paragraph" w:customStyle="1" w:styleId="font-claude-response-body">
    <w:name w:val="font-claude-response-body"/>
    <w:basedOn w:val="Normal"/>
    <w:rsid w:val="005B758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Hsia</dc:creator>
  <cp:keywords/>
  <dc:description/>
  <cp:lastModifiedBy>Arthur Hsia</cp:lastModifiedBy>
  <cp:revision>3</cp:revision>
  <cp:lastPrinted>2026-06-10T06:13:00Z</cp:lastPrinted>
  <dcterms:created xsi:type="dcterms:W3CDTF">2026-06-15T08:54:00Z</dcterms:created>
  <dcterms:modified xsi:type="dcterms:W3CDTF">2026-06-15T09:21:00Z</dcterms:modified>
</cp:coreProperties>
</file>