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0D01" w14:textId="3A4B8651" w:rsidR="00F41666" w:rsidRDefault="00F41666">
      <w:r w:rsidRPr="00F41666">
        <w:rPr>
          <w:noProof/>
        </w:rPr>
        <w:t xml:space="preserve"> </w:t>
      </w:r>
      <w:r w:rsidRPr="00F41666">
        <w:drawing>
          <wp:inline distT="0" distB="0" distL="0" distR="0" wp14:anchorId="74A6DA36" wp14:editId="17301EDF">
            <wp:extent cx="5731510" cy="5546725"/>
            <wp:effectExtent l="0" t="0" r="0" b="3175"/>
            <wp:docPr id="198490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03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BAEE" w14:textId="77777777" w:rsidR="00F41666" w:rsidRDefault="00F41666"/>
    <w:p w14:paraId="0950C650" w14:textId="77777777" w:rsidR="00F41666" w:rsidRDefault="00F41666" w:rsidP="00F41666">
      <w:r>
        <w:rPr>
          <w:lang w:val="en-US"/>
        </w:rPr>
        <w:t>Summary</w:t>
      </w:r>
      <w:r w:rsidRPr="00F41666">
        <w:t xml:space="preserve"> </w:t>
      </w:r>
    </w:p>
    <w:p w14:paraId="4BEF4D7E" w14:textId="30B9C712" w:rsidR="00F41666" w:rsidRDefault="00F41666" w:rsidP="00F41666">
      <w:r>
        <w:t xml:space="preserve">We investigated how hand and tongue movements modulated neural power in high frequency broadband (HFB, ~70-115 Hz) and low frequency bands (LFB, ~0-30 Hz) using electrocorticographic recordings from 19 subjects performing Miller's </w:t>
      </w:r>
      <w:proofErr w:type="spellStart"/>
      <w:r>
        <w:t>motor_basic</w:t>
      </w:r>
      <w:proofErr w:type="spellEnd"/>
      <w:r>
        <w:t xml:space="preserve"> paradigm. By comparing movement periods to rest, we assessed both the statistical significance and effect size of power changes at each electrode across the cortical surface.</w:t>
      </w:r>
    </w:p>
    <w:p w14:paraId="4A0D69B8" w14:textId="7F9D92CE" w:rsidR="00F41666" w:rsidRDefault="00F41666" w:rsidP="00F41666">
      <w:r>
        <w:t>Plot A shows the n</w:t>
      </w:r>
      <w:r>
        <w:t>umber of significant electrodes (p &lt; 0.05) per subject for hand and tongue movements in both HFB and LFB bands. Electrode counts vary substantially across subjects, reflecting the stochastic nature of clinical electrode placement</w:t>
      </w:r>
      <w:r>
        <w:t>.</w:t>
      </w:r>
    </w:p>
    <w:p w14:paraId="6FCB56B5" w14:textId="77777777" w:rsidR="00F41666" w:rsidRDefault="00F41666" w:rsidP="00F41666"/>
    <w:p w14:paraId="7438C1DD" w14:textId="4529100C" w:rsidR="00F41666" w:rsidRDefault="00F41666" w:rsidP="00F41666">
      <w:pPr>
        <w:rPr>
          <w:lang w:val="en-US"/>
        </w:rPr>
      </w:pPr>
      <w:r>
        <w:lastRenderedPageBreak/>
        <w:t xml:space="preserve">We can then look at the effect sizes of the significant electrodes from A. The reason why most of the effect sizes for both LFB and HFB are at 0 is because </w:t>
      </w:r>
      <w:proofErr w:type="gramStart"/>
      <w:r>
        <w:t>the majority of</w:t>
      </w:r>
      <w:proofErr w:type="gramEnd"/>
      <w:r>
        <w:t xml:space="preserve"> the electrodes are unrelated to hand and tongue movements. B(top) shows the effect sizes (r^2) of high frequency broadband. The electrodes that deviate from 0 show a positive effect size for B(top), reflecting the increase in neural power in high frequency broadband during hand and tongue movements.</w:t>
      </w:r>
      <w:r>
        <w:rPr>
          <w:rFonts w:hint="eastAsia"/>
        </w:rPr>
        <w:t xml:space="preserve"> </w:t>
      </w:r>
      <w:r>
        <w:t>This is consistent with HFB reflecting increased local neuronal population activity beneath the electrode during motor execution.</w:t>
      </w:r>
      <w:r>
        <w:rPr>
          <w:rFonts w:hint="eastAsia"/>
        </w:rPr>
        <w:t xml:space="preserve"> O</w:t>
      </w:r>
      <w:r>
        <w:rPr>
          <w:lang w:val="en-US"/>
        </w:rPr>
        <w:t>n the other hand, for LFB, the electrodes that deviate from 0 show a negative effect size. This is an event related desynchronization, reflecting the breakdown of synchronous beta oscillations during movements.</w:t>
      </w:r>
    </w:p>
    <w:p w14:paraId="76224174" w14:textId="217B273B" w:rsidR="00F41666" w:rsidRDefault="00F41666" w:rsidP="00F41666">
      <w:r>
        <w:t xml:space="preserve">Panel C shows the breakdown of HFB electrode selectivity pooled across all subjects. Of the 1,043 total electrodes, the majority (598) showed no selectivity for either movement, consistent with the zero-peak observed in Panel B. Of the remaining electrodes, 153 responded selectively to hand movement only, 182 to tongue movement only, and 110 to both. The fact that hand-only and tongue-only electrodes outnumber </w:t>
      </w:r>
      <w:proofErr w:type="gramStart"/>
      <w:r>
        <w:t>the both</w:t>
      </w:r>
      <w:proofErr w:type="gramEnd"/>
      <w:r>
        <w:t xml:space="preserve"> category suggests that HFB captures spatially specific motor representations, with distinct electrode populations encoding hand and tongue movements separately. </w:t>
      </w:r>
      <w:r>
        <w:t xml:space="preserve">On the other </w:t>
      </w:r>
      <w:proofErr w:type="gramStart"/>
      <w:r>
        <w:t>hand ,</w:t>
      </w:r>
      <w:proofErr w:type="gramEnd"/>
      <w:r>
        <w:t xml:space="preserve"> LFB reported 189 for both, 172 for hand and 126 for tongue. </w:t>
      </w:r>
      <w:r>
        <w:t>This spatial specificity is a key advantage of HFB over LFB, which tends to suppress broadly and non-selectively across the peri-central cortical surface during movement.</w:t>
      </w:r>
      <w:r>
        <w:t xml:space="preserve"> </w:t>
      </w:r>
    </w:p>
    <w:p w14:paraId="65BC5173" w14:textId="1D114332" w:rsidR="00F41666" w:rsidRDefault="00F41666">
      <w:r>
        <w:t xml:space="preserve">Panel D shows the group-averaged decibel (dB) change in neural power across frequencies at the best hand electrode, comparing movement to rest across all 19 subjects. A positive dB value indicates greater power during movement relative to rest, while a negative value indicates suppression. Two distinct patterns are visible. In the low frequency range (green shaded region, ~0-30 Hz), there is a clear power decrease bottoming out at approximately -5 dB around 20 Hz, reflecting the event-related desynchronization (ERD) of beta oscillations during hand movement. In the high frequency range (orange shaded region, ~70-115 Hz), there is a sustained power increase of approximately +2 dB, reflecting the broadband neuronal activity increase during motor execution. These two effects are opposite in direction, consistent with the opposing signed r² distributions seen in Panel B. </w:t>
      </w:r>
    </w:p>
    <w:p w14:paraId="205870B8" w14:textId="77777777" w:rsidR="00A077C5" w:rsidRDefault="00A077C5"/>
    <w:p w14:paraId="00C0B737" w14:textId="77777777" w:rsidR="00A077C5" w:rsidRDefault="00A077C5"/>
    <w:p w14:paraId="62CAACDD" w14:textId="77777777" w:rsidR="00A077C5" w:rsidRDefault="00A077C5"/>
    <w:p w14:paraId="5829CDD3" w14:textId="77777777" w:rsidR="00A077C5" w:rsidRDefault="00A077C5"/>
    <w:p w14:paraId="1D9B30EE" w14:textId="77777777" w:rsidR="00A077C5" w:rsidRDefault="00A077C5"/>
    <w:p w14:paraId="4B68FB65" w14:textId="77777777" w:rsidR="00A077C5" w:rsidRDefault="00A077C5"/>
    <w:p w14:paraId="18A02F4A" w14:textId="77777777" w:rsidR="00A077C5" w:rsidRDefault="00A077C5" w:rsidP="00A077C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我们利用</w:t>
      </w:r>
      <w:r>
        <w:rPr>
          <w:rFonts w:ascii="Segoe UI" w:hAnsi="Segoe UI" w:cs="Segoe UI"/>
          <w:color w:val="0F1115"/>
        </w:rPr>
        <w:t>19</w:t>
      </w:r>
      <w:r>
        <w:rPr>
          <w:rFonts w:ascii="Microsoft YaHei" w:eastAsia="Microsoft YaHei" w:hAnsi="Microsoft YaHei" w:cs="Microsoft YaHei" w:hint="eastAsia"/>
          <w:color w:val="0F1115"/>
        </w:rPr>
        <w:t>名受试者在执行</w:t>
      </w:r>
      <w:r>
        <w:rPr>
          <w:rFonts w:ascii="Segoe UI" w:hAnsi="Segoe UI" w:cs="Segoe UI"/>
          <w:color w:val="0F1115"/>
        </w:rPr>
        <w:t>Miller</w:t>
      </w:r>
      <w:r>
        <w:rPr>
          <w:rFonts w:ascii="Microsoft YaHei" w:eastAsia="Microsoft YaHei" w:hAnsi="Microsoft YaHei" w:cs="Microsoft YaHei" w:hint="eastAsia"/>
          <w:color w:val="0F1115"/>
        </w:rPr>
        <w:t>的</w:t>
      </w:r>
      <w:r>
        <w:rPr>
          <w:rFonts w:ascii="Segoe UI" w:hAnsi="Segoe UI" w:cs="Segoe UI"/>
          <w:color w:val="0F1115"/>
        </w:rPr>
        <w:t>“</w:t>
      </w:r>
      <w:proofErr w:type="spellStart"/>
      <w:r>
        <w:rPr>
          <w:rFonts w:ascii="Segoe UI" w:hAnsi="Segoe UI" w:cs="Segoe UI"/>
          <w:color w:val="0F1115"/>
        </w:rPr>
        <w:t>motor_basic</w:t>
      </w:r>
      <w:proofErr w:type="spellEnd"/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范式期间的皮层电图记录，研究了手部与舌部运动如何调节高频宽带（</w:t>
      </w:r>
      <w:r>
        <w:rPr>
          <w:rFonts w:ascii="Segoe UI" w:hAnsi="Segoe UI" w:cs="Segoe UI"/>
          <w:color w:val="0F1115"/>
        </w:rPr>
        <w:t>HFB</w:t>
      </w:r>
      <w:r>
        <w:rPr>
          <w:rFonts w:ascii="Microsoft YaHei" w:eastAsia="Microsoft YaHei" w:hAnsi="Microsoft YaHei" w:cs="Microsoft YaHei" w:hint="eastAsia"/>
          <w:color w:val="0F1115"/>
        </w:rPr>
        <w:t>，约</w:t>
      </w:r>
      <w:r>
        <w:rPr>
          <w:rFonts w:ascii="Segoe UI" w:hAnsi="Segoe UI" w:cs="Segoe UI"/>
          <w:color w:val="0F1115"/>
        </w:rPr>
        <w:t>70-115 Hz</w:t>
      </w:r>
      <w:r>
        <w:rPr>
          <w:rFonts w:ascii="Microsoft YaHei" w:eastAsia="Microsoft YaHei" w:hAnsi="Microsoft YaHei" w:cs="Microsoft YaHei" w:hint="eastAsia"/>
          <w:color w:val="0F1115"/>
        </w:rPr>
        <w:t>）和低频段（</w:t>
      </w:r>
      <w:r>
        <w:rPr>
          <w:rFonts w:ascii="Segoe UI" w:hAnsi="Segoe UI" w:cs="Segoe UI"/>
          <w:color w:val="0F1115"/>
        </w:rPr>
        <w:t>LFB</w:t>
      </w:r>
      <w:r>
        <w:rPr>
          <w:rFonts w:ascii="Microsoft YaHei" w:eastAsia="Microsoft YaHei" w:hAnsi="Microsoft YaHei" w:cs="Microsoft YaHei" w:hint="eastAsia"/>
          <w:color w:val="0F1115"/>
        </w:rPr>
        <w:t>，约</w:t>
      </w:r>
      <w:r>
        <w:rPr>
          <w:rFonts w:ascii="Segoe UI" w:hAnsi="Segoe UI" w:cs="Segoe UI"/>
          <w:color w:val="0F1115"/>
        </w:rPr>
        <w:t>0-30 Hz</w:t>
      </w:r>
      <w:r>
        <w:rPr>
          <w:rFonts w:ascii="Microsoft YaHei" w:eastAsia="Microsoft YaHei" w:hAnsi="Microsoft YaHei" w:cs="Microsoft YaHei" w:hint="eastAsia"/>
          <w:color w:val="0F1115"/>
        </w:rPr>
        <w:t>）的神经功率。通过将运动期与静息期进行比较，我们评估了皮层表面每个电极处功率变化的统计显著性及效应量。</w:t>
      </w:r>
    </w:p>
    <w:p w14:paraId="5442D677" w14:textId="77777777" w:rsidR="00A077C5" w:rsidRDefault="00A077C5" w:rsidP="00A077C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图</w:t>
      </w:r>
      <w:r>
        <w:rPr>
          <w:rFonts w:ascii="Segoe UI" w:hAnsi="Segoe UI" w:cs="Segoe UI"/>
          <w:color w:val="0F1115"/>
        </w:rPr>
        <w:t>A</w:t>
      </w:r>
      <w:r>
        <w:rPr>
          <w:rFonts w:ascii="Microsoft YaHei" w:eastAsia="Microsoft YaHei" w:hAnsi="Microsoft YaHei" w:cs="Microsoft YaHei" w:hint="eastAsia"/>
          <w:color w:val="0F1115"/>
        </w:rPr>
        <w:t>展示了每位受试者中，对于手部和舌部运动在</w:t>
      </w:r>
      <w:r>
        <w:rPr>
          <w:rFonts w:ascii="Segoe UI" w:hAnsi="Segoe UI" w:cs="Segoe UI"/>
          <w:color w:val="0F1115"/>
        </w:rPr>
        <w:t>HFB</w:t>
      </w:r>
      <w:r>
        <w:rPr>
          <w:rFonts w:ascii="Microsoft YaHei" w:eastAsia="Microsoft YaHei" w:hAnsi="Microsoft YaHei" w:cs="Microsoft YaHei" w:hint="eastAsia"/>
          <w:color w:val="0F1115"/>
        </w:rPr>
        <w:t>和</w:t>
      </w:r>
      <w:r>
        <w:rPr>
          <w:rFonts w:ascii="Segoe UI" w:hAnsi="Segoe UI" w:cs="Segoe UI"/>
          <w:color w:val="0F1115"/>
        </w:rPr>
        <w:t>LFB</w:t>
      </w:r>
      <w:r>
        <w:rPr>
          <w:rFonts w:ascii="Microsoft YaHei" w:eastAsia="Microsoft YaHei" w:hAnsi="Microsoft YaHei" w:cs="Microsoft YaHei" w:hint="eastAsia"/>
          <w:color w:val="0F1115"/>
        </w:rPr>
        <w:t>频段下具有显著性的电极数量（</w:t>
      </w:r>
      <w:r>
        <w:rPr>
          <w:rFonts w:ascii="Segoe UI" w:hAnsi="Segoe UI" w:cs="Segoe UI"/>
          <w:color w:val="0F1115"/>
        </w:rPr>
        <w:t>p &lt; 0.05</w:t>
      </w:r>
      <w:r>
        <w:rPr>
          <w:rFonts w:ascii="Microsoft YaHei" w:eastAsia="Microsoft YaHei" w:hAnsi="Microsoft YaHei" w:cs="Microsoft YaHei" w:hint="eastAsia"/>
          <w:color w:val="0F1115"/>
        </w:rPr>
        <w:t>）。不同受试者间的电极数量差异很大，这反映了临床电极放置的随机性。</w:t>
      </w:r>
    </w:p>
    <w:p w14:paraId="232A6FFE" w14:textId="77777777" w:rsidR="00A077C5" w:rsidRDefault="00A077C5" w:rsidP="00A077C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接下来，我们观察图</w:t>
      </w:r>
      <w:r>
        <w:rPr>
          <w:rFonts w:ascii="Segoe UI" w:hAnsi="Segoe UI" w:cs="Segoe UI"/>
          <w:color w:val="0F1115"/>
        </w:rPr>
        <w:t>A</w:t>
      </w:r>
      <w:r>
        <w:rPr>
          <w:rFonts w:ascii="Microsoft YaHei" w:eastAsia="Microsoft YaHei" w:hAnsi="Microsoft YaHei" w:cs="Microsoft YaHei" w:hint="eastAsia"/>
          <w:color w:val="0F1115"/>
        </w:rPr>
        <w:t>中那些显著电极的效应量。对于</w:t>
      </w:r>
      <w:r>
        <w:rPr>
          <w:rFonts w:ascii="Segoe UI" w:hAnsi="Segoe UI" w:cs="Segoe UI"/>
          <w:color w:val="0F1115"/>
        </w:rPr>
        <w:t>LFB</w:t>
      </w:r>
      <w:r>
        <w:rPr>
          <w:rFonts w:ascii="Microsoft YaHei" w:eastAsia="Microsoft YaHei" w:hAnsi="Microsoft YaHei" w:cs="Microsoft YaHei" w:hint="eastAsia"/>
          <w:color w:val="0F1115"/>
        </w:rPr>
        <w:t>和</w:t>
      </w:r>
      <w:r>
        <w:rPr>
          <w:rFonts w:ascii="Segoe UI" w:hAnsi="Segoe UI" w:cs="Segoe UI"/>
          <w:color w:val="0F1115"/>
        </w:rPr>
        <w:t>HFB</w:t>
      </w:r>
      <w:r>
        <w:rPr>
          <w:rFonts w:ascii="Microsoft YaHei" w:eastAsia="Microsoft YaHei" w:hAnsi="Microsoft YaHei" w:cs="Microsoft YaHei" w:hint="eastAsia"/>
          <w:color w:val="0F1115"/>
        </w:rPr>
        <w:t>，大多数效应量为</w:t>
      </w:r>
      <w:r>
        <w:rPr>
          <w:rFonts w:ascii="Segoe UI" w:hAnsi="Segoe UI" w:cs="Segoe UI"/>
          <w:color w:val="0F1115"/>
        </w:rPr>
        <w:t>0</w:t>
      </w:r>
      <w:r>
        <w:rPr>
          <w:rFonts w:ascii="Microsoft YaHei" w:eastAsia="Microsoft YaHei" w:hAnsi="Microsoft YaHei" w:cs="Microsoft YaHei" w:hint="eastAsia"/>
          <w:color w:val="0F1115"/>
        </w:rPr>
        <w:t>，原因是大部分电极与手部及舌部运动无关。图</w:t>
      </w:r>
      <w:r>
        <w:rPr>
          <w:rFonts w:ascii="Segoe UI" w:hAnsi="Segoe UI" w:cs="Segoe UI"/>
          <w:color w:val="0F1115"/>
        </w:rPr>
        <w:t>B</w:t>
      </w:r>
      <w:r>
        <w:rPr>
          <w:rFonts w:ascii="Microsoft YaHei" w:eastAsia="Microsoft YaHei" w:hAnsi="Microsoft YaHei" w:cs="Microsoft YaHei" w:hint="eastAsia"/>
          <w:color w:val="0F1115"/>
        </w:rPr>
        <w:t>（上）显示了高频宽带（</w:t>
      </w:r>
      <w:r>
        <w:rPr>
          <w:rFonts w:ascii="Segoe UI" w:hAnsi="Segoe UI" w:cs="Segoe UI"/>
          <w:color w:val="0F1115"/>
        </w:rPr>
        <w:t>HFB</w:t>
      </w:r>
      <w:r>
        <w:rPr>
          <w:rFonts w:ascii="Microsoft YaHei" w:eastAsia="Microsoft YaHei" w:hAnsi="Microsoft YaHei" w:cs="Microsoft YaHei" w:hint="eastAsia"/>
          <w:color w:val="0F1115"/>
        </w:rPr>
        <w:t>）的效应量（</w:t>
      </w:r>
      <w:r>
        <w:rPr>
          <w:rFonts w:ascii="Segoe UI" w:hAnsi="Segoe UI" w:cs="Segoe UI"/>
          <w:color w:val="0F1115"/>
        </w:rPr>
        <w:t>r²</w:t>
      </w:r>
      <w:r>
        <w:rPr>
          <w:rFonts w:ascii="Microsoft YaHei" w:eastAsia="Microsoft YaHei" w:hAnsi="Microsoft YaHei" w:cs="Microsoft YaHei" w:hint="eastAsia"/>
          <w:color w:val="0F1115"/>
        </w:rPr>
        <w:t>）。偏离</w:t>
      </w:r>
      <w:r>
        <w:rPr>
          <w:rFonts w:ascii="Segoe UI" w:hAnsi="Segoe UI" w:cs="Segoe UI"/>
          <w:color w:val="0F1115"/>
        </w:rPr>
        <w:t>0</w:t>
      </w:r>
      <w:r>
        <w:rPr>
          <w:rFonts w:ascii="Microsoft YaHei" w:eastAsia="Microsoft YaHei" w:hAnsi="Microsoft YaHei" w:cs="Microsoft YaHei" w:hint="eastAsia"/>
          <w:color w:val="0F1115"/>
        </w:rPr>
        <w:t>的电极显示出正的效应量，反映了在手部和舌部运动期间，高频宽带神经功率的增加。这与</w:t>
      </w:r>
      <w:r>
        <w:rPr>
          <w:rFonts w:ascii="Segoe UI" w:hAnsi="Segoe UI" w:cs="Segoe UI"/>
          <w:color w:val="0F1115"/>
        </w:rPr>
        <w:t>HFB</w:t>
      </w:r>
      <w:r>
        <w:rPr>
          <w:rFonts w:ascii="Microsoft YaHei" w:eastAsia="Microsoft YaHei" w:hAnsi="Microsoft YaHei" w:cs="Microsoft YaHei" w:hint="eastAsia"/>
          <w:color w:val="0F1115"/>
        </w:rPr>
        <w:t>反映运动执行期间电极下方局部神经元群体活动增强的结论一致。另一方面，对于</w:t>
      </w:r>
      <w:r>
        <w:rPr>
          <w:rFonts w:ascii="Segoe UI" w:hAnsi="Segoe UI" w:cs="Segoe UI"/>
          <w:color w:val="0F1115"/>
        </w:rPr>
        <w:t>LFB</w:t>
      </w:r>
      <w:r>
        <w:rPr>
          <w:rFonts w:ascii="Microsoft YaHei" w:eastAsia="Microsoft YaHei" w:hAnsi="Microsoft YaHei" w:cs="Microsoft YaHei" w:hint="eastAsia"/>
          <w:color w:val="0F1115"/>
        </w:rPr>
        <w:t>，偏离</w:t>
      </w:r>
      <w:r>
        <w:rPr>
          <w:rFonts w:ascii="Segoe UI" w:hAnsi="Segoe UI" w:cs="Segoe UI"/>
          <w:color w:val="0F1115"/>
        </w:rPr>
        <w:t>0</w:t>
      </w:r>
      <w:r>
        <w:rPr>
          <w:rFonts w:ascii="Microsoft YaHei" w:eastAsia="Microsoft YaHei" w:hAnsi="Microsoft YaHei" w:cs="Microsoft YaHei" w:hint="eastAsia"/>
          <w:color w:val="0F1115"/>
        </w:rPr>
        <w:t>的电极显示出负的效应量。这是一种事件相关去同步化，反映了运动期间</w:t>
      </w:r>
      <w:r>
        <w:rPr>
          <w:rFonts w:ascii="Segoe UI" w:hAnsi="Segoe UI" w:cs="Segoe UI"/>
          <w:color w:val="0F1115"/>
        </w:rPr>
        <w:t>beta</w:t>
      </w:r>
      <w:r>
        <w:rPr>
          <w:rFonts w:ascii="Microsoft YaHei" w:eastAsia="Microsoft YaHei" w:hAnsi="Microsoft YaHei" w:cs="Microsoft YaHei" w:hint="eastAsia"/>
          <w:color w:val="0F1115"/>
        </w:rPr>
        <w:t>振荡同步性的破坏。</w:t>
      </w:r>
    </w:p>
    <w:p w14:paraId="2E17382B" w14:textId="77777777" w:rsidR="00A077C5" w:rsidRDefault="00A077C5" w:rsidP="00A077C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图</w:t>
      </w:r>
      <w:r>
        <w:rPr>
          <w:rFonts w:ascii="Segoe UI" w:hAnsi="Segoe UI" w:cs="Segoe UI"/>
          <w:color w:val="0F1115"/>
        </w:rPr>
        <w:t>C</w:t>
      </w:r>
      <w:r>
        <w:rPr>
          <w:rFonts w:ascii="Microsoft YaHei" w:eastAsia="Microsoft YaHei" w:hAnsi="Microsoft YaHei" w:cs="Microsoft YaHei" w:hint="eastAsia"/>
          <w:color w:val="0F1115"/>
        </w:rPr>
        <w:t>显示了汇总所有受试者的</w:t>
      </w:r>
      <w:r>
        <w:rPr>
          <w:rFonts w:ascii="Segoe UI" w:hAnsi="Segoe UI" w:cs="Segoe UI"/>
          <w:color w:val="0F1115"/>
        </w:rPr>
        <w:t>HFB</w:t>
      </w:r>
      <w:r>
        <w:rPr>
          <w:rFonts w:ascii="Microsoft YaHei" w:eastAsia="Microsoft YaHei" w:hAnsi="Microsoft YaHei" w:cs="Microsoft YaHei" w:hint="eastAsia"/>
          <w:color w:val="0F1115"/>
        </w:rPr>
        <w:t>电极选择性分类。在总共</w:t>
      </w:r>
      <w:r>
        <w:rPr>
          <w:rFonts w:ascii="Segoe UI" w:hAnsi="Segoe UI" w:cs="Segoe UI"/>
          <w:color w:val="0F1115"/>
        </w:rPr>
        <w:t>1043</w:t>
      </w:r>
      <w:r>
        <w:rPr>
          <w:rFonts w:ascii="Microsoft YaHei" w:eastAsia="Microsoft YaHei" w:hAnsi="Microsoft YaHei" w:cs="Microsoft YaHei" w:hint="eastAsia"/>
          <w:color w:val="0F1115"/>
        </w:rPr>
        <w:t>个电极中，大多数（</w:t>
      </w:r>
      <w:r>
        <w:rPr>
          <w:rFonts w:ascii="Segoe UI" w:hAnsi="Segoe UI" w:cs="Segoe UI"/>
          <w:color w:val="0F1115"/>
        </w:rPr>
        <w:t>598</w:t>
      </w:r>
      <w:r>
        <w:rPr>
          <w:rFonts w:ascii="Microsoft YaHei" w:eastAsia="Microsoft YaHei" w:hAnsi="Microsoft YaHei" w:cs="Microsoft YaHei" w:hint="eastAsia"/>
          <w:color w:val="0F1115"/>
        </w:rPr>
        <w:t>个）对两种运动均无选择性，这与图</w:t>
      </w:r>
      <w:r>
        <w:rPr>
          <w:rFonts w:ascii="Segoe UI" w:hAnsi="Segoe UI" w:cs="Segoe UI"/>
          <w:color w:val="0F1115"/>
        </w:rPr>
        <w:t>B</w:t>
      </w:r>
      <w:r>
        <w:rPr>
          <w:rFonts w:ascii="Microsoft YaHei" w:eastAsia="Microsoft YaHei" w:hAnsi="Microsoft YaHei" w:cs="Microsoft YaHei" w:hint="eastAsia"/>
          <w:color w:val="0F1115"/>
        </w:rPr>
        <w:t>中观察到的零值峰值一致。在剩余的电极中，</w:t>
      </w:r>
      <w:r>
        <w:rPr>
          <w:rFonts w:ascii="Segoe UI" w:hAnsi="Segoe UI" w:cs="Segoe UI"/>
          <w:color w:val="0F1115"/>
        </w:rPr>
        <w:t>153</w:t>
      </w:r>
      <w:r>
        <w:rPr>
          <w:rFonts w:ascii="Microsoft YaHei" w:eastAsia="Microsoft YaHei" w:hAnsi="Microsoft YaHei" w:cs="Microsoft YaHei" w:hint="eastAsia"/>
          <w:color w:val="0F1115"/>
        </w:rPr>
        <w:t>个仅对手部运动有选择性响应，</w:t>
      </w:r>
      <w:r>
        <w:rPr>
          <w:rFonts w:ascii="Segoe UI" w:hAnsi="Segoe UI" w:cs="Segoe UI"/>
          <w:color w:val="0F1115"/>
        </w:rPr>
        <w:t>182</w:t>
      </w:r>
      <w:r>
        <w:rPr>
          <w:rFonts w:ascii="Microsoft YaHei" w:eastAsia="Microsoft YaHei" w:hAnsi="Microsoft YaHei" w:cs="Microsoft YaHei" w:hint="eastAsia"/>
          <w:color w:val="0F1115"/>
        </w:rPr>
        <w:t>个仅对舌部运动有选择性响应，</w:t>
      </w:r>
      <w:r>
        <w:rPr>
          <w:rFonts w:ascii="Segoe UI" w:hAnsi="Segoe UI" w:cs="Segoe UI"/>
          <w:color w:val="0F1115"/>
        </w:rPr>
        <w:t>110</w:t>
      </w:r>
      <w:r>
        <w:rPr>
          <w:rFonts w:ascii="Microsoft YaHei" w:eastAsia="Microsoft YaHei" w:hAnsi="Microsoft YaHei" w:cs="Microsoft YaHei" w:hint="eastAsia"/>
          <w:color w:val="0F1115"/>
        </w:rPr>
        <w:t>个对两种运动均有响应。手部专属和舌部专属电极数量超过</w:t>
      </w:r>
      <w:r>
        <w:rPr>
          <w:rFonts w:ascii="Segoe UI" w:hAnsi="Segoe UI" w:cs="Segoe UI"/>
          <w:color w:val="0F1115"/>
        </w:rPr>
        <w:t>“</w:t>
      </w:r>
      <w:r>
        <w:rPr>
          <w:rFonts w:ascii="Microsoft YaHei" w:eastAsia="Microsoft YaHei" w:hAnsi="Microsoft YaHei" w:cs="Microsoft YaHei" w:hint="eastAsia"/>
          <w:color w:val="0F1115"/>
        </w:rPr>
        <w:t>两者均响应</w:t>
      </w:r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的类别，表明</w:t>
      </w:r>
      <w:r>
        <w:rPr>
          <w:rFonts w:ascii="Segoe UI" w:hAnsi="Segoe UI" w:cs="Segoe UI"/>
          <w:color w:val="0F1115"/>
        </w:rPr>
        <w:t>HFB</w:t>
      </w:r>
      <w:r>
        <w:rPr>
          <w:rFonts w:ascii="Microsoft YaHei" w:eastAsia="Microsoft YaHei" w:hAnsi="Microsoft YaHei" w:cs="Microsoft YaHei" w:hint="eastAsia"/>
          <w:color w:val="0F1115"/>
        </w:rPr>
        <w:t>能够捕捉到具有空间特异性的运动表征，即不同的电极群体分别编码手部和舌部运动。相比之下，</w:t>
      </w:r>
      <w:r>
        <w:rPr>
          <w:rFonts w:ascii="Segoe UI" w:hAnsi="Segoe UI" w:cs="Segoe UI"/>
          <w:color w:val="0F1115"/>
        </w:rPr>
        <w:t>LFB</w:t>
      </w:r>
      <w:r>
        <w:rPr>
          <w:rFonts w:ascii="Microsoft YaHei" w:eastAsia="Microsoft YaHei" w:hAnsi="Microsoft YaHei" w:cs="Microsoft YaHei" w:hint="eastAsia"/>
          <w:color w:val="0F1115"/>
        </w:rPr>
        <w:t>频段的数据为：两者均响应</w:t>
      </w:r>
      <w:r>
        <w:rPr>
          <w:rFonts w:ascii="Segoe UI" w:hAnsi="Segoe UI" w:cs="Segoe UI"/>
          <w:color w:val="0F1115"/>
        </w:rPr>
        <w:t>189</w:t>
      </w:r>
      <w:r>
        <w:rPr>
          <w:rFonts w:ascii="Microsoft YaHei" w:eastAsia="Microsoft YaHei" w:hAnsi="Microsoft YaHei" w:cs="Microsoft YaHei" w:hint="eastAsia"/>
          <w:color w:val="0F1115"/>
        </w:rPr>
        <w:t>个，手部专属</w:t>
      </w:r>
      <w:r>
        <w:rPr>
          <w:rFonts w:ascii="Segoe UI" w:hAnsi="Segoe UI" w:cs="Segoe UI"/>
          <w:color w:val="0F1115"/>
        </w:rPr>
        <w:t>172</w:t>
      </w:r>
      <w:r>
        <w:rPr>
          <w:rFonts w:ascii="Microsoft YaHei" w:eastAsia="Microsoft YaHei" w:hAnsi="Microsoft YaHei" w:cs="Microsoft YaHei" w:hint="eastAsia"/>
          <w:color w:val="0F1115"/>
        </w:rPr>
        <w:t>个，舌部专属</w:t>
      </w:r>
      <w:r>
        <w:rPr>
          <w:rFonts w:ascii="Segoe UI" w:hAnsi="Segoe UI" w:cs="Segoe UI"/>
          <w:color w:val="0F1115"/>
        </w:rPr>
        <w:t>126</w:t>
      </w:r>
      <w:r>
        <w:rPr>
          <w:rFonts w:ascii="Microsoft YaHei" w:eastAsia="Microsoft YaHei" w:hAnsi="Microsoft YaHei" w:cs="Microsoft YaHei" w:hint="eastAsia"/>
          <w:color w:val="0F1115"/>
        </w:rPr>
        <w:t>个。这种空间特异性是</w:t>
      </w:r>
      <w:r>
        <w:rPr>
          <w:rFonts w:ascii="Segoe UI" w:hAnsi="Segoe UI" w:cs="Segoe UI"/>
          <w:color w:val="0F1115"/>
        </w:rPr>
        <w:t>HFB</w:t>
      </w:r>
      <w:r>
        <w:rPr>
          <w:rFonts w:ascii="Microsoft YaHei" w:eastAsia="Microsoft YaHei" w:hAnsi="Microsoft YaHei" w:cs="Microsoft YaHei" w:hint="eastAsia"/>
          <w:color w:val="0F1115"/>
        </w:rPr>
        <w:t>相较于</w:t>
      </w:r>
      <w:r>
        <w:rPr>
          <w:rFonts w:ascii="Segoe UI" w:hAnsi="Segoe UI" w:cs="Segoe UI"/>
          <w:color w:val="0F1115"/>
        </w:rPr>
        <w:t>LFB</w:t>
      </w:r>
      <w:r>
        <w:rPr>
          <w:rFonts w:ascii="Microsoft YaHei" w:eastAsia="Microsoft YaHei" w:hAnsi="Microsoft YaHei" w:cs="Microsoft YaHei" w:hint="eastAsia"/>
          <w:color w:val="0F1115"/>
        </w:rPr>
        <w:t>的关键优势，因为</w:t>
      </w:r>
      <w:r>
        <w:rPr>
          <w:rFonts w:ascii="Segoe UI" w:hAnsi="Segoe UI" w:cs="Segoe UI"/>
          <w:color w:val="0F1115"/>
        </w:rPr>
        <w:t>LFB</w:t>
      </w:r>
      <w:r>
        <w:rPr>
          <w:rFonts w:ascii="Microsoft YaHei" w:eastAsia="Microsoft YaHei" w:hAnsi="Microsoft YaHei" w:cs="Microsoft YaHei" w:hint="eastAsia"/>
          <w:color w:val="0F1115"/>
        </w:rPr>
        <w:t>在运动期间倾向于在中央周皮层表面产生广泛且非选择性的抑制。</w:t>
      </w:r>
    </w:p>
    <w:p w14:paraId="4BD29BBE" w14:textId="77777777" w:rsidR="00A077C5" w:rsidRDefault="00A077C5" w:rsidP="00A077C5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图</w:t>
      </w:r>
      <w:r>
        <w:rPr>
          <w:rFonts w:ascii="Segoe UI" w:hAnsi="Segoe UI" w:cs="Segoe UI"/>
          <w:color w:val="0F1115"/>
        </w:rPr>
        <w:t>D</w:t>
      </w:r>
      <w:r>
        <w:rPr>
          <w:rFonts w:ascii="Microsoft YaHei" w:eastAsia="Microsoft YaHei" w:hAnsi="Microsoft YaHei" w:cs="Microsoft YaHei" w:hint="eastAsia"/>
          <w:color w:val="0F1115"/>
        </w:rPr>
        <w:t>显示了在所有</w:t>
      </w:r>
      <w:r>
        <w:rPr>
          <w:rFonts w:ascii="Segoe UI" w:hAnsi="Segoe UI" w:cs="Segoe UI"/>
          <w:color w:val="0F1115"/>
        </w:rPr>
        <w:t>19</w:t>
      </w:r>
      <w:r>
        <w:rPr>
          <w:rFonts w:ascii="Microsoft YaHei" w:eastAsia="Microsoft YaHei" w:hAnsi="Microsoft YaHei" w:cs="Microsoft YaHei" w:hint="eastAsia"/>
          <w:color w:val="0F1115"/>
        </w:rPr>
        <w:t>名受试者中，最佳手部电极处神经功率随频率变化的群体平均分贝（</w:t>
      </w:r>
      <w:r>
        <w:rPr>
          <w:rFonts w:ascii="Segoe UI" w:hAnsi="Segoe UI" w:cs="Segoe UI"/>
          <w:color w:val="0F1115"/>
        </w:rPr>
        <w:t>dB</w:t>
      </w:r>
      <w:r>
        <w:rPr>
          <w:rFonts w:ascii="Microsoft YaHei" w:eastAsia="Microsoft YaHei" w:hAnsi="Microsoft YaHei" w:cs="Microsoft YaHei" w:hint="eastAsia"/>
          <w:color w:val="0F1115"/>
        </w:rPr>
        <w:t>）变化（运动期相对于静息期）。</w:t>
      </w:r>
      <w:r>
        <w:rPr>
          <w:rFonts w:ascii="Segoe UI" w:hAnsi="Segoe UI" w:cs="Segoe UI"/>
          <w:color w:val="0F1115"/>
        </w:rPr>
        <w:t>dB</w:t>
      </w:r>
      <w:r>
        <w:rPr>
          <w:rFonts w:ascii="Microsoft YaHei" w:eastAsia="Microsoft YaHei" w:hAnsi="Microsoft YaHei" w:cs="Microsoft YaHei" w:hint="eastAsia"/>
          <w:color w:val="0F1115"/>
        </w:rPr>
        <w:t>值为正表示运动期间功率相对于静息期增加，负值则表示抑制。可以看到两种不同的模式。在低频范围（绿色阴影区，约</w:t>
      </w:r>
      <w:r>
        <w:rPr>
          <w:rFonts w:ascii="Segoe UI" w:hAnsi="Segoe UI" w:cs="Segoe UI"/>
          <w:color w:val="0F1115"/>
        </w:rPr>
        <w:t>0-30 Hz</w:t>
      </w:r>
      <w:r>
        <w:rPr>
          <w:rFonts w:ascii="Microsoft YaHei" w:eastAsia="Microsoft YaHei" w:hAnsi="Microsoft YaHei" w:cs="Microsoft YaHei" w:hint="eastAsia"/>
          <w:color w:val="0F1115"/>
        </w:rPr>
        <w:t>），功率明显下降，在大约</w:t>
      </w:r>
      <w:r>
        <w:rPr>
          <w:rFonts w:ascii="Segoe UI" w:hAnsi="Segoe UI" w:cs="Segoe UI"/>
          <w:color w:val="0F1115"/>
        </w:rPr>
        <w:t>20 Hz</w:t>
      </w:r>
      <w:r>
        <w:rPr>
          <w:rFonts w:ascii="Microsoft YaHei" w:eastAsia="Microsoft YaHei" w:hAnsi="Microsoft YaHei" w:cs="Microsoft YaHei" w:hint="eastAsia"/>
          <w:color w:val="0F1115"/>
        </w:rPr>
        <w:t>处达到约</w:t>
      </w:r>
      <w:r>
        <w:rPr>
          <w:rFonts w:ascii="Segoe UI" w:hAnsi="Segoe UI" w:cs="Segoe UI"/>
          <w:color w:val="0F1115"/>
        </w:rPr>
        <w:t>-5 dB</w:t>
      </w:r>
      <w:r>
        <w:rPr>
          <w:rFonts w:ascii="Microsoft YaHei" w:eastAsia="Microsoft YaHei" w:hAnsi="Microsoft YaHei" w:cs="Microsoft YaHei" w:hint="eastAsia"/>
          <w:color w:val="0F1115"/>
        </w:rPr>
        <w:t>的最低点，反映了手部运动期间</w:t>
      </w:r>
      <w:r>
        <w:rPr>
          <w:rFonts w:ascii="Segoe UI" w:hAnsi="Segoe UI" w:cs="Segoe UI"/>
          <w:color w:val="0F1115"/>
        </w:rPr>
        <w:t>beta</w:t>
      </w:r>
      <w:r>
        <w:rPr>
          <w:rFonts w:ascii="Microsoft YaHei" w:eastAsia="Microsoft YaHei" w:hAnsi="Microsoft YaHei" w:cs="Microsoft YaHei" w:hint="eastAsia"/>
          <w:color w:val="0F1115"/>
        </w:rPr>
        <w:t>振荡的事件相关去同步化（</w:t>
      </w:r>
      <w:r>
        <w:rPr>
          <w:rFonts w:ascii="Segoe UI" w:hAnsi="Segoe UI" w:cs="Segoe UI"/>
          <w:color w:val="0F1115"/>
        </w:rPr>
        <w:t>ERD</w:t>
      </w:r>
      <w:r>
        <w:rPr>
          <w:rFonts w:ascii="Microsoft YaHei" w:eastAsia="Microsoft YaHei" w:hAnsi="Microsoft YaHei" w:cs="Microsoft YaHei" w:hint="eastAsia"/>
          <w:color w:val="0F1115"/>
        </w:rPr>
        <w:t>）。在高频范围（橙色阴影区，约</w:t>
      </w:r>
      <w:r>
        <w:rPr>
          <w:rFonts w:ascii="Segoe UI" w:hAnsi="Segoe UI" w:cs="Segoe UI"/>
          <w:color w:val="0F1115"/>
        </w:rPr>
        <w:t>70-115 Hz</w:t>
      </w:r>
      <w:r>
        <w:rPr>
          <w:rFonts w:ascii="Microsoft YaHei" w:eastAsia="Microsoft YaHei" w:hAnsi="Microsoft YaHei" w:cs="Microsoft YaHei" w:hint="eastAsia"/>
          <w:color w:val="0F1115"/>
        </w:rPr>
        <w:t>），功率持续增加约</w:t>
      </w:r>
      <w:r>
        <w:rPr>
          <w:rFonts w:ascii="Segoe UI" w:hAnsi="Segoe UI" w:cs="Segoe UI"/>
          <w:color w:val="0F1115"/>
        </w:rPr>
        <w:t>+2 dB</w:t>
      </w:r>
      <w:r>
        <w:rPr>
          <w:rFonts w:ascii="Microsoft YaHei" w:eastAsia="Microsoft YaHei" w:hAnsi="Microsoft YaHei" w:cs="Microsoft YaHei" w:hint="eastAsia"/>
          <w:color w:val="0F1115"/>
        </w:rPr>
        <w:t>，反映了运动执行期间宽带神经元活动的增强。这两种效应方向相反，与图</w:t>
      </w:r>
      <w:r>
        <w:rPr>
          <w:rFonts w:ascii="Segoe UI" w:hAnsi="Segoe UI" w:cs="Segoe UI"/>
          <w:color w:val="0F1115"/>
        </w:rPr>
        <w:t>B</w:t>
      </w:r>
      <w:r>
        <w:rPr>
          <w:rFonts w:ascii="Microsoft YaHei" w:eastAsia="Microsoft YaHei" w:hAnsi="Microsoft YaHei" w:cs="Microsoft YaHei" w:hint="eastAsia"/>
          <w:color w:val="0F1115"/>
        </w:rPr>
        <w:t>中观察到的</w:t>
      </w:r>
      <w:r>
        <w:rPr>
          <w:rFonts w:ascii="Segoe UI" w:hAnsi="Segoe UI" w:cs="Segoe UI"/>
          <w:color w:val="0F1115"/>
        </w:rPr>
        <w:t>r²</w:t>
      </w:r>
      <w:r>
        <w:rPr>
          <w:rFonts w:ascii="Microsoft YaHei" w:eastAsia="Microsoft YaHei" w:hAnsi="Microsoft YaHei" w:cs="Microsoft YaHei" w:hint="eastAsia"/>
          <w:color w:val="0F1115"/>
        </w:rPr>
        <w:t>分布符号相反的现象一致。</w:t>
      </w:r>
    </w:p>
    <w:p w14:paraId="71BFFAA5" w14:textId="77777777" w:rsidR="00A077C5" w:rsidRPr="00A077C5" w:rsidRDefault="00A077C5">
      <w:pPr>
        <w:rPr>
          <w:rFonts w:hint="eastAsia"/>
        </w:rPr>
      </w:pPr>
    </w:p>
    <w:sectPr w:rsidR="00A077C5" w:rsidRPr="00A07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66"/>
    <w:rsid w:val="007F4BF8"/>
    <w:rsid w:val="00A077C5"/>
    <w:rsid w:val="00F4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1F7FF"/>
  <w15:chartTrackingRefBased/>
  <w15:docId w15:val="{60ED66A2-D18F-9342-A6EB-233372B4A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6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A07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Hsia</dc:creator>
  <cp:keywords/>
  <dc:description/>
  <cp:lastModifiedBy>Arthur Hsia</cp:lastModifiedBy>
  <cp:revision>2</cp:revision>
  <cp:lastPrinted>2026-06-10T06:13:00Z</cp:lastPrinted>
  <dcterms:created xsi:type="dcterms:W3CDTF">2026-06-10T03:23:00Z</dcterms:created>
  <dcterms:modified xsi:type="dcterms:W3CDTF">2026-06-10T06:51:00Z</dcterms:modified>
</cp:coreProperties>
</file>