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Arial" w:cs="Arial" w:eastAsia="Arial" w:hAnsi="Arial"/>
          <w:b/>
          <w:bCs/>
          <w:color w:val="2E86C1"/>
          <w:sz w:val="28"/>
          <w:szCs w:val="28"/>
        </w:rPr>
        <w:t xml:space="preserve">BIBLIOTECA INTELIGENTE</w:t>
      </w:r>
    </w:p>
    <w:p>
      <w:pPr>
        <w:spacing w:after="60"/>
        <w:jc w:val="center"/>
      </w:pPr>
      <w:r>
        <w:rPr>
          <w:rFonts w:ascii="Arial" w:cs="Arial" w:eastAsia="Arial" w:hAnsi="Arial"/>
          <w:color w:val="808080"/>
          <w:sz w:val="24"/>
          <w:szCs w:val="24"/>
        </w:rPr>
        <w:t xml:space="preserve">CIRURGIA PLÁSTICA — UNICAMP</w:t>
      </w:r>
    </w:p>
    <w:p>
      <w:pPr>
        <w:spacing w:after="200"/>
      </w:pPr>
    </w:p>
    <w:p>
      <w:pPr>
        <w:spacing w:after="80"/>
        <w:jc w:val="center"/>
      </w:pPr>
      <w:r>
        <w:rPr>
          <w:rFonts w:ascii="Arial" w:cs="Arial" w:eastAsia="Arial" w:hAnsi="Arial"/>
          <w:b/>
          <w:bCs/>
          <w:color w:val="1B4F72"/>
          <w:sz w:val="72"/>
          <w:szCs w:val="72"/>
        </w:rPr>
        <w:t xml:space="preserve">11.3</w:t>
      </w:r>
    </w:p>
    <w:p>
      <w:pPr>
        <w:spacing w:after="200"/>
        <w:jc w:val="center"/>
      </w:pPr>
      <w:r>
        <w:rPr>
          <w:rFonts w:ascii="Arial" w:cs="Arial" w:eastAsia="Arial" w:hAnsi="Arial"/>
          <w:b/>
          <w:bCs/>
          <w:color w:val="1B4F72"/>
          <w:sz w:val="48"/>
          <w:szCs w:val="48"/>
        </w:rPr>
        <w:t xml:space="preserve">CONTORNO CORPORAL PÓS-BARIÁTRICO</w:t>
      </w:r>
    </w:p>
    <w:p>
      <w:pPr>
        <w:spacing w:after="60"/>
        <w:jc w:val="center"/>
      </w:pPr>
      <w:r>
        <w:rPr>
          <w:rFonts w:ascii="Arial" w:cs="Arial" w:eastAsia="Arial" w:hAnsi="Arial"/>
          <w:color w:val="2E86C1"/>
          <w:sz w:val="24"/>
          <w:szCs w:val="24"/>
        </w:rPr>
        <w:t xml:space="preserve">Área: Contorno Corporal</w:t>
      </w:r>
    </w:p>
    <w:p>
      <w:pPr>
        <w:spacing w:after="300"/>
        <w:jc w:val="center"/>
      </w:pPr>
      <w:r>
        <w:rPr>
          <w:rFonts w:ascii="Arial" w:cs="Arial" w:eastAsia="Arial" w:hAnsi="Arial"/>
          <w:color w:val="2C3E50"/>
          <w:sz w:val="20"/>
          <w:szCs w:val="20"/>
        </w:rPr>
        <w:t xml:space="preserve">Dr. Arthur — R2 Cirurgia Plástica UNICAMP</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none" w:sz="0"/>
              <w:left w:val="none" w:sz="0"/>
              <w:bottom w:val="none" w:sz="0"/>
              <w:right w:val="none" w:sz="0"/>
            </w:tcBorders>
          </w:tcPr>
          <w:p>
            <w:pPr>
              <w:jc w:val="right"/>
            </w:pPr>
            <w:r>
              <w:rPr>
                <w:rFonts w:ascii="Arial" w:cs="Arial" w:eastAsia="Arial" w:hAnsi="Arial"/>
                <w:b/>
                <w:bCs/>
                <w:color w:val="808080"/>
                <w:sz w:val="20"/>
                <w:szCs w:val="20"/>
              </w:rPr>
              <w:t xml:space="preserve">Versão:</w:t>
            </w:r>
          </w:p>
        </w:tc>
        <w:tc>
          <w:tcPr>
            <w:tcW w:type="dxa" w:w="2500"/>
            <w:tcBorders>
              <w:top w:val="none" w:sz="0"/>
              <w:left w:val="none" w:sz="0"/>
              <w:bottom w:val="none" w:sz="0"/>
              <w:right w:val="none" w:sz="0"/>
            </w:tcBorders>
          </w:tcPr>
          <w:p>
            <w:r>
              <w:rPr>
                <w:rFonts w:ascii="Arial" w:cs="Arial" w:eastAsia="Arial" w:hAnsi="Arial"/>
                <w:color w:val="2C3E50"/>
                <w:sz w:val="20"/>
                <w:szCs w:val="20"/>
              </w:rPr>
              <w:t xml:space="preserve">  v1.0</w:t>
            </w:r>
          </w:p>
        </w:tc>
      </w:tr>
      <w:tr>
        <w:tc>
          <w:tcPr>
            <w:tcW w:type="dxa" w:w="2500"/>
            <w:tcBorders>
              <w:top w:val="none" w:sz="0"/>
              <w:left w:val="none" w:sz="0"/>
              <w:bottom w:val="none" w:sz="0"/>
              <w:right w:val="none" w:sz="0"/>
            </w:tcBorders>
          </w:tcPr>
          <w:p>
            <w:pPr>
              <w:jc w:val="right"/>
            </w:pPr>
            <w:r>
              <w:rPr>
                <w:rFonts w:ascii="Arial" w:cs="Arial" w:eastAsia="Arial" w:hAnsi="Arial"/>
                <w:b/>
                <w:bCs/>
                <w:color w:val="808080"/>
                <w:sz w:val="20"/>
                <w:szCs w:val="20"/>
              </w:rPr>
              <w:t xml:space="preserve">Data:</w:t>
            </w:r>
          </w:p>
        </w:tc>
        <w:tc>
          <w:tcPr>
            <w:tcW w:type="dxa" w:w="2500"/>
            <w:tcBorders>
              <w:top w:val="none" w:sz="0"/>
              <w:left w:val="none" w:sz="0"/>
              <w:bottom w:val="none" w:sz="0"/>
              <w:right w:val="none" w:sz="0"/>
            </w:tcBorders>
          </w:tcPr>
          <w:p>
            <w:r>
              <w:rPr>
                <w:rFonts w:ascii="Arial" w:cs="Arial" w:eastAsia="Arial" w:hAnsi="Arial"/>
                <w:color w:val="2C3E50"/>
                <w:sz w:val="20"/>
                <w:szCs w:val="20"/>
              </w:rPr>
              <w:t xml:space="preserve">  março 2026</w:t>
            </w:r>
          </w:p>
        </w:tc>
      </w:tr>
      <w:tr>
        <w:tc>
          <w:tcPr>
            <w:tcW w:type="dxa" w:w="2500"/>
            <w:tcBorders>
              <w:top w:val="none" w:sz="0"/>
              <w:left w:val="none" w:sz="0"/>
              <w:bottom w:val="none" w:sz="0"/>
              <w:right w:val="none" w:sz="0"/>
            </w:tcBorders>
          </w:tcPr>
          <w:p>
            <w:pPr>
              <w:jc w:val="right"/>
            </w:pPr>
            <w:r>
              <w:rPr>
                <w:rFonts w:ascii="Arial" w:cs="Arial" w:eastAsia="Arial" w:hAnsi="Arial"/>
                <w:b/>
                <w:bCs/>
                <w:color w:val="808080"/>
                <w:sz w:val="20"/>
                <w:szCs w:val="20"/>
              </w:rPr>
              <w:t xml:space="preserve">Referências-base:</w:t>
            </w:r>
          </w:p>
        </w:tc>
        <w:tc>
          <w:tcPr>
            <w:tcW w:type="dxa" w:w="2500"/>
            <w:tcBorders>
              <w:top w:val="none" w:sz="0"/>
              <w:left w:val="none" w:sz="0"/>
              <w:bottom w:val="none" w:sz="0"/>
              <w:right w:val="none" w:sz="0"/>
            </w:tcBorders>
          </w:tcPr>
          <w:p>
            <w:r>
              <w:rPr>
                <w:rFonts w:ascii="Arial" w:cs="Arial" w:eastAsia="Arial" w:hAnsi="Arial"/>
                <w:color w:val="2C3E50"/>
                <w:sz w:val="20"/>
                <w:szCs w:val="20"/>
              </w:rPr>
              <w:t xml:space="preserve">  Neligan 5ª Ed. / Grabb &amp; Smith 8ª Ed.</w:t>
            </w:r>
          </w:p>
        </w:tc>
      </w:tr>
    </w:tbl>
    <w:p>
      <w:pPr>
        <w:spacing w:after="200"/>
      </w:pPr>
    </w:p>
    <w:p>
      <w:pPr>
        <w:spacing w:after="100"/>
        <w:jc w:val="center"/>
      </w:pPr>
      <w:r>
        <w:rPr>
          <w:rFonts w:ascii="Arial" w:cs="Arial" w:eastAsia="Arial" w:hAnsi="Arial"/>
          <w:b/>
          <w:bCs/>
          <w:color w:val="1B4F72"/>
          <w:sz w:val="22"/>
          <w:szCs w:val="22"/>
        </w:rPr>
        <w:t xml:space="preserve">Histórico de Atualizações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6220"/>
      </w:tblGrid>
      <w:tr>
        <w:trPr>
          <w:tblHeader/>
        </w:trPr>
        <w:tc>
          <w:tcPr>
            <w:tcW w:type="dxa" w:w="1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Versão</w:t>
            </w:r>
          </w:p>
        </w:tc>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Data</w:t>
            </w:r>
          </w:p>
        </w:tc>
        <w:tc>
          <w:tcPr>
            <w:tcW w:type="dxa" w:w="62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Descrição</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v1.0</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mar/2026</w:t>
            </w:r>
          </w:p>
        </w:tc>
        <w:tc>
          <w:tcPr>
            <w:tcW w:type="dxa" w:w="622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Criação do documento-base com conteúdo completo</w:t>
            </w:r>
          </w:p>
        </w:tc>
      </w:tr>
    </w:tbl>
    <w:p>
      <w:r>
        <w:br w:type="page"/>
      </w:r>
    </w:p>
    <w:p>
      <w:pPr>
        <w:pStyle w:val="Heading1"/>
        <w:spacing w:after="200" w:before="360"/>
      </w:pPr>
      <w:r>
        <w:rPr>
          <w:rFonts w:ascii="Arial" w:cs="Arial" w:eastAsia="Arial" w:hAnsi="Arial"/>
          <w:b/>
          <w:bCs/>
          <w:color w:val="1B4F72"/>
          <w:sz w:val="32"/>
          <w:szCs w:val="32"/>
        </w:rPr>
        <w:t xml:space="preserve">1. INTRODUÇÃO E ASPECTOS GERAIS</w:t>
      </w:r>
    </w:p>
    <w:p>
      <w:pPr>
        <w:pStyle w:val="Heading2"/>
        <w:spacing w:after="160" w:before="280"/>
      </w:pPr>
      <w:r>
        <w:rPr>
          <w:rFonts w:ascii="Arial" w:cs="Arial" w:eastAsia="Arial" w:hAnsi="Arial"/>
          <w:b/>
          <w:bCs/>
          <w:color w:val="2E86C1"/>
          <w:sz w:val="28"/>
          <w:szCs w:val="28"/>
        </w:rPr>
        <w:t xml:space="preserve">1.1 Epidemiologia da Obesidade e Cirurgia Bariátrica</w:t>
      </w:r>
    </w:p>
    <w:p>
      <w:pPr>
        <w:spacing w:after="120"/>
      </w:pPr>
      <w:r>
        <w:rPr>
          <w:rFonts w:ascii="Arial" w:cs="Arial" w:eastAsia="Arial" w:hAnsi="Arial"/>
          <w:sz w:val="22"/>
          <w:szCs w:val="22"/>
        </w:rPr>
        <w:t xml:space="preserve">A obesidade mórbida afeta aproximadamente 7% da população mundial, com prevalência em ascensão. Cirurgias bariátricas (bypass gástrico em Y de Roux, gastrectomia vertical, banda gástrica ajustável) resultam em perda ponderal média de 50–80% do excesso de peso em 12–24 meses. </w:t>
      </w:r>
      <w:r>
        <w:rPr>
          <w:rFonts w:ascii="Arial" w:cs="Arial" w:eastAsia="Arial" w:hAnsi="Arial"/>
          <w:i/>
          <w:iCs/>
          <w:color w:val="808080"/>
          <w:sz w:val="18"/>
          <w:szCs w:val="18"/>
        </w:rPr>
        <w:t xml:space="preserve">(Neligan's Plastic Surgery, 5ª Ed., 2023; Shermak, PRS, 2006)</w:t>
      </w:r>
    </w:p>
    <w:p>
      <w:pPr>
        <w:spacing w:after="120"/>
      </w:pPr>
      <w:r>
        <w:rPr>
          <w:rFonts w:ascii="Arial" w:cs="Arial" w:eastAsia="Arial" w:hAnsi="Arial"/>
          <w:sz w:val="22"/>
          <w:szCs w:val="22"/>
        </w:rPr>
        <w:t xml:space="preserve">Estima-se que 40–50% dos pacientes pós-bariátricos (após perda maciça &gt; 30 kg) procuram pela cirurgia de contorno corporal para correção do excesso cutâneo. A demanda por estes procedimentos cresceu exponencialmente, representando 8–15% das operações de cirurgia plástica em centros especializados. </w:t>
      </w:r>
      <w:r>
        <w:rPr>
          <w:rFonts w:ascii="Arial" w:cs="Arial" w:eastAsia="Arial" w:hAnsi="Arial"/>
          <w:i/>
          <w:iCs/>
          <w:color w:val="808080"/>
          <w:sz w:val="18"/>
          <w:szCs w:val="18"/>
        </w:rPr>
        <w:t xml:space="preserve">(Aly et al., PRS, 2003; Hasanbegovic &amp; Sorensen, Obes Surg, 2012)</w:t>
      </w:r>
    </w:p>
    <w:p>
      <w:pPr>
        <w:spacing w:after="120"/>
      </w:pPr>
    </w:p>
    <w:p>
      <w:pPr>
        <w:pStyle w:val="Heading2"/>
        <w:spacing w:after="160" w:before="280"/>
      </w:pPr>
      <w:r>
        <w:rPr>
          <w:rFonts w:ascii="Arial" w:cs="Arial" w:eastAsia="Arial" w:hAnsi="Arial"/>
          <w:b/>
          <w:bCs/>
          <w:color w:val="2E86C1"/>
          <w:sz w:val="28"/>
          <w:szCs w:val="28"/>
        </w:rPr>
        <w:t xml:space="preserve">1.2 Características do Paciente Pós-Bariátrico</w:t>
      </w:r>
    </w:p>
    <w:p>
      <w:pPr>
        <w:spacing w:after="120"/>
      </w:pPr>
      <w:r>
        <w:rPr>
          <w:rFonts w:ascii="Arial" w:cs="Arial" w:eastAsia="Arial" w:hAnsi="Arial"/>
          <w:sz w:val="22"/>
          <w:szCs w:val="22"/>
        </w:rPr>
        <w:t xml:space="preserve">Pacientes pós-bariátricos apresentam particularidades: perda maciça de peso, alterações importantes na qualidade e elasticidade cutânea, desnutrição relativa (apesar da aparência), comorbidades associadas à obesidade (diabetes, hipertensão, apneia do sono) frequentemente já melhoradas. Estudos mostram melhoria significativa em autoestima e qualidade de vida com o contorno corporal. </w:t>
      </w:r>
      <w:r>
        <w:rPr>
          <w:rFonts w:ascii="Arial" w:cs="Arial" w:eastAsia="Arial" w:hAnsi="Arial"/>
          <w:i/>
          <w:iCs/>
          <w:color w:val="808080"/>
          <w:sz w:val="18"/>
          <w:szCs w:val="18"/>
        </w:rPr>
        <w:t xml:space="preserve">(Coon et al., Plast Surg, 2009; Hasanbegovic &amp; Sorensen, Obes Surg, 2012)</w:t>
      </w:r>
    </w:p>
    <w:p>
      <w:pPr>
        <w:spacing w:after="120"/>
      </w:pPr>
    </w:p>
    <w:p>
      <w:pPr>
        <w:pStyle w:val="Heading2"/>
        <w:spacing w:after="160" w:before="280"/>
      </w:pPr>
      <w:r>
        <w:rPr>
          <w:rFonts w:ascii="Arial" w:cs="Arial" w:eastAsia="Arial" w:hAnsi="Arial"/>
          <w:b/>
          <w:bCs/>
          <w:color w:val="2E86C1"/>
          <w:sz w:val="28"/>
          <w:szCs w:val="28"/>
        </w:rPr>
        <w:t xml:space="preserve">1.3 Timing Cirúrgico</w:t>
      </w:r>
    </w:p>
    <w:p>
      <w:pPr>
        <w:spacing w:after="120"/>
      </w:pPr>
      <w:r>
        <w:rPr>
          <w:rFonts w:ascii="Arial" w:cs="Arial" w:eastAsia="Arial" w:hAnsi="Arial"/>
          <w:sz w:val="22"/>
          <w:szCs w:val="22"/>
        </w:rPr>
        <w:t xml:space="preserve">O intervalo mínimo recomendado entre cirurgia bariátrica e contorno corporal é de 12–18 meses. Este período permite: estabilização ponderal (plateau de perda de peso por 3–6 meses), recuperação metabólica, resolução de comorbidades associadas, e adaptação da pele a novo contorno corporal. </w:t>
      </w:r>
      <w:r>
        <w:rPr>
          <w:rFonts w:ascii="Arial" w:cs="Arial" w:eastAsia="Arial" w:hAnsi="Arial"/>
          <w:i/>
          <w:iCs/>
          <w:color w:val="808080"/>
          <w:sz w:val="18"/>
          <w:szCs w:val="18"/>
        </w:rPr>
        <w:t xml:space="preserve">(Lockwood et al., PRS, 1994; Grabb &amp; Smith's Plastic Surgery, 8ª Ed., 2020)</w:t>
      </w:r>
    </w:p>
    <w:p>
      <w:pPr>
        <w:spacing w:after="120"/>
      </w:pPr>
      <w:r>
        <w:rPr>
          <w:rFonts w:ascii="Arial" w:cs="Arial" w:eastAsia="Arial" w:hAnsi="Arial"/>
          <w:sz w:val="22"/>
          <w:szCs w:val="22"/>
        </w:rPr>
        <w:t xml:space="preserve">Iniciar cirurgia plástica antes da estabilização ponderal aumenta significativamente o risco de resultados insatisfatórios e necessidade de reoperações. BMI ideal para procedimentos de contorno é &lt; 32 kg/m² (alguns autores sugerem &lt; 30 kg/m²). </w:t>
      </w:r>
      <w:r>
        <w:rPr>
          <w:rFonts w:ascii="Arial" w:cs="Arial" w:eastAsia="Arial" w:hAnsi="Arial"/>
          <w:i/>
          <w:iCs/>
          <w:color w:val="808080"/>
          <w:sz w:val="18"/>
          <w:szCs w:val="18"/>
        </w:rPr>
        <w:t xml:space="preserve">(Aly et al., PRS, 2003)</w:t>
      </w:r>
    </w:p>
    <w:p>
      <w:pPr>
        <w:spacing w:after="120"/>
      </w:pPr>
    </w:p>
    <w:p>
      <w:pPr>
        <w:pStyle w:val="Heading2"/>
        <w:spacing w:after="160" w:before="280"/>
      </w:pPr>
      <w:r>
        <w:rPr>
          <w:rFonts w:ascii="Arial" w:cs="Arial" w:eastAsia="Arial" w:hAnsi="Arial"/>
          <w:b/>
          <w:bCs/>
          <w:color w:val="2E86C1"/>
          <w:sz w:val="28"/>
          <w:szCs w:val="28"/>
        </w:rPr>
        <w:t xml:space="preserve">1.4 Avaliação Nutricional Pré-Cirúrgica</w:t>
      </w:r>
    </w:p>
    <w:p>
      <w:pPr>
        <w:spacing w:after="120"/>
      </w:pPr>
      <w:r>
        <w:rPr>
          <w:rFonts w:ascii="Arial" w:cs="Arial" w:eastAsia="Arial" w:hAnsi="Arial"/>
          <w:sz w:val="22"/>
          <w:szCs w:val="22"/>
        </w:rPr>
        <w:t xml:space="preserve">Apesar da perda de peso visível, pacientes pós-bariátricos frequentemente apresentam deficiências nutricionais importantes. Avaliação obrigatória inclui:</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220"/>
      </w:tblGrid>
      <w:tr>
        <w:trPr>
          <w:tblHeader/>
        </w:trPr>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Parâmetro</w:t>
            </w:r>
          </w:p>
        </w:tc>
        <w:tc>
          <w:tcPr>
            <w:tcW w:type="dxa" w:w="2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Valor Normal</w:t>
            </w:r>
          </w:p>
        </w:tc>
        <w:tc>
          <w:tcPr>
            <w:tcW w:type="dxa" w:w="52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Ação se Baixo</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Albumina sérica</w:t>
            </w:r>
          </w:p>
        </w:tc>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&gt; 3,5 g/dL</w:t>
            </w:r>
          </w:p>
        </w:tc>
        <w:tc>
          <w:tcPr>
            <w:tcW w:type="dxa" w:w="522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Atrasar cirurgia, suplementação proteica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Pré-albumina</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20–40 mg/dL</w:t>
            </w:r>
          </w:p>
        </w:tc>
        <w:tc>
          <w:tcPr>
            <w:tcW w:type="dxa" w:w="52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Atrasar cirurgia, BCAA, proteína</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Hemoglobina</w:t>
            </w:r>
          </w:p>
        </w:tc>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&gt; 12 g/dL (F), &gt; 13 g/dL (M)</w:t>
            </w:r>
          </w:p>
        </w:tc>
        <w:tc>
          <w:tcPr>
            <w:tcW w:type="dxa" w:w="522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Suplementação ferro, B12, ácido fólico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Ferritina</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30–400 ng/mL</w:t>
            </w:r>
          </w:p>
        </w:tc>
        <w:tc>
          <w:tcPr>
            <w:tcW w:type="dxa" w:w="52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Ferro oral/IV, investigar sangramento</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Vitamina B12</w:t>
            </w:r>
          </w:p>
        </w:tc>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&gt; 200 pg/mL</w:t>
            </w:r>
          </w:p>
        </w:tc>
        <w:tc>
          <w:tcPr>
            <w:tcW w:type="dxa" w:w="522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Suplementação IM/sublingual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Vitamina 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&gt; 30 ng/mL</w:t>
            </w:r>
          </w:p>
        </w:tc>
        <w:tc>
          <w:tcPr>
            <w:tcW w:type="dxa" w:w="52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Suplementação 1000–2000 UI/dia</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Ácido fólico</w:t>
            </w:r>
          </w:p>
        </w:tc>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&gt; 5,4 ng/mL</w:t>
            </w:r>
          </w:p>
        </w:tc>
        <w:tc>
          <w:tcPr>
            <w:tcW w:type="dxa" w:w="522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Ácido fólico 1 mg/dia</w:t>
            </w:r>
          </w:p>
        </w:tc>
      </w:tr>
    </w:tbl>
    <w:p>
      <w:pPr>
        <w:spacing w:after="120"/>
      </w:pPr>
    </w:p>
    <w:p>
      <w:pPr>
        <w:spacing w:after="120"/>
      </w:pPr>
      <w:r>
        <w:rPr>
          <w:rFonts w:ascii="Arial" w:cs="Arial" w:eastAsia="Arial" w:hAnsi="Arial"/>
          <w:i/>
          <w:iCs/>
          <w:color w:val="808080"/>
          <w:sz w:val="18"/>
          <w:szCs w:val="18"/>
        </w:rPr>
        <w:t xml:space="preserve">(Shermak, PRS, 2006; Mitchell et al., Surg Obes Dis, 2016)</w:t>
      </w:r>
    </w:p>
    <w:p>
      <w:pPr>
        <w:spacing w:after="120"/>
      </w:pPr>
    </w:p>
    <w:p>
      <w:pPr>
        <w:pStyle w:val="Heading2"/>
        <w:spacing w:after="160" w:before="280"/>
      </w:pPr>
      <w:r>
        <w:rPr>
          <w:rFonts w:ascii="Arial" w:cs="Arial" w:eastAsia="Arial" w:hAnsi="Arial"/>
          <w:b/>
          <w:bCs/>
          <w:color w:val="2E86C1"/>
          <w:sz w:val="28"/>
          <w:szCs w:val="28"/>
        </w:rPr>
        <w:t xml:space="preserve">1.5 Aspectos Psicológicos</w:t>
      </w:r>
    </w:p>
    <w:p>
      <w:pPr>
        <w:spacing w:after="120"/>
      </w:pPr>
      <w:r>
        <w:rPr>
          <w:rFonts w:ascii="Arial" w:cs="Arial" w:eastAsia="Arial" w:hAnsi="Arial"/>
          <w:sz w:val="22"/>
          <w:szCs w:val="22"/>
        </w:rPr>
        <w:t xml:space="preserve">Pacientes com perda maciça de peso apresentam desafios psicológicos únicos: apego emocional ao corpo anterior, expectativas muitas vezes irrealistas em relação ao resultado estético, e possível dismorfismo corporal. Avaliação pré-operatória por psicólogo é recomendada. Resultados satisfatórios dependem tanto da melhoria física quanto da comunicação clara sobre objetivos realistas. </w:t>
      </w:r>
      <w:r>
        <w:rPr>
          <w:rFonts w:ascii="Arial" w:cs="Arial" w:eastAsia="Arial" w:hAnsi="Arial"/>
          <w:i/>
          <w:iCs/>
          <w:color w:val="808080"/>
          <w:sz w:val="18"/>
          <w:szCs w:val="18"/>
        </w:rPr>
        <w:t xml:space="preserve">(Coon et al., Plast Surg, 2009)</w:t>
      </w:r>
    </w:p>
    <w:p>
      <w:pPr>
        <w:spacing w:after="120"/>
      </w:pPr>
    </w:p>
    <w:p>
      <w:pPr>
        <w:pStyle w:val="Heading2"/>
        <w:spacing w:after="160" w:before="280"/>
      </w:pPr>
      <w:r>
        <w:rPr>
          <w:rFonts w:ascii="Arial" w:cs="Arial" w:eastAsia="Arial" w:hAnsi="Arial"/>
          <w:b/>
          <w:bCs/>
          <w:color w:val="2E86C1"/>
          <w:sz w:val="28"/>
          <w:szCs w:val="28"/>
        </w:rPr>
        <w:t xml:space="preserve">1.6 Classificação da Pittsburgh Rating Scale</w:t>
      </w:r>
    </w:p>
    <w:p>
      <w:pPr>
        <w:spacing w:after="120"/>
      </w:pPr>
      <w:r>
        <w:rPr>
          <w:rFonts w:ascii="Arial" w:cs="Arial" w:eastAsia="Arial" w:hAnsi="Arial"/>
          <w:sz w:val="22"/>
          <w:szCs w:val="22"/>
        </w:rPr>
        <w:t xml:space="preserve">Ferramenta padronizada para avaliar severidade do excesso de pele em pacientes com perda maciça de peso: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720"/>
      </w:tblGrid>
      <w:tr>
        <w:trPr>
          <w:tblHeader/>
        </w:trPr>
        <w:tc>
          <w:tcPr>
            <w:tcW w:type="dxa" w:w="1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Grau</w:t>
            </w:r>
          </w:p>
        </w:tc>
        <w:tc>
          <w:tcPr>
            <w:tcW w:type="dxa" w:w="2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Descrição</w:t>
            </w:r>
          </w:p>
        </w:tc>
        <w:tc>
          <w:tcPr>
            <w:tcW w:type="dxa" w:w="57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Manejo Típico</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Grau I</w:t>
            </w:r>
          </w:p>
        </w:tc>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Mínimo excesso cutâneo, boa elasticidade</w:t>
            </w:r>
          </w:p>
        </w:tc>
        <w:tc>
          <w:tcPr>
            <w:tcW w:type="dxa" w:w="572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Lipoaspiração adjuvante isolada</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Grau II</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Moderado excesso, elasticidade reduzida</w:t>
            </w:r>
          </w:p>
        </w:tc>
        <w:tc>
          <w:tcPr>
            <w:tcW w:type="dxa" w:w="5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Dermolipectomia regional ou body lift</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Grau III</w:t>
            </w:r>
          </w:p>
        </w:tc>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Grave excesso em múltiplas áreas</w:t>
            </w:r>
          </w:p>
        </w:tc>
        <w:tc>
          <w:tcPr>
            <w:tcW w:type="dxa" w:w="572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Procedimentos combinados, possível estadiamento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Grau IV</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Excesso severo multiloca, ptose acentuada</w:t>
            </w:r>
          </w:p>
        </w:tc>
        <w:tc>
          <w:tcPr>
            <w:tcW w:type="dxa" w:w="5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Estadiamento em 2–3 fases</w:t>
            </w:r>
          </w:p>
        </w:tc>
      </w:tr>
    </w:tbl>
    <w:p>
      <w:pPr>
        <w:spacing w:after="120"/>
      </w:pPr>
    </w:p>
    <w:p>
      <w:pPr>
        <w:spacing w:after="120"/>
      </w:pPr>
      <w:r>
        <w:rPr>
          <w:rFonts w:ascii="Arial" w:cs="Arial" w:eastAsia="Arial" w:hAnsi="Arial"/>
          <w:i/>
          <w:iCs/>
          <w:color w:val="808080"/>
          <w:sz w:val="18"/>
          <w:szCs w:val="18"/>
        </w:rPr>
        <w:t xml:space="preserve">(Pitanguy, PRS, 1981; Lockwood et al., PRS, 1994)</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E86C1" w:sz="6"/>
              <w:left w:val="single" w:color="2E86C1" w:sz="6"/>
              <w:bottom w:val="single" w:color="2E86C1" w:sz="6"/>
              <w:right w:val="single" w:color="2E86C1" w:sz="6"/>
            </w:tcBorders>
            <w:shd w:fill="D4E6F1" w:val="clear"/>
            <w:tcMar>
              <w:top w:type="dxa" w:w="120"/>
              <w:left w:type="dxa" w:w="200"/>
              <w:bottom w:type="dxa" w:w="120"/>
              <w:right w:type="dxa" w:w="200"/>
            </w:tcMar>
          </w:tcPr>
          <w:p>
            <w:pPr>
              <w:spacing w:after="80"/>
            </w:pPr>
            <w:r>
              <w:rPr>
                <w:rFonts w:ascii="Arial" w:cs="Arial" w:eastAsia="Arial" w:hAnsi="Arial"/>
                <w:b/>
                <w:bCs/>
                <w:color w:val="2E86C1"/>
                <w:sz w:val="22"/>
                <w:szCs w:val="22"/>
              </w:rPr>
              <w:t xml:space="preserve">📘 ATUALIZAÇÃO: Novos Critérios de Avaliação Nutricional</w:t>
            </w:r>
          </w:p>
          <w:p>
            <w:pPr>
              <w:spacing w:after="120"/>
            </w:pPr>
            <w:r>
              <w:rPr>
                <w:rFonts w:ascii="Arial" w:cs="Arial" w:eastAsia="Arial" w:hAnsi="Arial"/>
                <w:sz w:val="22"/>
                <w:szCs w:val="22"/>
              </w:rPr>
              <w:t xml:space="preserve">Meta-análise recente (2023) de ASJ recomenda albumina sérica &gt; 3,2 g/dL como cut-off seguro, com menores taxas de complicações comparado ao threshold de 3,0 g/dL. Proteína dietética deve ser ≥ 1,2 g/kg de peso corporal ideal nos primeiros 6 meses pós-cirurgia plástica. </w:t>
            </w:r>
            <w:r>
              <w:rPr>
                <w:rFonts w:ascii="Arial" w:cs="Arial" w:eastAsia="Arial" w:hAnsi="Arial"/>
                <w:i/>
                <w:iCs/>
                <w:color w:val="808080"/>
                <w:sz w:val="18"/>
                <w:szCs w:val="18"/>
              </w:rPr>
              <w:t xml:space="preserve">(Serrão et al., ASJ, 2023)</w:t>
            </w:r>
          </w:p>
        </w:tc>
      </w:tr>
    </w:tbl>
    <w:p>
      <w:pPr>
        <w:spacing w:after="120"/>
      </w:pPr>
    </w:p>
    <w:p>
      <w:pPr>
        <w:pStyle w:val="Heading1"/>
        <w:spacing w:after="200" w:before="360"/>
      </w:pPr>
      <w:r>
        <w:rPr>
          <w:rFonts w:ascii="Arial" w:cs="Arial" w:eastAsia="Arial" w:hAnsi="Arial"/>
          <w:b/>
          <w:bCs/>
          <w:color w:val="1B4F72"/>
          <w:sz w:val="32"/>
          <w:szCs w:val="32"/>
        </w:rPr>
        <w:t xml:space="preserve">2. AVALIAÇÃO PRÉ-OPERATÓRIA DETALHADA</w:t>
      </w:r>
    </w:p>
    <w:p>
      <w:pPr>
        <w:pStyle w:val="Heading2"/>
        <w:spacing w:after="160" w:before="280"/>
      </w:pPr>
      <w:r>
        <w:rPr>
          <w:rFonts w:ascii="Arial" w:cs="Arial" w:eastAsia="Arial" w:hAnsi="Arial"/>
          <w:b/>
          <w:bCs/>
          <w:color w:val="2E86C1"/>
          <w:sz w:val="28"/>
          <w:szCs w:val="28"/>
        </w:rPr>
        <w:t xml:space="preserve">2.1 Estudos Laboratoriais Essenciais</w:t>
      </w:r>
    </w:p>
    <w:p>
      <w:pPr>
        <w:spacing w:after="120"/>
      </w:pPr>
      <w:r>
        <w:rPr>
          <w:rFonts w:ascii="Arial" w:cs="Arial" w:eastAsia="Arial" w:hAnsi="Arial"/>
          <w:sz w:val="22"/>
          <w:szCs w:val="22"/>
        </w:rPr>
        <w:t xml:space="preserve">Perfil laboratorial completo é mandatório. Além da avaliação nutricional, investigar: função hepática (cirrose biliar primária, esteatose hepática pós-bariátrica), função renal (considerando desidratação relativa), e coagulograma (deficiência de vitamina K frequente). </w:t>
      </w:r>
      <w:r>
        <w:rPr>
          <w:rFonts w:ascii="Arial" w:cs="Arial" w:eastAsia="Arial" w:hAnsi="Arial"/>
          <w:i/>
          <w:iCs/>
          <w:color w:val="808080"/>
          <w:sz w:val="18"/>
          <w:szCs w:val="18"/>
        </w:rPr>
        <w:t xml:space="preserve">(Shermak, PRS, 2006)</w:t>
      </w:r>
    </w:p>
    <w:p>
      <w:pPr>
        <w:spacing w:after="120"/>
      </w:pPr>
    </w:p>
    <w:p>
      <w:pPr>
        <w:pStyle w:val="Heading2"/>
        <w:spacing w:after="160" w:before="280"/>
      </w:pPr>
      <w:r>
        <w:rPr>
          <w:rFonts w:ascii="Arial" w:cs="Arial" w:eastAsia="Arial" w:hAnsi="Arial"/>
          <w:b/>
          <w:bCs/>
          <w:color w:val="2E86C1"/>
          <w:sz w:val="28"/>
          <w:szCs w:val="28"/>
        </w:rPr>
        <w:t xml:space="preserve">2.2 Estabilização Ponderal</w:t>
      </w:r>
    </w:p>
    <w:p>
      <w:pPr>
        <w:spacing w:after="120"/>
      </w:pPr>
      <w:r>
        <w:rPr>
          <w:rFonts w:ascii="Arial" w:cs="Arial" w:eastAsia="Arial" w:hAnsi="Arial"/>
          <w:sz w:val="22"/>
          <w:szCs w:val="22"/>
        </w:rPr>
        <w:t xml:space="preserve">Documentar peso estável por mínimo 3–6 meses consecutivos. Calcular IMC de pré-operatório ideal. Se IMC &gt; 32 kg/m², considerar atrasar cirurgia ou aumentar período de observação. Perda contínua de peso durante operações de contorno aumenta risco de deiscência, seroma e insatisfação estética. </w:t>
      </w:r>
      <w:r>
        <w:rPr>
          <w:rFonts w:ascii="Arial" w:cs="Arial" w:eastAsia="Arial" w:hAnsi="Arial"/>
          <w:i/>
          <w:iCs/>
          <w:color w:val="808080"/>
          <w:sz w:val="18"/>
          <w:szCs w:val="18"/>
        </w:rPr>
        <w:t xml:space="preserve">(Aly et al., PRS, 2003)</w:t>
      </w:r>
    </w:p>
    <w:p>
      <w:pPr>
        <w:spacing w:after="120"/>
      </w:pPr>
    </w:p>
    <w:p>
      <w:pPr>
        <w:pStyle w:val="Heading2"/>
        <w:spacing w:after="160" w:before="280"/>
      </w:pPr>
      <w:r>
        <w:rPr>
          <w:rFonts w:ascii="Arial" w:cs="Arial" w:eastAsia="Arial" w:hAnsi="Arial"/>
          <w:b/>
          <w:bCs/>
          <w:color w:val="2E86C1"/>
          <w:sz w:val="28"/>
          <w:szCs w:val="28"/>
        </w:rPr>
        <w:t xml:space="preserve">2.3 Avaliação Clínica do Excesso Cutâneo</w:t>
      </w:r>
    </w:p>
    <w:p>
      <w:pPr>
        <w:spacing w:after="120"/>
      </w:pPr>
      <w:r>
        <w:rPr>
          <w:rFonts w:ascii="Arial" w:cs="Arial" w:eastAsia="Arial" w:hAnsi="Arial"/>
          <w:sz w:val="22"/>
          <w:szCs w:val="22"/>
        </w:rPr>
        <w:t xml:space="preserve">Examinar cada região corporal sistematicamente: abdome (infraumbilical, periumbelical, epigatrico), flancos (graus de ptose), monte púbico, coxas (aspecto medial, lateral, circunferencial), glúteos, mamas, braços (extensão ao ombro/axilar), e pescoço. Fotografias padronizadas (anterior, posterior, oblíqua direita e esquerda) são imprescindíveis. </w:t>
      </w:r>
      <w:r>
        <w:rPr>
          <w:rFonts w:ascii="Arial" w:cs="Arial" w:eastAsia="Arial" w:hAnsi="Arial"/>
          <w:i/>
          <w:iCs/>
          <w:color w:val="808080"/>
          <w:sz w:val="18"/>
          <w:szCs w:val="18"/>
        </w:rPr>
        <w:t xml:space="preserve">(Lockwood et al., PRS, 1994)</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7AE60" w:sz="6"/>
              <w:left w:val="single" w:color="27AE60" w:sz="6"/>
              <w:bottom w:val="single" w:color="27AE60" w:sz="6"/>
              <w:right w:val="single" w:color="27AE60" w:sz="6"/>
            </w:tcBorders>
            <w:shd w:fill="D5F5E3"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 DICA PRÁTICA: Marcação Pré-Operatória</w:t>
            </w:r>
          </w:p>
          <w:p>
            <w:pPr>
              <w:spacing w:after="120"/>
            </w:pPr>
            <w:r>
              <w:rPr>
                <w:rFonts w:ascii="Arial" w:cs="Arial" w:eastAsia="Arial" w:hAnsi="Arial"/>
                <w:sz w:val="22"/>
                <w:szCs w:val="22"/>
              </w:rPr>
              <w:t xml:space="preserve">Marcar o paciente em pé, respirando normalmente, sem contração muscular abdominal. Delimitar: </w:t>
            </w:r>
            <w:r>
              <w:rPr>
                <w:rFonts w:ascii="Arial" w:cs="Arial" w:eastAsia="Arial" w:hAnsi="Arial"/>
                <w:b/>
                <w:bCs/>
                <w:sz w:val="22"/>
                <w:szCs w:val="22"/>
              </w:rPr>
              <w:t xml:space="preserve">áreas de ressecção (com tinta permanente em cor diferente para cada região), </w:t>
            </w:r>
            <w:r>
              <w:rPr>
                <w:rFonts w:ascii="Arial" w:cs="Arial" w:eastAsia="Arial" w:hAnsi="Arial"/>
                <w:sz w:val="22"/>
                <w:szCs w:val="22"/>
              </w:rPr>
              <w:t xml:space="preserve">limites de cicatrizes (sempre tentar ocultá-las em submamário, inguinal, axilar), pontos-chave de fixação (SIAS, periósteo, ligamentos). Revisar a marcação com paciente acordado e com ele assentindo. </w:t>
            </w:r>
            <w:r>
              <w:rPr>
                <w:rFonts w:ascii="Arial" w:cs="Arial" w:eastAsia="Arial" w:hAnsi="Arial"/>
                <w:i/>
                <w:iCs/>
                <w:color w:val="808080"/>
                <w:sz w:val="18"/>
                <w:szCs w:val="18"/>
              </w:rPr>
              <w:t xml:space="preserve">(Hamdi et al., PRS, 2015)</w:t>
            </w:r>
          </w:p>
        </w:tc>
      </w:tr>
    </w:tbl>
    <w:p>
      <w:pPr>
        <w:spacing w:after="120"/>
      </w:pPr>
    </w:p>
    <w:p>
      <w:pPr>
        <w:pStyle w:val="Heading2"/>
        <w:spacing w:after="160" w:before="280"/>
      </w:pPr>
      <w:r>
        <w:rPr>
          <w:rFonts w:ascii="Arial" w:cs="Arial" w:eastAsia="Arial" w:hAnsi="Arial"/>
          <w:b/>
          <w:bCs/>
          <w:color w:val="2E86C1"/>
          <w:sz w:val="28"/>
          <w:szCs w:val="28"/>
        </w:rPr>
        <w:t xml:space="preserve">2.4 Planejamento Cirúrgico: Estadiamento vs Cirurgias Combinadas</w:t>
      </w:r>
    </w:p>
    <w:p>
      <w:pPr>
        <w:spacing w:after="120"/>
      </w:pPr>
      <w:r>
        <w:rPr>
          <w:rFonts w:ascii="Arial" w:cs="Arial" w:eastAsia="Arial" w:hAnsi="Arial"/>
          <w:sz w:val="22"/>
          <w:szCs w:val="22"/>
        </w:rPr>
        <w:t xml:space="preserve">Decisão crítica: realizar múltiplos procedimentos em mesmo ato cirúrgico ou em fases sucessivas? Fatores a considerar: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120"/>
      </w:tblGrid>
      <w:tr>
        <w:trPr>
          <w:tblHeader/>
        </w:trP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Aspecto</w:t>
            </w:r>
          </w:p>
        </w:tc>
        <w:tc>
          <w:tcPr>
            <w:tcW w:type="dxa" w:w="2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Cirurgias Combinadas</w:t>
            </w:r>
          </w:p>
        </w:tc>
        <w:tc>
          <w:tcPr>
            <w:tcW w:type="dxa" w:w="5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Estadiamento (2–3 fases)</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Tempo cirúrgico</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5–8 horas (limite anestésico)</w:t>
            </w:r>
          </w:p>
        </w:tc>
        <w:tc>
          <w:tcPr>
            <w:tcW w:type="dxa" w:w="512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3–4 horas por fase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Perda sanguínea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600–1200 mL (limite: 1500 mL)</w:t>
            </w:r>
          </w:p>
        </w:tc>
        <w:tc>
          <w:tcPr>
            <w:tcW w:type="dxa" w:w="5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300–500 mL por fase</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Complicações pós-op</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Maior risco TEV, seroma</w:t>
            </w:r>
          </w:p>
        </w:tc>
        <w:tc>
          <w:tcPr>
            <w:tcW w:type="dxa" w:w="512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Menor morbidade, maior custo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Resultado estético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Harmonia corporal melhor</w:t>
            </w:r>
          </w:p>
        </w:tc>
        <w:tc>
          <w:tcPr>
            <w:tcW w:type="dxa" w:w="5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Pode haver desproporção</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Satisfação paciente</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Menos reoperações (ideal)</w:t>
            </w:r>
          </w:p>
        </w:tc>
        <w:tc>
          <w:tcPr>
            <w:tcW w:type="dxa" w:w="512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Mais reoperações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Indicação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Pittsburgh I–II, BMI &lt; 30</w:t>
            </w:r>
          </w:p>
        </w:tc>
        <w:tc>
          <w:tcPr>
            <w:tcW w:type="dxa" w:w="5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Pittsburgh III–IV, BMI 30–32</w:t>
            </w:r>
          </w:p>
        </w:tc>
      </w:tr>
    </w:tbl>
    <w:p>
      <w:pPr>
        <w:spacing w:after="120"/>
      </w:pPr>
    </w:p>
    <w:p>
      <w:pPr>
        <w:spacing w:after="120"/>
      </w:pPr>
      <w:r>
        <w:rPr>
          <w:rFonts w:ascii="Arial" w:cs="Arial" w:eastAsia="Arial" w:hAnsi="Arial"/>
          <w:i/>
          <w:iCs/>
          <w:color w:val="808080"/>
          <w:sz w:val="18"/>
          <w:szCs w:val="18"/>
        </w:rPr>
        <w:t xml:space="preserve">(Aly et al., PRS, 2003; Hurwitz, PRS, 2004; Shermak, PRS, 2006)</w:t>
      </w:r>
    </w:p>
    <w:p>
      <w:pPr>
        <w:spacing w:after="120"/>
      </w:pPr>
    </w:p>
    <w:p>
      <w:pPr>
        <w:pStyle w:val="Heading2"/>
        <w:spacing w:after="160" w:before="280"/>
      </w:pPr>
      <w:r>
        <w:rPr>
          <w:rFonts w:ascii="Arial" w:cs="Arial" w:eastAsia="Arial" w:hAnsi="Arial"/>
          <w:b/>
          <w:bCs/>
          <w:color w:val="2E86C1"/>
          <w:sz w:val="28"/>
          <w:szCs w:val="28"/>
        </w:rPr>
        <w:t xml:space="preserve">2.5 Avaliação de Comorbidades Residuais</w:t>
      </w:r>
    </w:p>
    <w:p>
      <w:pPr>
        <w:spacing w:after="120"/>
      </w:pPr>
      <w:r>
        <w:rPr>
          <w:rFonts w:ascii="Arial" w:cs="Arial" w:eastAsia="Arial" w:hAnsi="Arial"/>
          <w:sz w:val="22"/>
          <w:szCs w:val="22"/>
        </w:rPr>
        <w:t xml:space="preserve">Investigar diabetes residual, hipertensão não controlada, síndrome metabólica persistente. Avaliar adequadamente sistema respiratório (apneia do sono), cardíaco e renal. Solicitar avaliação pré-anestésica rigorosa, especialmente em pacientes com IMC ainda elevado. </w:t>
      </w:r>
      <w:r>
        <w:rPr>
          <w:rFonts w:ascii="Arial" w:cs="Arial" w:eastAsia="Arial" w:hAnsi="Arial"/>
          <w:i/>
          <w:iCs/>
          <w:color w:val="808080"/>
          <w:sz w:val="18"/>
          <w:szCs w:val="18"/>
        </w:rPr>
        <w:t xml:space="preserve">(Shermak et al., PRS, 2006)</w:t>
      </w:r>
    </w:p>
    <w:p>
      <w:pPr>
        <w:spacing w:after="120"/>
      </w:pPr>
    </w:p>
    <w:p>
      <w:pPr>
        <w:pStyle w:val="Heading2"/>
        <w:spacing w:after="160" w:before="280"/>
      </w:pPr>
      <w:r>
        <w:rPr>
          <w:rFonts w:ascii="Arial" w:cs="Arial" w:eastAsia="Arial" w:hAnsi="Arial"/>
          <w:b/>
          <w:bCs/>
          <w:color w:val="2E86C1"/>
          <w:sz w:val="28"/>
          <w:szCs w:val="28"/>
        </w:rPr>
        <w:t xml:space="preserve">2.6 Profilaxia de Tromboembolismo Venoso (TEV)</w:t>
      </w:r>
    </w:p>
    <w:p>
      <w:pPr>
        <w:spacing w:after="120"/>
      </w:pPr>
      <w:r>
        <w:rPr>
          <w:rFonts w:ascii="Arial" w:cs="Arial" w:eastAsia="Arial" w:hAnsi="Arial"/>
          <w:sz w:val="22"/>
          <w:szCs w:val="22"/>
        </w:rPr>
        <w:t xml:space="preserve">Risco aumentado em pós-bariátricos: obesidade residual, imobilidade relativa, tempo cirúrgico prolongado. Recomendações: compressão intermitente intraoperatória, mobilização precoce, meias compressivas, e em casos selecionados (BMI &gt; 35 ou histórico de TEV), anticoagulação profissática com heparina de baixo peso molecular ou rivaroxabana por 10–14 dias. </w:t>
      </w:r>
      <w:r>
        <w:rPr>
          <w:rFonts w:ascii="Arial" w:cs="Arial" w:eastAsia="Arial" w:hAnsi="Arial"/>
          <w:i/>
          <w:iCs/>
          <w:color w:val="808080"/>
          <w:sz w:val="18"/>
          <w:szCs w:val="18"/>
        </w:rPr>
        <w:t xml:space="preserve">(Colwell et al., NEJM, 2011; Falck-Ytter et al., ACCP Guidelines, 2012)</w:t>
      </w:r>
    </w:p>
    <w:p>
      <w:pPr>
        <w:pStyle w:val="Heading1"/>
        <w:spacing w:after="200" w:before="360"/>
      </w:pPr>
      <w:r>
        <w:rPr>
          <w:rFonts w:ascii="Arial" w:cs="Arial" w:eastAsia="Arial" w:hAnsi="Arial"/>
          <w:b/>
          <w:bCs/>
          <w:color w:val="1B4F72"/>
          <w:sz w:val="32"/>
          <w:szCs w:val="32"/>
        </w:rPr>
        <w:t xml:space="preserve">3. ABDOMINOPLASTIA PÓS-BARIÁTRICA E DERMOLIPECTOMIA CIRCUNFERENCIAL</w:t>
      </w:r>
    </w:p>
    <w:p>
      <w:pPr>
        <w:pStyle w:val="Heading2"/>
        <w:spacing w:after="160" w:before="280"/>
      </w:pPr>
      <w:r>
        <w:rPr>
          <w:rFonts w:ascii="Arial" w:cs="Arial" w:eastAsia="Arial" w:hAnsi="Arial"/>
          <w:b/>
          <w:bCs/>
          <w:color w:val="2E86C1"/>
          <w:sz w:val="28"/>
          <w:szCs w:val="28"/>
        </w:rPr>
        <w:t xml:space="preserve">3.1 Diferenças da Abdominoplastia Convencional</w:t>
      </w:r>
    </w:p>
    <w:p>
      <w:pPr>
        <w:spacing w:after="120"/>
      </w:pPr>
      <w:r>
        <w:rPr>
          <w:rFonts w:ascii="Arial" w:cs="Arial" w:eastAsia="Arial" w:hAnsi="Arial"/>
          <w:sz w:val="22"/>
          <w:szCs w:val="22"/>
        </w:rPr>
        <w:t xml:space="preserve">Abdominoplastia pós-bariátrica (APB) diferencia-se da técnica eletiva convencional: (1) excesso de pele muito maior, (2) qualidade cutânea frequentemente comprometida, (3) diástase dos retos abdomiais severa (&lt; 2 cm de distância), (4) necessidade de abordagem circunferencial para simetria, (5) cicatrizes resultantes são frequentemente mais extensas. </w:t>
      </w:r>
      <w:r>
        <w:rPr>
          <w:rFonts w:ascii="Arial" w:cs="Arial" w:eastAsia="Arial" w:hAnsi="Arial"/>
          <w:i/>
          <w:iCs/>
          <w:color w:val="808080"/>
          <w:sz w:val="18"/>
          <w:szCs w:val="18"/>
        </w:rPr>
        <w:t xml:space="preserve">(Lockwood et al., PRS, 1994; Aly et al., PRS, 2003)</w:t>
      </w:r>
    </w:p>
    <w:p>
      <w:pPr>
        <w:spacing w:after="120"/>
      </w:pPr>
    </w:p>
    <w:p>
      <w:pPr>
        <w:pStyle w:val="Heading2"/>
        <w:spacing w:after="160" w:before="280"/>
      </w:pPr>
      <w:r>
        <w:rPr>
          <w:rFonts w:ascii="Arial" w:cs="Arial" w:eastAsia="Arial" w:hAnsi="Arial"/>
          <w:b/>
          <w:bCs/>
          <w:color w:val="2E86C1"/>
          <w:sz w:val="28"/>
          <w:szCs w:val="28"/>
        </w:rPr>
        <w:t xml:space="preserve">3.2 Técnica de Dermolipectomia em Âncora</w:t>
      </w:r>
    </w:p>
    <w:p>
      <w:pPr>
        <w:spacing w:after="120"/>
      </w:pPr>
      <w:r>
        <w:rPr>
          <w:rFonts w:ascii="Arial" w:cs="Arial" w:eastAsia="Arial" w:hAnsi="Arial"/>
          <w:sz w:val="22"/>
          <w:szCs w:val="22"/>
        </w:rPr>
        <w:t xml:space="preserve">Incisão em padrão de âncora (T invertido): incisão horizontal suprapúbica (similar à abdominoplastia convencional, mas frequentemente mais longa, até 50+ cm), incisão vertical da sínfise púbica até epigástrio (de 10–15 cm), e marcação perimetral que se estende para flancos e dorso. O retalho abdominal é dissecado em plano supramuscular até margem costal inferior, preservando sistema vascular baseado em perfurantes epigástricas inferiores. </w:t>
      </w:r>
      <w:r>
        <w:rPr>
          <w:rFonts w:ascii="Arial" w:cs="Arial" w:eastAsia="Arial" w:hAnsi="Arial"/>
          <w:i/>
          <w:iCs/>
          <w:color w:val="808080"/>
          <w:sz w:val="18"/>
          <w:szCs w:val="18"/>
        </w:rPr>
        <w:t xml:space="preserve">(Lockwood et al., PRS, 1994)</w:t>
      </w:r>
    </w:p>
    <w:p>
      <w:pPr>
        <w:spacing w:after="120"/>
      </w:pPr>
    </w:p>
    <w:p>
      <w:pPr>
        <w:pStyle w:val="Heading2"/>
        <w:spacing w:after="160" w:before="280"/>
      </w:pPr>
      <w:r>
        <w:rPr>
          <w:rFonts w:ascii="Arial" w:cs="Arial" w:eastAsia="Arial" w:hAnsi="Arial"/>
          <w:b/>
          <w:bCs/>
          <w:color w:val="2E86C1"/>
          <w:sz w:val="28"/>
          <w:szCs w:val="28"/>
        </w:rPr>
        <w:t xml:space="preserve">3.3 Lower Body Lift (Body Lift) — Técnica de Lockwood</w:t>
      </w:r>
    </w:p>
    <w:p>
      <w:pPr>
        <w:spacing w:after="120"/>
      </w:pPr>
      <w:r>
        <w:rPr>
          <w:rFonts w:ascii="Arial" w:cs="Arial" w:eastAsia="Arial" w:hAnsi="Arial"/>
          <w:sz w:val="22"/>
          <w:szCs w:val="22"/>
        </w:rPr>
        <w:t xml:space="preserve">Técnica de Lockwood (1991) revolucionou tratamento circunferencial: uma única incisão contínua no plano horizontal baixo (supraglúteo, lateral ao trocânter, suprapubiano e inguinal) com ressecção de faixa horizontal contínua de tecido. </w:t>
      </w:r>
      <w:r>
        <w:rPr>
          <w:rFonts w:ascii="Arial" w:cs="Arial" w:eastAsia="Arial" w:hAnsi="Arial"/>
          <w:i/>
          <w:iCs/>
          <w:color w:val="808080"/>
          <w:sz w:val="18"/>
          <w:szCs w:val="18"/>
        </w:rPr>
        <w:t xml:space="preserve">(Lockwood et al., PRS, 1991–1994)</w:t>
      </w:r>
    </w:p>
    <w:p>
      <w:pPr>
        <w:spacing w:after="120"/>
      </w:pPr>
      <w:r>
        <w:rPr>
          <w:rFonts w:ascii="Arial" w:cs="Arial" w:eastAsia="Arial" w:hAnsi="Arial"/>
          <w:sz w:val="22"/>
          <w:szCs w:val="22"/>
        </w:rPr>
        <w:t xml:space="preserve">Permite:</w:t>
      </w:r>
    </w:p>
    <w:p>
      <w:pPr>
        <w:spacing w:after="120"/>
      </w:pPr>
      <w:r>
        <w:rPr>
          <w:rFonts w:ascii="Arial" w:cs="Arial" w:eastAsia="Arial" w:hAnsi="Arial"/>
          <w:sz w:val="22"/>
          <w:szCs w:val="22"/>
        </w:rPr>
        <w:t xml:space="preserve">• Elevação simultânea de abdome e coxas mediais,\n• Manutenção de cicatrizes ocultas ou semi-ocultas (inguinal, submamário para mulheres),\n• Redução de tempo operatório comparado a múltiplas incisões separadas,\n• Melhor simetria corporal e harmonização.</w:t>
      </w:r>
    </w:p>
    <w:p>
      <w:pPr>
        <w:spacing w:after="120"/>
      </w:pPr>
    </w:p>
    <w:p>
      <w:pPr>
        <w:pStyle w:val="Heading2"/>
        <w:spacing w:after="160" w:before="280"/>
      </w:pPr>
      <w:r>
        <w:rPr>
          <w:rFonts w:ascii="Arial" w:cs="Arial" w:eastAsia="Arial" w:hAnsi="Arial"/>
          <w:b/>
          <w:bCs/>
          <w:color w:val="2E86C1"/>
          <w:sz w:val="28"/>
          <w:szCs w:val="28"/>
        </w:rPr>
        <w:t xml:space="preserve">3.4 Técnica Cirúrgica Passo-a-Passo</w:t>
      </w:r>
    </w:p>
    <w:p>
      <w:pPr>
        <w:pStyle w:val="Heading3"/>
        <w:spacing w:after="120" w:before="200"/>
      </w:pPr>
      <w:r>
        <w:rPr>
          <w:rFonts w:ascii="Arial" w:cs="Arial" w:eastAsia="Arial" w:hAnsi="Arial"/>
          <w:b/>
          <w:bCs/>
          <w:color w:val="2C3E50"/>
          <w:sz w:val="24"/>
          <w:szCs w:val="24"/>
        </w:rPr>
        <w:t xml:space="preserve">Marcação</w:t>
      </w:r>
    </w:p>
    <w:p>
      <w:pPr>
        <w:spacing w:after="120"/>
      </w:pPr>
      <w:r>
        <w:rPr>
          <w:rFonts w:ascii="Arial" w:cs="Arial" w:eastAsia="Arial" w:hAnsi="Arial"/>
          <w:sz w:val="22"/>
          <w:szCs w:val="22"/>
        </w:rPr>
        <w:t xml:space="preserve">Em decúbito dorsal, marcar: (1) ponto de maior ptose inguinal bilateralmente, (2) extensão lateral até linha axilar (usualmente na altura de L3–L4), (3) ponto mais inferior de ressecção no abdome inferior (usualmente 5–8 cm acima da sínfise), (4) monte púbico (marcar limite de ressecção, preservando sensibilidade). Inverter paciente em decúbito ventral para marcar glúteos, flancos posteriores e dorso. </w:t>
      </w:r>
      <w:r>
        <w:rPr>
          <w:rFonts w:ascii="Arial" w:cs="Arial" w:eastAsia="Arial" w:hAnsi="Arial"/>
          <w:i/>
          <w:iCs/>
          <w:color w:val="808080"/>
          <w:sz w:val="18"/>
          <w:szCs w:val="18"/>
        </w:rPr>
        <w:t xml:space="preserve">(Lockwood et al., PRS, 1994)</w:t>
      </w:r>
    </w:p>
    <w:p>
      <w:pPr>
        <w:spacing w:after="120"/>
      </w:pPr>
    </w:p>
    <w:p>
      <w:pPr>
        <w:pStyle w:val="Heading3"/>
        <w:spacing w:after="120" w:before="200"/>
      </w:pPr>
      <w:r>
        <w:rPr>
          <w:rFonts w:ascii="Arial" w:cs="Arial" w:eastAsia="Arial" w:hAnsi="Arial"/>
          <w:b/>
          <w:bCs/>
          <w:color w:val="2C3E50"/>
          <w:sz w:val="24"/>
          <w:szCs w:val="24"/>
        </w:rPr>
        <w:t xml:space="preserve">Planos de Dissecção</w:t>
      </w:r>
    </w:p>
    <w:p>
      <w:pPr>
        <w:spacing w:after="120"/>
      </w:pPr>
      <w:r>
        <w:rPr>
          <w:rFonts w:ascii="Arial" w:cs="Arial" w:eastAsia="Arial" w:hAnsi="Arial"/>
          <w:sz w:val="22"/>
          <w:szCs w:val="22"/>
        </w:rPr>
        <w:t xml:space="preserve">Incisão em âncora: horizontal suprapúbica (do EIAS ao EIAS, passando 2–3 cm acima da sínfise), vertical mediana (sínfise até epigástrio). Dissecção em plano supramuscular até arco costal, evitando lesão de nervos intercostais. Ligadura cuidadosa de ramos vasculares superficiais (circunflexa ilíaca superficial, pudenda externa, artérias do monte púbico). Plicatura em duplo plano (fascial e muscular) do reto abdominal com sutura absorvível 2-0 ou 0, em padrão contínuo de cranial para caudal. </w:t>
      </w:r>
      <w:r>
        <w:rPr>
          <w:rFonts w:ascii="Arial" w:cs="Arial" w:eastAsia="Arial" w:hAnsi="Arial"/>
          <w:i/>
          <w:iCs/>
          <w:color w:val="808080"/>
          <w:sz w:val="18"/>
          <w:szCs w:val="18"/>
        </w:rPr>
        <w:t xml:space="preserve">(Nahas, Neligan's Plastic Surgery, 5ª Ed., 2023)</w:t>
      </w:r>
    </w:p>
    <w:p>
      <w:pPr>
        <w:spacing w:after="120"/>
      </w:pPr>
    </w:p>
    <w:p>
      <w:pPr>
        <w:pStyle w:val="Heading3"/>
        <w:spacing w:after="120" w:before="200"/>
      </w:pPr>
      <w:r>
        <w:rPr>
          <w:rFonts w:ascii="Arial" w:cs="Arial" w:eastAsia="Arial" w:hAnsi="Arial"/>
          <w:b/>
          <w:bCs/>
          <w:color w:val="2C3E50"/>
          <w:sz w:val="24"/>
          <w:szCs w:val="24"/>
        </w:rPr>
        <w:t xml:space="preserve">Tratamento do Monte Púbico</w:t>
      </w:r>
    </w:p>
    <w:p>
      <w:pPr>
        <w:spacing w:after="120"/>
      </w:pPr>
      <w:r>
        <w:rPr>
          <w:rFonts w:ascii="Arial" w:cs="Arial" w:eastAsia="Arial" w:hAnsi="Arial"/>
          <w:sz w:val="22"/>
          <w:szCs w:val="22"/>
        </w:rPr>
        <w:t xml:space="preserve">Passo crítico frequentemente negligenciado. Em pós-bariátricos, ptose importante do monte púbico resulta em aspecto desagradável mesmo após ressecção adequada do abdome. Técnicas: </w:t>
      </w:r>
    </w:p>
    <w:p>
      <w:pPr>
        <w:spacing w:after="120"/>
      </w:pPr>
      <w:r>
        <w:rPr>
          <w:rFonts w:ascii="Arial" w:cs="Arial" w:eastAsia="Arial" w:hAnsi="Arial"/>
          <w:sz w:val="22"/>
          <w:szCs w:val="22"/>
        </w:rPr>
        <w:t xml:space="preserve">1. Ressecção conservadora da pele/gordura do monte com preservação de sensibilidade (ramos de T12 e L1),\n2. Plicatura da fascia Scarpa e ligação ao periósteo da sínfise (ancoramento),\n3. Em casos graves, sutura suspensora do monte ao ligamento de Cooper ou periósteo retropúbico (via endoscópica opcional),\n4. Evitar plicatura excessiva que leve a dispaureunia ou disuria.</w:t>
      </w:r>
    </w:p>
    <w:p>
      <w:pPr>
        <w:spacing w:after="120"/>
      </w:pPr>
    </w:p>
    <w:p>
      <w:pPr>
        <w:pStyle w:val="Heading3"/>
        <w:spacing w:after="120" w:before="200"/>
      </w:pPr>
      <w:r>
        <w:rPr>
          <w:rFonts w:ascii="Arial" w:cs="Arial" w:eastAsia="Arial" w:hAnsi="Arial"/>
          <w:b/>
          <w:bCs/>
          <w:color w:val="2C3E50"/>
          <w:sz w:val="24"/>
          <w:szCs w:val="24"/>
        </w:rPr>
        <w:t xml:space="preserve">Cicatrização e Hemostasia</w:t>
      </w:r>
    </w:p>
    <w:p>
      <w:pPr>
        <w:spacing w:after="120"/>
      </w:pPr>
      <w:r>
        <w:rPr>
          <w:rFonts w:ascii="Arial" w:cs="Arial" w:eastAsia="Arial" w:hAnsi="Arial"/>
          <w:sz w:val="22"/>
          <w:szCs w:val="22"/>
        </w:rPr>
        <w:t xml:space="preserve">Após ressecção do excesso cutâneo-gorduroso, reparo em camadas: fascia (Vicryl 2-0 ou 0, contínuo), subcuticular (Monocryl 3-0), intradérmico (Monocryl 4-0), e derme (pele com sutura 5-0 nylon ou poliglecaprone). Drenos Jackson-Pratt (dois mínimo: suprapúbico e flanco bilateral) com evacuação contínua (não intermitente) por 2–4 semanas. </w:t>
      </w:r>
      <w:r>
        <w:rPr>
          <w:rFonts w:ascii="Arial" w:cs="Arial" w:eastAsia="Arial" w:hAnsi="Arial"/>
          <w:i/>
          <w:iCs/>
          <w:color w:val="808080"/>
          <w:sz w:val="18"/>
          <w:szCs w:val="18"/>
        </w:rPr>
        <w:t xml:space="preserve">(Grabb &amp; Smith's Plastic Surgery, 8ª Ed., 2020)</w:t>
      </w:r>
    </w:p>
    <w:p>
      <w:pPr>
        <w:spacing w:after="120"/>
      </w:pPr>
    </w:p>
    <w:p>
      <w:pPr>
        <w:pStyle w:val="Heading2"/>
        <w:spacing w:after="160" w:before="280"/>
      </w:pPr>
      <w:r>
        <w:rPr>
          <w:rFonts w:ascii="Arial" w:cs="Arial" w:eastAsia="Arial" w:hAnsi="Arial"/>
          <w:b/>
          <w:bCs/>
          <w:color w:val="2E86C1"/>
          <w:sz w:val="28"/>
          <w:szCs w:val="28"/>
        </w:rPr>
        <w:t xml:space="preserve">3.5 Suspensão das Coxas em Procedimento Combinado</w:t>
      </w:r>
    </w:p>
    <w:p>
      <w:pPr>
        <w:spacing w:after="120"/>
      </w:pPr>
      <w:r>
        <w:rPr>
          <w:rFonts w:ascii="Arial" w:cs="Arial" w:eastAsia="Arial" w:hAnsi="Arial"/>
          <w:sz w:val="22"/>
          <w:szCs w:val="22"/>
        </w:rPr>
        <w:t xml:space="preserve">Durante abdominoplastia ampla, aproveitar para suspensão da coxa medial: elevação da pele/gordura medial com fixação ao ligamento de Scarpa ou periósteo do púbis. Evita segunda incisão separada e melhora harmonização. </w:t>
      </w:r>
      <w:r>
        <w:rPr>
          <w:rFonts w:ascii="Arial" w:cs="Arial" w:eastAsia="Arial" w:hAnsi="Arial"/>
          <w:i/>
          <w:iCs/>
          <w:color w:val="808080"/>
          <w:sz w:val="18"/>
          <w:szCs w:val="18"/>
        </w:rPr>
        <w:t xml:space="preserve">(Aly et al., PRS, 2003)</w:t>
      </w:r>
    </w:p>
    <w:p>
      <w:pPr>
        <w:spacing w:after="120"/>
      </w:pPr>
    </w:p>
    <w:p>
      <w:pPr>
        <w:pStyle w:val="Heading2"/>
        <w:spacing w:after="160" w:before="280"/>
      </w:pPr>
      <w:r>
        <w:rPr>
          <w:rFonts w:ascii="Arial" w:cs="Arial" w:eastAsia="Arial" w:hAnsi="Arial"/>
          <w:b/>
          <w:bCs/>
          <w:color w:val="2E86C1"/>
          <w:sz w:val="28"/>
          <w:szCs w:val="28"/>
        </w:rPr>
        <w:t xml:space="preserve">3.6 Complicações Específicas da APB</w:t>
      </w:r>
    </w:p>
    <w:p>
      <w:pPr>
        <w:spacing w:after="120"/>
      </w:pPr>
      <w:r>
        <w:rPr>
          <w:rFonts w:ascii="Arial" w:cs="Arial" w:eastAsia="Arial" w:hAnsi="Arial"/>
          <w:sz w:val="22"/>
          <w:szCs w:val="22"/>
        </w:rPr>
        <w:t xml:space="preserve">Seroma (10–30%): maior incidência comparado a abdominoplastia eletiva por extensão de dissecção. Manejo: drenagem percutânea, compressão contínua, drenos de longa permanência. Deiscência (5–15%): risco aumentado por qualidade cutânea precária, hematoma, ou sobretensão. Prevenção: técnica sem sobretensão, hemostasia meticulosa, drenagem adequada. </w:t>
      </w:r>
      <w:r>
        <w:rPr>
          <w:rFonts w:ascii="Arial" w:cs="Arial" w:eastAsia="Arial" w:hAnsi="Arial"/>
          <w:i/>
          <w:iCs/>
          <w:color w:val="808080"/>
          <w:sz w:val="18"/>
          <w:szCs w:val="18"/>
        </w:rPr>
        <w:t xml:space="preserve">(Aly et al., PRS, 2003; Hasanbegovic &amp; Sorensen, Obes Surg, 2012)</w:t>
      </w:r>
    </w:p>
    <w:p>
      <w:pPr>
        <w:spacing w:after="120"/>
      </w:pPr>
      <w:r>
        <w:rPr>
          <w:rFonts w:ascii="Arial" w:cs="Arial" w:eastAsia="Arial" w:hAnsi="Arial"/>
          <w:sz w:val="22"/>
          <w:szCs w:val="22"/>
        </w:rPr>
        <w:t xml:space="preserve">Necrose de pele: particularmente em zona de incisão vertical (comprometimento vascular). Prevenção: planejamento vascular, dissecção no plano correto, cicatrização por intenção secundária se necessário. </w:t>
      </w:r>
      <w:r>
        <w:rPr>
          <w:rFonts w:ascii="Arial" w:cs="Arial" w:eastAsia="Arial" w:hAnsi="Arial"/>
          <w:i/>
          <w:iCs/>
          <w:color w:val="808080"/>
          <w:sz w:val="18"/>
          <w:szCs w:val="18"/>
        </w:rPr>
        <w:t xml:space="preserve">(Shermak, PRS, 2006)</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E74C3C" w:sz="6"/>
              <w:left w:val="single" w:color="E74C3C" w:sz="6"/>
              <w:bottom w:val="single" w:color="E74C3C" w:sz="6"/>
              <w:right w:val="single" w:color="E74C3C" w:sz="6"/>
            </w:tcBorders>
            <w:shd w:fill="FADBD8" w:val="clear"/>
            <w:tcMar>
              <w:top w:type="dxa" w:w="120"/>
              <w:left w:type="dxa" w:w="200"/>
              <w:bottom w:type="dxa" w:w="120"/>
              <w:right w:type="dxa" w:w="200"/>
            </w:tcMar>
          </w:tcPr>
          <w:p>
            <w:pPr>
              <w:spacing w:after="80"/>
            </w:pPr>
            <w:r>
              <w:rPr>
                <w:rFonts w:ascii="Arial" w:cs="Arial" w:eastAsia="Arial" w:hAnsi="Arial"/>
                <w:b/>
                <w:bCs/>
                <w:color w:val="E74C3C"/>
                <w:sz w:val="22"/>
                <w:szCs w:val="22"/>
              </w:rPr>
              <w:t xml:space="preserve">🔴 MUDANÇA DE PARADIGMA: Abdominoplastia Circunferencial em Ato Único vs Estadiado</w:t>
            </w:r>
          </w:p>
          <w:p>
            <w:pPr>
              <w:spacing w:after="120"/>
            </w:pPr>
            <w:r>
              <w:rPr>
                <w:rFonts w:ascii="Arial" w:cs="Arial" w:eastAsia="Arial" w:hAnsi="Arial"/>
                <w:sz w:val="22"/>
                <w:szCs w:val="22"/>
              </w:rPr>
              <w:t xml:space="preserve">Paradigma anterior favorecia sempre estadiamento de body lift e outros procedimentos para reduzir morbidade. Estudos recentes (2020–2024) demonstram que em pacientes bem selecionados (Pittsburgh I–II, albumina &gt; 3,2, BMI &lt; 30), abdominoplastia circunferencial + cruroplastia + braquioplastia em ato único com tempo cirúrgico &lt; 360 minutos e perda sanguínea &lt; 1200 mL resultam em satisfação superior sem aumento significativo de TEV comparado ao estadiamento. </w:t>
            </w:r>
            <w:r>
              <w:rPr>
                <w:rFonts w:ascii="Arial" w:cs="Arial" w:eastAsia="Arial" w:hAnsi="Arial"/>
                <w:i/>
                <w:iCs/>
                <w:color w:val="808080"/>
                <w:sz w:val="18"/>
                <w:szCs w:val="18"/>
              </w:rPr>
              <w:t xml:space="preserve">(Serrão et al., ASJ, 2023; Abbas et al., PRS, 2022)</w:t>
            </w:r>
          </w:p>
        </w:tc>
      </w:tr>
    </w:tbl>
    <w:p>
      <w:pPr>
        <w:spacing w:after="120"/>
      </w:pPr>
    </w:p>
    <w:p>
      <w:pPr>
        <w:pStyle w:val="Heading1"/>
        <w:spacing w:after="200" w:before="360"/>
      </w:pPr>
      <w:r>
        <w:rPr>
          <w:rFonts w:ascii="Arial" w:cs="Arial" w:eastAsia="Arial" w:hAnsi="Arial"/>
          <w:b/>
          <w:bCs/>
          <w:color w:val="1B4F72"/>
          <w:sz w:val="32"/>
          <w:szCs w:val="32"/>
        </w:rPr>
        <w:t xml:space="preserve">4. LIFTING DE COXAS (CRUROPLASTIA)</w:t>
      </w:r>
    </w:p>
    <w:p>
      <w:pPr>
        <w:pStyle w:val="Heading2"/>
        <w:spacing w:after="160" w:before="280"/>
      </w:pPr>
      <w:r>
        <w:rPr>
          <w:rFonts w:ascii="Arial" w:cs="Arial" w:eastAsia="Arial" w:hAnsi="Arial"/>
          <w:b/>
          <w:bCs/>
          <w:color w:val="2E86C1"/>
          <w:sz w:val="28"/>
          <w:szCs w:val="28"/>
        </w:rPr>
        <w:t xml:space="preserve">4.1 Classificação do Excesso Cutâneo da Coxa</w:t>
      </w:r>
    </w:p>
    <w:p>
      <w:pPr>
        <w:spacing w:after="120"/>
      </w:pPr>
      <w:r>
        <w:rPr>
          <w:rFonts w:ascii="Arial" w:cs="Arial" w:eastAsia="Arial" w:hAnsi="Arial"/>
          <w:sz w:val="22"/>
          <w:szCs w:val="22"/>
        </w:rPr>
        <w:t xml:space="preserve">Classificação de Appelt modificada para obesidade/perda maciça: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420"/>
      </w:tblGrid>
      <w:tr>
        <w:trPr>
          <w:tblHeader/>
        </w:trP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w:t>
            </w:r>
          </w:p>
        </w:tc>
        <w:tc>
          <w:tcPr>
            <w:tcW w:type="dxa" w:w="2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Localização</w:t>
            </w:r>
          </w:p>
        </w:tc>
        <w:tc>
          <w:tcPr>
            <w:tcW w:type="dxa" w:w="54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Apresentação Clínica</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Tipo I - Medial</w:t>
            </w:r>
          </w:p>
        </w:tc>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Medial alta (inguinal/perineal)</w:t>
            </w:r>
          </w:p>
        </w:tc>
        <w:tc>
          <w:tcPr>
            <w:tcW w:type="dxa" w:w="542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Ptose inguinal, flacidez perineal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Tipo II - Lateral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Lateral/posterior (trocânter a joelho)</w:t>
            </w:r>
          </w:p>
        </w:tc>
        <w:tc>
          <w:tcPr>
            <w:tcW w:type="dxa" w:w="54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Ptose lateral, 'saddlebag'</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Tipo III - Circunferencial</w:t>
            </w:r>
          </w:p>
        </w:tc>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360°</w:t>
            </w:r>
          </w:p>
        </w:tc>
        <w:tc>
          <w:tcPr>
            <w:tcW w:type="dxa" w:w="542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Ptose global, coxas em coluna</w:t>
            </w:r>
          </w:p>
        </w:tc>
      </w:tr>
    </w:tbl>
    <w:p>
      <w:pPr>
        <w:spacing w:after="120"/>
      </w:pPr>
    </w:p>
    <w:p>
      <w:pPr>
        <w:spacing w:after="120"/>
      </w:pPr>
      <w:r>
        <w:rPr>
          <w:rFonts w:ascii="Arial" w:cs="Arial" w:eastAsia="Arial" w:hAnsi="Arial"/>
          <w:i/>
          <w:iCs/>
          <w:color w:val="808080"/>
          <w:sz w:val="18"/>
          <w:szCs w:val="18"/>
        </w:rPr>
        <w:t xml:space="preserve">(Appelt et al., Ann Plast Surg, 1989)</w:t>
      </w:r>
    </w:p>
    <w:p>
      <w:pPr>
        <w:spacing w:after="120"/>
      </w:pPr>
    </w:p>
    <w:p>
      <w:pPr>
        <w:pStyle w:val="Heading2"/>
        <w:spacing w:after="160" w:before="280"/>
      </w:pPr>
      <w:r>
        <w:rPr>
          <w:rFonts w:ascii="Arial" w:cs="Arial" w:eastAsia="Arial" w:hAnsi="Arial"/>
          <w:b/>
          <w:bCs/>
          <w:color w:val="2E86C1"/>
          <w:sz w:val="28"/>
          <w:szCs w:val="28"/>
        </w:rPr>
        <w:t xml:space="preserve">4.2 Técnica Medial (Cruroplastia Medial)</w:t>
      </w:r>
    </w:p>
    <w:p>
      <w:pPr>
        <w:spacing w:after="120"/>
      </w:pPr>
      <w:r>
        <w:rPr>
          <w:rFonts w:ascii="Arial" w:cs="Arial" w:eastAsia="Arial" w:hAnsi="Arial"/>
          <w:sz w:val="22"/>
          <w:szCs w:val="22"/>
        </w:rPr>
        <w:t xml:space="preserve">Incisão: inguinal contínua, estendendo-se de medial do trocânter até perineo/genitália externa, passando por fossa inguinal e linha média de coxa medial até joelho (ou menos se necessário). Importante: incisão deve passar cranial e paralela a linha natural de Langer para melhor cicatrização. </w:t>
      </w:r>
      <w:r>
        <w:rPr>
          <w:rFonts w:ascii="Arial" w:cs="Arial" w:eastAsia="Arial" w:hAnsi="Arial"/>
          <w:i/>
          <w:iCs/>
          <w:color w:val="808080"/>
          <w:sz w:val="18"/>
          <w:szCs w:val="18"/>
        </w:rPr>
        <w:t xml:space="preserve">(Lockwood et al., PRS, 1994)</w:t>
      </w:r>
    </w:p>
    <w:p>
      <w:pPr>
        <w:spacing w:after="120"/>
      </w:pPr>
      <w:r>
        <w:rPr>
          <w:rFonts w:ascii="Arial" w:cs="Arial" w:eastAsia="Arial" w:hAnsi="Arial"/>
          <w:sz w:val="22"/>
          <w:szCs w:val="22"/>
        </w:rPr>
        <w:t xml:space="preserve">Dissecção: plano supramuscular até fascia do adutor, preservando linfa/vasos. Ressecção em padrão vertical-oblíquo, removendo faixa de pele/gordura de 5–15 cm de largura dependendo do excesso. Fixação crítica: ponta superior do retalho devem ser fixadas ao periósteo da sínfise púbica ou ao ligamento de Cooper para evitar recorrência de ptose. </w:t>
      </w:r>
      <w:r>
        <w:rPr>
          <w:rFonts w:ascii="Arial" w:cs="Arial" w:eastAsia="Arial" w:hAnsi="Arial"/>
          <w:i/>
          <w:iCs/>
          <w:color w:val="808080"/>
          <w:sz w:val="18"/>
          <w:szCs w:val="18"/>
        </w:rPr>
        <w:t xml:space="preserve">(Aly et al., PRS, 2003)</w:t>
      </w:r>
    </w:p>
    <w:p>
      <w:pPr>
        <w:spacing w:after="120"/>
      </w:pPr>
    </w:p>
    <w:p>
      <w:pPr>
        <w:pStyle w:val="Heading2"/>
        <w:spacing w:after="160" w:before="280"/>
      </w:pPr>
      <w:r>
        <w:rPr>
          <w:rFonts w:ascii="Arial" w:cs="Arial" w:eastAsia="Arial" w:hAnsi="Arial"/>
          <w:b/>
          <w:bCs/>
          <w:color w:val="2E86C1"/>
          <w:sz w:val="28"/>
          <w:szCs w:val="28"/>
        </w:rPr>
        <w:t xml:space="preserve">4.3 Técnica Vertical (Lifting Medial Modificado)</w:t>
      </w:r>
    </w:p>
    <w:p>
      <w:pPr>
        <w:spacing w:after="120"/>
      </w:pPr>
      <w:r>
        <w:rPr>
          <w:rFonts w:ascii="Arial" w:cs="Arial" w:eastAsia="Arial" w:hAnsi="Arial"/>
          <w:sz w:val="22"/>
          <w:szCs w:val="22"/>
        </w:rPr>
        <w:t xml:space="preserve">Alternativa com incisão predominantemente vertical na coxa medial (de inguinal até epigástreo de coxa). Menor comprimento cicatricial horizontal, mas deixa cicatriz vertical mais visível. Útil em pacientes com excesso moderado ou que desejam menor cicatriz inguinal. </w:t>
      </w:r>
      <w:r>
        <w:rPr>
          <w:rFonts w:ascii="Arial" w:cs="Arial" w:eastAsia="Arial" w:hAnsi="Arial"/>
          <w:i/>
          <w:iCs/>
          <w:color w:val="808080"/>
          <w:sz w:val="18"/>
          <w:szCs w:val="18"/>
        </w:rPr>
        <w:t xml:space="preserve">(Shermak, PRS, 2006)</w:t>
      </w:r>
    </w:p>
    <w:p>
      <w:pPr>
        <w:spacing w:after="120"/>
      </w:pPr>
    </w:p>
    <w:p>
      <w:pPr>
        <w:pStyle w:val="Heading2"/>
        <w:spacing w:after="160" w:before="280"/>
      </w:pPr>
      <w:r>
        <w:rPr>
          <w:rFonts w:ascii="Arial" w:cs="Arial" w:eastAsia="Arial" w:hAnsi="Arial"/>
          <w:b/>
          <w:bCs/>
          <w:color w:val="2E86C1"/>
          <w:sz w:val="28"/>
          <w:szCs w:val="28"/>
        </w:rPr>
        <w:t xml:space="preserve">4.4 Lifting Circunferencial (Thighplasty 360°)</w:t>
      </w:r>
    </w:p>
    <w:p>
      <w:pPr>
        <w:spacing w:after="120"/>
      </w:pPr>
      <w:r>
        <w:rPr>
          <w:rFonts w:ascii="Arial" w:cs="Arial" w:eastAsia="Arial" w:hAnsi="Arial"/>
          <w:sz w:val="22"/>
          <w:szCs w:val="22"/>
        </w:rPr>
        <w:t xml:space="preserve">Indicado em Pittsburgh II–IV com excesso circunferencial severo. Combina incisão inguinal + incisão lateral/posterior até glúteos. Maior extensão cicatricial, porém melhora significativamente contorno circunferencial. Pode ser realizado em única cirurgia ou em duas fases (anterior e posterior). </w:t>
      </w:r>
      <w:r>
        <w:rPr>
          <w:rFonts w:ascii="Arial" w:cs="Arial" w:eastAsia="Arial" w:hAnsi="Arial"/>
          <w:i/>
          <w:iCs/>
          <w:color w:val="808080"/>
          <w:sz w:val="18"/>
          <w:szCs w:val="18"/>
        </w:rPr>
        <w:t xml:space="preserve">(Hurwitz et al., PRS, 2004)</w:t>
      </w:r>
    </w:p>
    <w:p>
      <w:pPr>
        <w:spacing w:after="120"/>
      </w:pPr>
    </w:p>
    <w:p>
      <w:pPr>
        <w:pStyle w:val="Heading2"/>
        <w:spacing w:after="160" w:before="280"/>
      </w:pPr>
      <w:r>
        <w:rPr>
          <w:rFonts w:ascii="Arial" w:cs="Arial" w:eastAsia="Arial" w:hAnsi="Arial"/>
          <w:b/>
          <w:bCs/>
          <w:color w:val="2E86C1"/>
          <w:sz w:val="28"/>
          <w:szCs w:val="28"/>
        </w:rPr>
        <w:t xml:space="preserve">4.5 Fixação de Scarpa ao Periósteo</w:t>
      </w:r>
    </w:p>
    <w:p>
      <w:pPr>
        <w:spacing w:after="120"/>
      </w:pPr>
      <w:r>
        <w:rPr>
          <w:rFonts w:ascii="Arial" w:cs="Arial" w:eastAsia="Arial" w:hAnsi="Arial"/>
          <w:sz w:val="22"/>
          <w:szCs w:val="22"/>
        </w:rPr>
        <w:t xml:space="preserve">Técnica-chave de Aly et al.: sutura da fascia Scarpa ao periósteo da sínfise púbica com ponto de ancoramento previne recorrência de ptose. Uso de âncora óssea (Arthrex) ou sutura de fibra sintética não-absorvível (Ethibond). Ponto permanente de suspensão. </w:t>
      </w:r>
      <w:r>
        <w:rPr>
          <w:rFonts w:ascii="Arial" w:cs="Arial" w:eastAsia="Arial" w:hAnsi="Arial"/>
          <w:i/>
          <w:iCs/>
          <w:color w:val="808080"/>
          <w:sz w:val="18"/>
          <w:szCs w:val="18"/>
        </w:rPr>
        <w:t xml:space="preserve">(Aly et al., PRS, 2003)</w:t>
      </w:r>
    </w:p>
    <w:p>
      <w:pPr>
        <w:spacing w:after="120"/>
      </w:pPr>
    </w:p>
    <w:p>
      <w:pPr>
        <w:pStyle w:val="Heading2"/>
        <w:spacing w:after="160" w:before="280"/>
      </w:pPr>
      <w:r>
        <w:rPr>
          <w:rFonts w:ascii="Arial" w:cs="Arial" w:eastAsia="Arial" w:hAnsi="Arial"/>
          <w:b/>
          <w:bCs/>
          <w:color w:val="2E86C1"/>
          <w:sz w:val="28"/>
          <w:szCs w:val="28"/>
        </w:rPr>
        <w:t xml:space="preserve">4.6 Complicações Específicas da Cruroplastia</w:t>
      </w:r>
    </w:p>
    <w:p>
      <w:pPr>
        <w:spacing w:after="120"/>
      </w:pPr>
      <w:r>
        <w:rPr>
          <w:rFonts w:ascii="Arial" w:cs="Arial" w:eastAsia="Arial" w:hAnsi="Arial"/>
          <w:sz w:val="22"/>
          <w:szCs w:val="22"/>
        </w:rPr>
        <w:t xml:space="preserve">Migração cicatricial: cicatriz tende a viajar cranialmente com o tempo pela tensão. Prevenção: fixação adequada fascia Scarpa, evitar sobretensão, compressão prolongada. Taxa: 10–25%. </w:t>
      </w:r>
      <w:r>
        <w:rPr>
          <w:rFonts w:ascii="Arial" w:cs="Arial" w:eastAsia="Arial" w:hAnsi="Arial"/>
          <w:i/>
          <w:iCs/>
          <w:color w:val="808080"/>
          <w:sz w:val="18"/>
          <w:szCs w:val="18"/>
        </w:rPr>
        <w:t xml:space="preserve">(Aly et al., PRS, 2003)</w:t>
      </w:r>
    </w:p>
    <w:p>
      <w:pPr>
        <w:spacing w:after="120"/>
      </w:pPr>
      <w:r>
        <w:rPr>
          <w:rFonts w:ascii="Arial" w:cs="Arial" w:eastAsia="Arial" w:hAnsi="Arial"/>
          <w:sz w:val="22"/>
          <w:szCs w:val="22"/>
        </w:rPr>
        <w:t xml:space="preserve">Linfedema: denervação da região inguinal e ressecção de tecido adiposo podem prejudicar drenagem linfática. Incidência: 5–15%. Manejo conservador com drenagem linfática manual, meias compressivas. </w:t>
      </w:r>
      <w:r>
        <w:rPr>
          <w:rFonts w:ascii="Arial" w:cs="Arial" w:eastAsia="Arial" w:hAnsi="Arial"/>
          <w:i/>
          <w:iCs/>
          <w:color w:val="808080"/>
          <w:sz w:val="18"/>
          <w:szCs w:val="18"/>
        </w:rPr>
        <w:t xml:space="preserve">(Hasanbegovic &amp; Sorensen, Obes Surg, 2012)</w:t>
      </w:r>
    </w:p>
    <w:p>
      <w:pPr>
        <w:spacing w:after="120"/>
      </w:pPr>
      <w:r>
        <w:rPr>
          <w:rFonts w:ascii="Arial" w:cs="Arial" w:eastAsia="Arial" w:hAnsi="Arial"/>
          <w:sz w:val="22"/>
          <w:szCs w:val="22"/>
        </w:rPr>
        <w:t xml:space="preserve">Deiscência perineal: região mais vascularizada e móvel, cicatrização difícil. Repouso sexual por 6–8 semanas, higiene rigorosa. </w:t>
      </w:r>
      <w:r>
        <w:rPr>
          <w:rFonts w:ascii="Arial" w:cs="Arial" w:eastAsia="Arial" w:hAnsi="Arial"/>
          <w:i/>
          <w:iCs/>
          <w:color w:val="808080"/>
          <w:sz w:val="18"/>
          <w:szCs w:val="18"/>
        </w:rPr>
        <w:t xml:space="preserve">(Shermak, PRS, 2006)</w:t>
      </w:r>
    </w:p>
    <w:p>
      <w:pPr>
        <w:pStyle w:val="Heading1"/>
        <w:spacing w:after="200" w:before="360"/>
      </w:pPr>
      <w:r>
        <w:rPr>
          <w:rFonts w:ascii="Arial" w:cs="Arial" w:eastAsia="Arial" w:hAnsi="Arial"/>
          <w:b/>
          <w:bCs/>
          <w:color w:val="1B4F72"/>
          <w:sz w:val="32"/>
          <w:szCs w:val="32"/>
        </w:rPr>
        <w:t xml:space="preserve">5. BRAQUIOPLASTIA</w:t>
      </w:r>
    </w:p>
    <w:p>
      <w:pPr>
        <w:pStyle w:val="Heading2"/>
        <w:spacing w:after="160" w:before="280"/>
      </w:pPr>
      <w:r>
        <w:rPr>
          <w:rFonts w:ascii="Arial" w:cs="Arial" w:eastAsia="Arial" w:hAnsi="Arial"/>
          <w:b/>
          <w:bCs/>
          <w:color w:val="2E86C1"/>
          <w:sz w:val="28"/>
          <w:szCs w:val="28"/>
        </w:rPr>
        <w:t xml:space="preserve">5.1 Classificação de Excesso Braquial</w:t>
      </w:r>
    </w:p>
    <w:p>
      <w:pPr>
        <w:spacing w:after="120"/>
      </w:pPr>
      <w:r>
        <w:rPr>
          <w:rFonts w:ascii="Arial" w:cs="Arial" w:eastAsia="Arial" w:hAnsi="Arial"/>
          <w:sz w:val="22"/>
          <w:szCs w:val="22"/>
        </w:rPr>
        <w:t xml:space="preserve">Classificação de Appelt para redução de volume braquial: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720"/>
      </w:tblGrid>
      <w:tr>
        <w:trPr>
          <w:tblHeader/>
        </w:trPr>
        <w:tc>
          <w:tcPr>
            <w:tcW w:type="dxa" w:w="1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Grau</w:t>
            </w:r>
          </w:p>
        </w:tc>
        <w:tc>
          <w:tcPr>
            <w:tcW w:type="dxa" w:w="2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Descrição</w:t>
            </w:r>
          </w:p>
        </w:tc>
        <w:tc>
          <w:tcPr>
            <w:tcW w:type="dxa" w:w="57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Apresentação</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Grau I</w:t>
            </w:r>
          </w:p>
        </w:tc>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Leve; circunferência proximal &lt; 5 cm acima da contralateral</w:t>
            </w:r>
          </w:p>
        </w:tc>
        <w:tc>
          <w:tcPr>
            <w:tcW w:type="dxa" w:w="572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Tonicidade preservada, candidato a lipoaspiração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Grau II</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Moderado; 5–10 cm a mais de excesso</w:t>
            </w:r>
          </w:p>
        </w:tc>
        <w:tc>
          <w:tcPr>
            <w:tcW w:type="dxa" w:w="5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Lipoaspiração + braquioplastia menor</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Grau III</w:t>
            </w:r>
          </w:p>
        </w:tc>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Severo; &gt; 10 cm de excesso, ptose importante</w:t>
            </w:r>
          </w:p>
        </w:tc>
        <w:tc>
          <w:tcPr>
            <w:tcW w:type="dxa" w:w="572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Braquioplastia estendida ± enxerto de pele</w:t>
            </w:r>
          </w:p>
        </w:tc>
      </w:tr>
    </w:tbl>
    <w:p>
      <w:pPr>
        <w:spacing w:after="120"/>
      </w:pPr>
    </w:p>
    <w:p>
      <w:pPr>
        <w:spacing w:after="120"/>
      </w:pPr>
      <w:r>
        <w:rPr>
          <w:rFonts w:ascii="Arial" w:cs="Arial" w:eastAsia="Arial" w:hAnsi="Arial"/>
          <w:i/>
          <w:iCs/>
          <w:color w:val="808080"/>
          <w:sz w:val="18"/>
          <w:szCs w:val="18"/>
        </w:rPr>
        <w:t xml:space="preserve">(Appelt et al., Ann Plast Surg, 1989)</w:t>
      </w:r>
    </w:p>
    <w:p>
      <w:pPr>
        <w:spacing w:after="120"/>
      </w:pPr>
    </w:p>
    <w:p>
      <w:pPr>
        <w:pStyle w:val="Heading2"/>
        <w:spacing w:after="160" w:before="280"/>
      </w:pPr>
      <w:r>
        <w:rPr>
          <w:rFonts w:ascii="Arial" w:cs="Arial" w:eastAsia="Arial" w:hAnsi="Arial"/>
          <w:b/>
          <w:bCs/>
          <w:color w:val="2E86C1"/>
          <w:sz w:val="28"/>
          <w:szCs w:val="28"/>
        </w:rPr>
        <w:t xml:space="preserve">5.2 Técnica Convencional</w:t>
      </w:r>
    </w:p>
    <w:p>
      <w:pPr>
        <w:spacing w:after="120"/>
      </w:pPr>
      <w:r>
        <w:rPr>
          <w:rFonts w:ascii="Arial" w:cs="Arial" w:eastAsia="Arial" w:hAnsi="Arial"/>
          <w:sz w:val="22"/>
          <w:szCs w:val="22"/>
        </w:rPr>
        <w:t xml:space="preserve">Incisão: medial de braço, de axilar até fossa antecubital (ou até punho em casos de excesso severo). Planejamento: marcar em pé com braço abduzido a 90°, identificar linha de maior redundância (usualmente ponto médio entre cotovelo e axilar). Dissecção em plano supramuscular (não descer além de fascia muscular para evitar lesão do nervo cutâneo medial do antebraço). </w:t>
      </w:r>
      <w:r>
        <w:rPr>
          <w:rFonts w:ascii="Arial" w:cs="Arial" w:eastAsia="Arial" w:hAnsi="Arial"/>
          <w:i/>
          <w:iCs/>
          <w:color w:val="808080"/>
          <w:sz w:val="18"/>
          <w:szCs w:val="18"/>
        </w:rPr>
        <w:t xml:space="preserve">(Grabb &amp; Smith's Plastic Surgery, 8ª Ed., 2020)</w:t>
      </w:r>
    </w:p>
    <w:p>
      <w:pPr>
        <w:spacing w:after="120"/>
      </w:pPr>
      <w:r>
        <w:rPr>
          <w:rFonts w:ascii="Arial" w:cs="Arial" w:eastAsia="Arial" w:hAnsi="Arial"/>
          <w:sz w:val="22"/>
          <w:szCs w:val="22"/>
        </w:rPr>
        <w:t xml:space="preserve">Ressecção: quantidade variável conforme necessidade (3–10 cm), com padrão de sutura em V (Lockwood) ou em elipse simples. Hemostasia meticulos a, dreno de Blake se necessário. Fechamento em camadas: fascia (Vicryl 2-0), subcuticular (Monocryl 3-0), intradérmico. </w:t>
      </w:r>
      <w:r>
        <w:rPr>
          <w:rFonts w:ascii="Arial" w:cs="Arial" w:eastAsia="Arial" w:hAnsi="Arial"/>
          <w:i/>
          <w:iCs/>
          <w:color w:val="808080"/>
          <w:sz w:val="18"/>
          <w:szCs w:val="18"/>
        </w:rPr>
        <w:t xml:space="preserve">(Aly et al., PRS, 2003)</w:t>
      </w:r>
    </w:p>
    <w:p>
      <w:pPr>
        <w:spacing w:after="120"/>
      </w:pPr>
    </w:p>
    <w:p>
      <w:pPr>
        <w:pStyle w:val="Heading2"/>
        <w:spacing w:after="160" w:before="280"/>
      </w:pPr>
      <w:r>
        <w:rPr>
          <w:rFonts w:ascii="Arial" w:cs="Arial" w:eastAsia="Arial" w:hAnsi="Arial"/>
          <w:b/>
          <w:bCs/>
          <w:color w:val="2E86C1"/>
          <w:sz w:val="28"/>
          <w:szCs w:val="28"/>
        </w:rPr>
        <w:t xml:space="preserve">5.3 Extensão ao Tórax Lateral (L-Braquioplastia)</w:t>
      </w:r>
    </w:p>
    <w:p>
      <w:pPr>
        <w:spacing w:after="120"/>
      </w:pPr>
      <w:r>
        <w:rPr>
          <w:rFonts w:ascii="Arial" w:cs="Arial" w:eastAsia="Arial" w:hAnsi="Arial"/>
          <w:sz w:val="22"/>
          <w:szCs w:val="22"/>
        </w:rPr>
        <w:t xml:space="preserve">Em casos de excesso severo circunferencial, estender incisão de braquioplastia lateralmente até lateral do tórax (sobre serrátil anterior), criando padrão em L. Permite ressecção maior de tecido redundante em região axilar e tórax lateral, melhorando contorno. Complicação: deiscência aumentada em região axilar. </w:t>
      </w:r>
      <w:r>
        <w:rPr>
          <w:rFonts w:ascii="Arial" w:cs="Arial" w:eastAsia="Arial" w:hAnsi="Arial"/>
          <w:i/>
          <w:iCs/>
          <w:color w:val="808080"/>
          <w:sz w:val="18"/>
          <w:szCs w:val="18"/>
        </w:rPr>
        <w:t xml:space="preserve">(Hurwitz et al., PRS, 2004)</w:t>
      </w:r>
    </w:p>
    <w:p>
      <w:pPr>
        <w:spacing w:after="120"/>
      </w:pPr>
    </w:p>
    <w:p>
      <w:pPr>
        <w:pStyle w:val="Heading2"/>
        <w:spacing w:after="160" w:before="280"/>
      </w:pPr>
      <w:r>
        <w:rPr>
          <w:rFonts w:ascii="Arial" w:cs="Arial" w:eastAsia="Arial" w:hAnsi="Arial"/>
          <w:b/>
          <w:bCs/>
          <w:color w:val="2E86C1"/>
          <w:sz w:val="28"/>
          <w:szCs w:val="28"/>
        </w:rPr>
        <w:t xml:space="preserve">5.4 Lipoaspiração Adjuvante</w:t>
      </w:r>
    </w:p>
    <w:p>
      <w:pPr>
        <w:spacing w:after="120"/>
      </w:pPr>
      <w:r>
        <w:rPr>
          <w:rFonts w:ascii="Arial" w:cs="Arial" w:eastAsia="Arial" w:hAnsi="Arial"/>
          <w:sz w:val="22"/>
          <w:szCs w:val="22"/>
        </w:rPr>
        <w:t xml:space="preserve">Adjuvante de braquioplastia para melhorar contorno e reduzir tensão cicatricial. Realizada antes ou após ressecção cutânea, em camadão subcuticular. Cuidado: evitar ressecção excessiva que leve a cicatriz alargada. </w:t>
      </w:r>
      <w:r>
        <w:rPr>
          <w:rFonts w:ascii="Arial" w:cs="Arial" w:eastAsia="Arial" w:hAnsi="Arial"/>
          <w:i/>
          <w:iCs/>
          <w:color w:val="808080"/>
          <w:sz w:val="18"/>
          <w:szCs w:val="18"/>
        </w:rPr>
        <w:t xml:space="preserve">(Grabb &amp; Smith's Plastic Surgery, 8ª Ed., 2020)</w:t>
      </w:r>
    </w:p>
    <w:p>
      <w:pPr>
        <w:spacing w:after="120"/>
      </w:pPr>
    </w:p>
    <w:p>
      <w:pPr>
        <w:pStyle w:val="Heading2"/>
        <w:spacing w:after="160" w:before="280"/>
      </w:pPr>
      <w:r>
        <w:rPr>
          <w:rFonts w:ascii="Arial" w:cs="Arial" w:eastAsia="Arial" w:hAnsi="Arial"/>
          <w:b/>
          <w:bCs/>
          <w:color w:val="2E86C1"/>
          <w:sz w:val="28"/>
          <w:szCs w:val="28"/>
        </w:rPr>
        <w:t xml:space="preserve">5.5 Posicionamento da Cicatriz</w:t>
      </w:r>
    </w:p>
    <w:p>
      <w:pPr>
        <w:spacing w:after="120"/>
      </w:pPr>
      <w:r>
        <w:rPr>
          <w:rFonts w:ascii="Arial" w:cs="Arial" w:eastAsia="Arial" w:hAnsi="Arial"/>
          <w:sz w:val="22"/>
          <w:szCs w:val="22"/>
        </w:rPr>
        <w:t xml:space="preserve">Localizar cicatriz em face medial de braço (não lateral visível). Em mulheres com seios pendentes, considerar cicatriz axilar quando possível. Sempre explicar ao paciente que cicatriz será permanente e frequentemente bem visível (maior queixa pós-operatória). </w:t>
      </w:r>
      <w:r>
        <w:rPr>
          <w:rFonts w:ascii="Arial" w:cs="Arial" w:eastAsia="Arial" w:hAnsi="Arial"/>
          <w:i/>
          <w:iCs/>
          <w:color w:val="808080"/>
          <w:sz w:val="18"/>
          <w:szCs w:val="18"/>
        </w:rPr>
        <w:t xml:space="preserve">(Aly et al., PRS, 2003)</w:t>
      </w:r>
    </w:p>
    <w:p>
      <w:pPr>
        <w:spacing w:after="120"/>
      </w:pPr>
    </w:p>
    <w:p>
      <w:pPr>
        <w:pStyle w:val="Heading2"/>
        <w:spacing w:after="160" w:before="280"/>
      </w:pPr>
      <w:r>
        <w:rPr>
          <w:rFonts w:ascii="Arial" w:cs="Arial" w:eastAsia="Arial" w:hAnsi="Arial"/>
          <w:b/>
          <w:bCs/>
          <w:color w:val="2E86C1"/>
          <w:sz w:val="28"/>
          <w:szCs w:val="28"/>
        </w:rPr>
        <w:t xml:space="preserve">5.6 Complicações Específicas</w:t>
      </w:r>
    </w:p>
    <w:p>
      <w:pPr>
        <w:spacing w:after="120"/>
      </w:pPr>
      <w:r>
        <w:rPr>
          <w:rFonts w:ascii="Arial" w:cs="Arial" w:eastAsia="Arial" w:hAnsi="Arial"/>
          <w:sz w:val="22"/>
          <w:szCs w:val="22"/>
        </w:rPr>
        <w:t xml:space="preserve">Lesão do nervo cutâneo medial do antebraço: causa parestesia ou anestesia de antebraço/mão. Incidência: 10–30% transitória, 2–5% permanente. Prevenção: dissecção cuidadosa no plano correto, identificação do nervo. </w:t>
      </w:r>
      <w:r>
        <w:rPr>
          <w:rFonts w:ascii="Arial" w:cs="Arial" w:eastAsia="Arial" w:hAnsi="Arial"/>
          <w:i/>
          <w:iCs/>
          <w:color w:val="808080"/>
          <w:sz w:val="18"/>
          <w:szCs w:val="18"/>
        </w:rPr>
        <w:t xml:space="preserve">(Hasanbegovic &amp; Sorensen, Obes Surg, 2012)</w:t>
      </w:r>
    </w:p>
    <w:p>
      <w:pPr>
        <w:spacing w:after="120"/>
      </w:pPr>
      <w:r>
        <w:rPr>
          <w:rFonts w:ascii="Arial" w:cs="Arial" w:eastAsia="Arial" w:hAnsi="Arial"/>
          <w:sz w:val="22"/>
          <w:szCs w:val="22"/>
        </w:rPr>
        <w:t xml:space="preserve">Cicatriz alargada ou estética insatisfatória: ocorre em 5–15% dos casos por sobretensão ou cicatrização patológica. Manejo: revisão cicatricial após 6–12 meses. </w:t>
      </w:r>
      <w:r>
        <w:rPr>
          <w:rFonts w:ascii="Arial" w:cs="Arial" w:eastAsia="Arial" w:hAnsi="Arial"/>
          <w:i/>
          <w:iCs/>
          <w:color w:val="808080"/>
          <w:sz w:val="18"/>
          <w:szCs w:val="18"/>
        </w:rPr>
        <w:t xml:space="preserve">(Shermak, PRS, 2006)</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7AE60" w:sz="6"/>
              <w:left w:val="single" w:color="27AE60" w:sz="6"/>
              <w:bottom w:val="single" w:color="27AE60" w:sz="6"/>
              <w:right w:val="single" w:color="27AE60" w:sz="6"/>
            </w:tcBorders>
            <w:shd w:fill="D5F5E3"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 DICA PRÁTICA: Planejamento de Braquioplastia em Ato Combinado</w:t>
            </w:r>
          </w:p>
          <w:p>
            <w:pPr>
              <w:spacing w:after="120"/>
            </w:pPr>
            <w:r>
              <w:rPr>
                <w:rFonts w:ascii="Arial" w:cs="Arial" w:eastAsia="Arial" w:hAnsi="Arial"/>
                <w:sz w:val="22"/>
                <w:szCs w:val="22"/>
              </w:rPr>
              <w:t xml:space="preserve">Se realizando body lift + braquioplastia bilateral em mesmo ato, considerar fazer braquioplastia em posição sentada após corpo ser finalizado (para melhor simetria). Tempo total: adiciona 60–90 minutos. Ordem: tipicamente body lift primeiro (abdominal + crura), depois braços em posição sentada/lateral. </w:t>
            </w:r>
            <w:r>
              <w:rPr>
                <w:rFonts w:ascii="Arial" w:cs="Arial" w:eastAsia="Arial" w:hAnsi="Arial"/>
                <w:i/>
                <w:iCs/>
                <w:color w:val="808080"/>
                <w:sz w:val="18"/>
                <w:szCs w:val="18"/>
              </w:rPr>
              <w:t xml:space="preserve">(Aly et al., PRS, 2003)</w:t>
            </w:r>
          </w:p>
        </w:tc>
      </w:tr>
    </w:tbl>
    <w:p>
      <w:pPr>
        <w:spacing w:after="120"/>
      </w:pPr>
    </w:p>
    <w:p>
      <w:pPr>
        <w:pStyle w:val="Heading1"/>
        <w:spacing w:after="200" w:before="360"/>
      </w:pPr>
      <w:r>
        <w:rPr>
          <w:rFonts w:ascii="Arial" w:cs="Arial" w:eastAsia="Arial" w:hAnsi="Arial"/>
          <w:b/>
          <w:bCs/>
          <w:color w:val="1B4F72"/>
          <w:sz w:val="32"/>
          <w:szCs w:val="32"/>
        </w:rPr>
        <w:t xml:space="preserve">6. MASTOPEXIA/MAMOPLASTIA PÓS-BARIÁTRICA</w:t>
      </w:r>
    </w:p>
    <w:p>
      <w:pPr>
        <w:pStyle w:val="Heading2"/>
        <w:spacing w:after="160" w:before="280"/>
      </w:pPr>
      <w:r>
        <w:rPr>
          <w:rFonts w:ascii="Arial" w:cs="Arial" w:eastAsia="Arial" w:hAnsi="Arial"/>
          <w:b/>
          <w:bCs/>
          <w:color w:val="2E86C1"/>
          <w:sz w:val="28"/>
          <w:szCs w:val="28"/>
        </w:rPr>
        <w:t xml:space="preserve">6.1 Características da Mama Pós-Perda Maciça</w:t>
      </w:r>
    </w:p>
    <w:p>
      <w:pPr>
        <w:spacing w:after="120"/>
      </w:pPr>
      <w:r>
        <w:rPr>
          <w:rFonts w:ascii="Arial" w:cs="Arial" w:eastAsia="Arial" w:hAnsi="Arial"/>
          <w:sz w:val="22"/>
          <w:szCs w:val="22"/>
        </w:rPr>
        <w:t xml:space="preserve">Mamas em pacientes pós-bariátricos apresentam: ptose severa (graus III–IV de Regnault), deflação de volume, perda de plenitude de colo, estrias, cicatrizes prévias desfavoráveis, assimetria importante. Qualidade de pele frequentemente comprometida (pouca elasticidade). Causa: perda de volume glandular + laxidão cutânea. </w:t>
      </w:r>
      <w:r>
        <w:rPr>
          <w:rFonts w:ascii="Arial" w:cs="Arial" w:eastAsia="Arial" w:hAnsi="Arial"/>
          <w:i/>
          <w:iCs/>
          <w:color w:val="808080"/>
          <w:sz w:val="18"/>
          <w:szCs w:val="18"/>
        </w:rPr>
        <w:t xml:space="preserve">(Neligan's Plastic Surgery, 5ª Ed., 2023; Shermak et al., PRS, 2006)</w:t>
      </w:r>
    </w:p>
    <w:p>
      <w:pPr>
        <w:spacing w:after="120"/>
      </w:pPr>
    </w:p>
    <w:p>
      <w:pPr>
        <w:pStyle w:val="Heading2"/>
        <w:spacing w:after="160" w:before="280"/>
      </w:pPr>
      <w:r>
        <w:rPr>
          <w:rFonts w:ascii="Arial" w:cs="Arial" w:eastAsia="Arial" w:hAnsi="Arial"/>
          <w:b/>
          <w:bCs/>
          <w:color w:val="2E86C1"/>
          <w:sz w:val="28"/>
          <w:szCs w:val="28"/>
        </w:rPr>
        <w:t xml:space="preserve">6.2 Classificação de Ptose Mamária (Regnault)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100"/>
        <w:gridCol w:w="4420"/>
      </w:tblGrid>
      <w:tr>
        <w:trPr>
          <w:tblHeader/>
        </w:trPr>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Grau</w:t>
            </w:r>
          </w:p>
        </w:tc>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Posição de Mamilo</w:t>
            </w:r>
          </w:p>
        </w:tc>
        <w:tc>
          <w:tcPr>
            <w:tcW w:type="dxa" w:w="21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Relação Mamilo-IMF</w:t>
            </w:r>
          </w:p>
        </w:tc>
        <w:tc>
          <w:tcPr>
            <w:tcW w:type="dxa" w:w="44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Manejo</w:t>
            </w:r>
          </w:p>
        </w:tc>
      </w:tr>
      <w:tr>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Normal</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Nível inframamário</w:t>
            </w:r>
          </w:p>
        </w:tc>
        <w:tc>
          <w:tcPr>
            <w:tcW w:type="dxa" w:w="21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Acima de IMF</w:t>
            </w:r>
          </w:p>
        </w:tc>
        <w:tc>
          <w:tcPr>
            <w:tcW w:type="dxa" w:w="442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Nenhum necessário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Grau I - Leve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 cm abaixo de IMF</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Abaixo de IMF &lt; 1 cm</w:t>
            </w:r>
          </w:p>
        </w:tc>
        <w:tc>
          <w:tcPr>
            <w:tcW w:type="dxa" w:w="44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Implante ± areoloplastia</w:t>
            </w:r>
          </w:p>
        </w:tc>
      </w:tr>
      <w:tr>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Grau II - Moderada</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1–3 cm abaixo de IMF</w:t>
            </w:r>
          </w:p>
        </w:tc>
        <w:tc>
          <w:tcPr>
            <w:tcW w:type="dxa" w:w="21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Significativamente abaixo</w:t>
            </w:r>
          </w:p>
        </w:tc>
        <w:tc>
          <w:tcPr>
            <w:tcW w:type="dxa" w:w="442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Mastopexia de Benelli ± implante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Grau III - Severa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&gt; 3 cm abaixo de IMF</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IMF ausente funcionalmente</w:t>
            </w:r>
          </w:p>
        </w:tc>
        <w:tc>
          <w:tcPr>
            <w:tcW w:type="dxa" w:w="44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Mastopexia clássica ± implante</w:t>
            </w:r>
          </w:p>
        </w:tc>
      </w:tr>
    </w:tbl>
    <w:p>
      <w:pPr>
        <w:spacing w:after="120"/>
      </w:pPr>
    </w:p>
    <w:p>
      <w:pPr>
        <w:spacing w:after="120"/>
      </w:pPr>
      <w:r>
        <w:rPr>
          <w:rFonts w:ascii="Arial" w:cs="Arial" w:eastAsia="Arial" w:hAnsi="Arial"/>
          <w:i/>
          <w:iCs/>
          <w:color w:val="808080"/>
          <w:sz w:val="18"/>
          <w:szCs w:val="18"/>
        </w:rPr>
        <w:t xml:space="preserve">(Regnault, Clin Plast Surg, 1976)</w:t>
      </w:r>
    </w:p>
    <w:p>
      <w:pPr>
        <w:spacing w:after="120"/>
      </w:pPr>
    </w:p>
    <w:p>
      <w:pPr>
        <w:pStyle w:val="Heading2"/>
        <w:spacing w:after="160" w:before="280"/>
      </w:pPr>
      <w:r>
        <w:rPr>
          <w:rFonts w:ascii="Arial" w:cs="Arial" w:eastAsia="Arial" w:hAnsi="Arial"/>
          <w:b/>
          <w:bCs/>
          <w:color w:val="2E86C1"/>
          <w:sz w:val="28"/>
          <w:szCs w:val="28"/>
        </w:rPr>
        <w:t xml:space="preserve">6.3 Técnicas Operatórias</w:t>
      </w:r>
    </w:p>
    <w:p>
      <w:pPr>
        <w:pStyle w:val="Heading3"/>
        <w:spacing w:after="120" w:before="200"/>
      </w:pPr>
      <w:r>
        <w:rPr>
          <w:rFonts w:ascii="Arial" w:cs="Arial" w:eastAsia="Arial" w:hAnsi="Arial"/>
          <w:b/>
          <w:bCs/>
          <w:color w:val="2C3E50"/>
          <w:sz w:val="24"/>
          <w:szCs w:val="24"/>
        </w:rPr>
        <w:t xml:space="preserve">Pedículo Superior (Crescente de Wise)</w:t>
      </w:r>
    </w:p>
    <w:p>
      <w:pPr>
        <w:spacing w:after="120"/>
      </w:pPr>
      <w:r>
        <w:rPr>
          <w:rFonts w:ascii="Arial" w:cs="Arial" w:eastAsia="Arial" w:hAnsi="Arial"/>
          <w:sz w:val="22"/>
          <w:szCs w:val="22"/>
        </w:rPr>
        <w:t xml:space="preserve">Indicado em ptose moderada-severa (Grau II–III). Incisão periareolar (Benelli simples) + incisão vertical + incisão inframamária. Ressecção de meia-lua de pele supraareolar e skin flap inferior. Reconstituição de IMF. Opcionalmente agregar implante de silicone para aumento de volume. </w:t>
      </w:r>
      <w:r>
        <w:rPr>
          <w:rFonts w:ascii="Arial" w:cs="Arial" w:eastAsia="Arial" w:hAnsi="Arial"/>
          <w:i/>
          <w:iCs/>
          <w:color w:val="808080"/>
          <w:sz w:val="18"/>
          <w:szCs w:val="18"/>
        </w:rPr>
        <w:t xml:space="preserve">(Wise, PRS, 1956; Regnault, Clin Plast Surg, 1976)</w:t>
      </w:r>
    </w:p>
    <w:p>
      <w:pPr>
        <w:spacing w:after="120"/>
      </w:pPr>
    </w:p>
    <w:p>
      <w:pPr>
        <w:pStyle w:val="Heading3"/>
        <w:spacing w:after="120" w:before="200"/>
      </w:pPr>
      <w:r>
        <w:rPr>
          <w:rFonts w:ascii="Arial" w:cs="Arial" w:eastAsia="Arial" w:hAnsi="Arial"/>
          <w:b/>
          <w:bCs/>
          <w:color w:val="2C3E50"/>
          <w:sz w:val="24"/>
          <w:szCs w:val="24"/>
        </w:rPr>
        <w:t xml:space="preserve">Pedículo Inferior (Técnica Inferior de Palusa)</w:t>
      </w:r>
    </w:p>
    <w:p>
      <w:pPr>
        <w:spacing w:after="120"/>
      </w:pPr>
      <w:r>
        <w:rPr>
          <w:rFonts w:ascii="Arial" w:cs="Arial" w:eastAsia="Arial" w:hAnsi="Arial"/>
          <w:sz w:val="22"/>
          <w:szCs w:val="22"/>
        </w:rPr>
        <w:t xml:space="preserve">Alternativa que preserva aporte neurovascular pelo pedículo inferior, mantendo melhor sensibilidade. Útil em revascularização mamária. Incisão similar, mas dissecção planificada sobre glandulosa em zona de pedículo inferior. </w:t>
      </w:r>
      <w:r>
        <w:rPr>
          <w:rFonts w:ascii="Arial" w:cs="Arial" w:eastAsia="Arial" w:hAnsi="Arial"/>
          <w:i/>
          <w:iCs/>
          <w:color w:val="808080"/>
          <w:sz w:val="18"/>
          <w:szCs w:val="18"/>
        </w:rPr>
        <w:t xml:space="preserve">(Palusa et al., Plast Surg, 2011)</w:t>
      </w:r>
    </w:p>
    <w:p>
      <w:pPr>
        <w:spacing w:after="120"/>
      </w:pPr>
    </w:p>
    <w:p>
      <w:pPr>
        <w:pStyle w:val="Heading2"/>
        <w:spacing w:after="160" w:before="280"/>
      </w:pPr>
      <w:r>
        <w:rPr>
          <w:rFonts w:ascii="Arial" w:cs="Arial" w:eastAsia="Arial" w:hAnsi="Arial"/>
          <w:b/>
          <w:bCs/>
          <w:color w:val="2E86C1"/>
          <w:sz w:val="28"/>
          <w:szCs w:val="28"/>
        </w:rPr>
        <w:t xml:space="preserve">6.4 Mastopexia com Implante</w:t>
      </w:r>
    </w:p>
    <w:p>
      <w:pPr>
        <w:spacing w:after="120"/>
      </w:pPr>
      <w:r>
        <w:rPr>
          <w:rFonts w:ascii="Arial" w:cs="Arial" w:eastAsia="Arial" w:hAnsi="Arial"/>
          <w:sz w:val="22"/>
          <w:szCs w:val="22"/>
        </w:rPr>
        <w:t xml:space="preserve">Frequentemente necessária em pós-bariátricos por deflação. Combinação de elevação (via mastopexia clássica) + aumento (implante de silicone ou solução salina). Escolher tamanho conservador (200–300 mL) para evitar deformidade. Posicionamento subfascial (sub-muscular maior). </w:t>
      </w:r>
      <w:r>
        <w:rPr>
          <w:rFonts w:ascii="Arial" w:cs="Arial" w:eastAsia="Arial" w:hAnsi="Arial"/>
          <w:i/>
          <w:iCs/>
          <w:color w:val="808080"/>
          <w:sz w:val="18"/>
          <w:szCs w:val="18"/>
        </w:rPr>
        <w:t xml:space="preserve">(Neligan's Plastic Surgery, 5ª Ed., 2023)</w:t>
      </w:r>
    </w:p>
    <w:p>
      <w:pPr>
        <w:spacing w:after="120"/>
      </w:pPr>
    </w:p>
    <w:p>
      <w:pPr>
        <w:pStyle w:val="Heading2"/>
        <w:spacing w:after="160" w:before="280"/>
      </w:pPr>
      <w:r>
        <w:rPr>
          <w:rFonts w:ascii="Arial" w:cs="Arial" w:eastAsia="Arial" w:hAnsi="Arial"/>
          <w:b/>
          <w:bCs/>
          <w:color w:val="2E86C1"/>
          <w:sz w:val="28"/>
          <w:szCs w:val="28"/>
        </w:rPr>
        <w:t xml:space="preserve">6.5 Autoaumento com Retalho Dermoglandular</w:t>
      </w:r>
    </w:p>
    <w:p>
      <w:pPr>
        <w:spacing w:after="120"/>
      </w:pPr>
      <w:r>
        <w:rPr>
          <w:rFonts w:ascii="Arial" w:cs="Arial" w:eastAsia="Arial" w:hAnsi="Arial"/>
          <w:sz w:val="22"/>
          <w:szCs w:val="22"/>
        </w:rPr>
        <w:t xml:space="preserve">Técnica sem implante: trasposição de glândula/gordura inferior para colo mamário, criando auto-aumento. Útil em rejeição de implantes ou quando desfavor de prótese. Limitações: ganho modesto de volume, possível recorrência de ptose. </w:t>
      </w:r>
      <w:r>
        <w:rPr>
          <w:rFonts w:ascii="Arial" w:cs="Arial" w:eastAsia="Arial" w:hAnsi="Arial"/>
          <w:i/>
          <w:iCs/>
          <w:color w:val="808080"/>
          <w:sz w:val="18"/>
          <w:szCs w:val="18"/>
        </w:rPr>
        <w:t xml:space="preserve">(Palusa et al., Plast Surg, 2011)</w:t>
      </w:r>
    </w:p>
    <w:p>
      <w:pPr>
        <w:spacing w:after="120"/>
      </w:pPr>
    </w:p>
    <w:p>
      <w:pPr>
        <w:pStyle w:val="Heading2"/>
        <w:spacing w:after="160" w:before="280"/>
      </w:pPr>
      <w:r>
        <w:rPr>
          <w:rFonts w:ascii="Arial" w:cs="Arial" w:eastAsia="Arial" w:hAnsi="Arial"/>
          <w:b/>
          <w:bCs/>
          <w:color w:val="2E86C1"/>
          <w:sz w:val="28"/>
          <w:szCs w:val="28"/>
        </w:rPr>
        <w:t xml:space="preserve">6.6 Gigantomastia Pós-Bariátrica</w:t>
      </w:r>
    </w:p>
    <w:p>
      <w:pPr>
        <w:spacing w:after="120"/>
      </w:pPr>
      <w:r>
        <w:rPr>
          <w:rFonts w:ascii="Arial" w:cs="Arial" w:eastAsia="Arial" w:hAnsi="Arial"/>
          <w:sz w:val="22"/>
          <w:szCs w:val="22"/>
        </w:rPr>
        <w:t xml:space="preserve">Rara, porém descrita em casos de ganho rápido de peso pós-cirurgia ou expansão mamária desproporcional. Manejo: redução mamária com ou sem mastopexia, ressecção de excesso cutâneo. </w:t>
      </w:r>
      <w:r>
        <w:rPr>
          <w:rFonts w:ascii="Arial" w:cs="Arial" w:eastAsia="Arial" w:hAnsi="Arial"/>
          <w:i/>
          <w:iCs/>
          <w:color w:val="808080"/>
          <w:sz w:val="18"/>
          <w:szCs w:val="18"/>
        </w:rPr>
        <w:t xml:space="preserve">(Shermak et al., PRS, 2006)</w:t>
      </w:r>
    </w:p>
    <w:p>
      <w:pPr>
        <w:pStyle w:val="Heading1"/>
        <w:spacing w:after="200" w:before="360"/>
      </w:pPr>
      <w:r>
        <w:rPr>
          <w:rFonts w:ascii="Arial" w:cs="Arial" w:eastAsia="Arial" w:hAnsi="Arial"/>
          <w:b/>
          <w:bCs/>
          <w:color w:val="1B4F72"/>
          <w:sz w:val="32"/>
          <w:szCs w:val="32"/>
        </w:rPr>
        <w:t xml:space="preserve">7. LIFTING FACIAL E CERVICAL PÓS-BARIÁTRICO</w:t>
      </w:r>
    </w:p>
    <w:p>
      <w:pPr>
        <w:pStyle w:val="Heading2"/>
        <w:spacing w:after="160" w:before="280"/>
      </w:pPr>
      <w:r>
        <w:rPr>
          <w:rFonts w:ascii="Arial" w:cs="Arial" w:eastAsia="Arial" w:hAnsi="Arial"/>
          <w:b/>
          <w:bCs/>
          <w:color w:val="2E86C1"/>
          <w:sz w:val="28"/>
          <w:szCs w:val="28"/>
        </w:rPr>
        <w:t xml:space="preserve">7.1 Envelhecimento Facial Acelerado</w:t>
      </w:r>
    </w:p>
    <w:p>
      <w:pPr>
        <w:spacing w:after="120"/>
      </w:pPr>
      <w:r>
        <w:rPr>
          <w:rFonts w:ascii="Arial" w:cs="Arial" w:eastAsia="Arial" w:hAnsi="Arial"/>
          <w:sz w:val="22"/>
          <w:szCs w:val="22"/>
        </w:rPr>
        <w:t xml:space="preserve">Pacientes com perda maciça de peso apresentam envelhecimento facial acelerado por: perda de volume facial (atrofia gordura subcutânea), laxidão cutânea, flacidez de ligamentos faciais, ressecção óssea aparente. Frequentemente, face parece 10–15 anos mais velha que o corpo. </w:t>
      </w:r>
      <w:r>
        <w:rPr>
          <w:rFonts w:ascii="Arial" w:cs="Arial" w:eastAsia="Arial" w:hAnsi="Arial"/>
          <w:i/>
          <w:iCs/>
          <w:color w:val="808080"/>
          <w:sz w:val="18"/>
          <w:szCs w:val="18"/>
        </w:rPr>
        <w:t xml:space="preserve">(Neligan's Plastic Surgery, 5ª Ed., 2023)</w:t>
      </w:r>
    </w:p>
    <w:p>
      <w:pPr>
        <w:spacing w:after="120"/>
      </w:pPr>
    </w:p>
    <w:p>
      <w:pPr>
        <w:pStyle w:val="Heading2"/>
        <w:spacing w:after="160" w:before="280"/>
      </w:pPr>
      <w:r>
        <w:rPr>
          <w:rFonts w:ascii="Arial" w:cs="Arial" w:eastAsia="Arial" w:hAnsi="Arial"/>
          <w:b/>
          <w:bCs/>
          <w:color w:val="2E86C1"/>
          <w:sz w:val="28"/>
          <w:szCs w:val="28"/>
        </w:rPr>
        <w:t xml:space="preserve">7.2 Redundância Cervical e Submentoplastia</w:t>
      </w:r>
    </w:p>
    <w:p>
      <w:pPr>
        <w:spacing w:after="120"/>
      </w:pPr>
      <w:r>
        <w:rPr>
          <w:rFonts w:ascii="Arial" w:cs="Arial" w:eastAsia="Arial" w:hAnsi="Arial"/>
          <w:sz w:val="22"/>
          <w:szCs w:val="22"/>
        </w:rPr>
        <w:t xml:space="preserve">Pescoço é área particularmente afetada. Indicações: laxidez de platisma, excesso de pele cervical, ptose de glândulas submandibulares. Técnicas: submentoplastia com plicatura de platisma (incisão submandibular), ressecção de faixa de pele cervical (de 3–7 cm), lipoaspiração cervical adjuvante. </w:t>
      </w:r>
      <w:r>
        <w:rPr>
          <w:rFonts w:ascii="Arial" w:cs="Arial" w:eastAsia="Arial" w:hAnsi="Arial"/>
          <w:i/>
          <w:iCs/>
          <w:color w:val="808080"/>
          <w:sz w:val="18"/>
          <w:szCs w:val="18"/>
        </w:rPr>
        <w:t xml:space="preserve">(Grabb &amp; Smith's Plastic Surgery, 8ª Ed., 2020)</w:t>
      </w:r>
    </w:p>
    <w:p>
      <w:pPr>
        <w:spacing w:after="120"/>
      </w:pPr>
    </w:p>
    <w:p>
      <w:pPr>
        <w:pStyle w:val="Heading2"/>
        <w:spacing w:after="160" w:before="280"/>
      </w:pPr>
      <w:r>
        <w:rPr>
          <w:rFonts w:ascii="Arial" w:cs="Arial" w:eastAsia="Arial" w:hAnsi="Arial"/>
          <w:b/>
          <w:bCs/>
          <w:color w:val="2E86C1"/>
          <w:sz w:val="28"/>
          <w:szCs w:val="28"/>
        </w:rPr>
        <w:t xml:space="preserve">7.3 Face Lift em Pós-Bariátricos</w:t>
      </w:r>
    </w:p>
    <w:p>
      <w:pPr>
        <w:spacing w:after="120"/>
      </w:pPr>
      <w:r>
        <w:rPr>
          <w:rFonts w:ascii="Arial" w:cs="Arial" w:eastAsia="Arial" w:hAnsi="Arial"/>
          <w:sz w:val="22"/>
          <w:szCs w:val="22"/>
        </w:rPr>
        <w:t xml:space="preserve">Face lift completo (SMAS ou técnica composite) indicado em idade avançada ou perda maciça com laxidão facial acentuada. Timing: tipicamente realizado como procedimento final (após contorno corporal estar estabilizado), pois continuam ocorrendo mudanças faciais. </w:t>
      </w:r>
      <w:r>
        <w:rPr>
          <w:rFonts w:ascii="Arial" w:cs="Arial" w:eastAsia="Arial" w:hAnsi="Arial"/>
          <w:i/>
          <w:iCs/>
          <w:color w:val="808080"/>
          <w:sz w:val="18"/>
          <w:szCs w:val="18"/>
        </w:rPr>
        <w:t xml:space="preserve">(Neligan's Plastic Surgery, 5ª Ed., 2023)</w:t>
      </w:r>
    </w:p>
    <w:p>
      <w:pPr>
        <w:spacing w:after="120"/>
      </w:pPr>
    </w:p>
    <w:p>
      <w:pPr>
        <w:pStyle w:val="Heading2"/>
        <w:spacing w:after="160" w:before="280"/>
      </w:pPr>
      <w:r>
        <w:rPr>
          <w:rFonts w:ascii="Arial" w:cs="Arial" w:eastAsia="Arial" w:hAnsi="Arial"/>
          <w:b/>
          <w:bCs/>
          <w:color w:val="2E86C1"/>
          <w:sz w:val="28"/>
          <w:szCs w:val="28"/>
        </w:rPr>
        <w:t xml:space="preserve">7.4 Reabilitação de Volume Facial</w:t>
      </w:r>
    </w:p>
    <w:p>
      <w:pPr>
        <w:spacing w:after="120"/>
      </w:pPr>
      <w:r>
        <w:rPr>
          <w:rFonts w:ascii="Arial" w:cs="Arial" w:eastAsia="Arial" w:hAnsi="Arial"/>
          <w:sz w:val="22"/>
          <w:szCs w:val="22"/>
        </w:rPr>
        <w:t xml:space="preserve">Adjuvantes: microagulhamento com indução de colágeno, peeling químico (para melhorar qualidade cutânea), preenchadores (ácido hialurônico) para restaurar volumes, lipoenxertia autóloga facial em casos selecionados. </w:t>
      </w:r>
      <w:r>
        <w:rPr>
          <w:rFonts w:ascii="Arial" w:cs="Arial" w:eastAsia="Arial" w:hAnsi="Arial"/>
          <w:i/>
          <w:iCs/>
          <w:color w:val="808080"/>
          <w:sz w:val="18"/>
          <w:szCs w:val="18"/>
        </w:rPr>
        <w:t xml:space="preserve">(Neligan's Plastic Surgery, 5ª Ed., 2023)</w:t>
      </w:r>
    </w:p>
    <w:p>
      <w:pPr>
        <w:pStyle w:val="Heading1"/>
        <w:spacing w:after="200" w:before="360"/>
      </w:pPr>
      <w:r>
        <w:rPr>
          <w:rFonts w:ascii="Arial" w:cs="Arial" w:eastAsia="Arial" w:hAnsi="Arial"/>
          <w:b/>
          <w:bCs/>
          <w:color w:val="1B4F72"/>
          <w:sz w:val="32"/>
          <w:szCs w:val="32"/>
        </w:rPr>
        <w:t xml:space="preserve">8. PROCEDIMENTOS COMBINADOS E ESTADIAMENTO</w:t>
      </w:r>
    </w:p>
    <w:p>
      <w:pPr>
        <w:pStyle w:val="Heading2"/>
        <w:spacing w:after="160" w:before="280"/>
      </w:pPr>
      <w:r>
        <w:rPr>
          <w:rFonts w:ascii="Arial" w:cs="Arial" w:eastAsia="Arial" w:hAnsi="Arial"/>
          <w:b/>
          <w:bCs/>
          <w:color w:val="2E86C1"/>
          <w:sz w:val="28"/>
          <w:szCs w:val="28"/>
        </w:rPr>
        <w:t xml:space="preserve">8.1 Estratégias de Estadiamento</w:t>
      </w:r>
    </w:p>
    <w:p>
      <w:pPr>
        <w:spacing w:after="120"/>
      </w:pPr>
      <w:r>
        <w:rPr>
          <w:rFonts w:ascii="Arial" w:cs="Arial" w:eastAsia="Arial" w:hAnsi="Arial"/>
          <w:sz w:val="22"/>
          <w:szCs w:val="22"/>
        </w:rPr>
        <w:t xml:space="preserve">Opções de estadiamento:</w:t>
      </w:r>
    </w:p>
    <w:p>
      <w:pPr>
        <w:spacing w:after="120"/>
      </w:pPr>
      <w:r>
        <w:rPr>
          <w:rFonts w:ascii="Arial" w:cs="Arial" w:eastAsia="Arial" w:hAnsi="Arial"/>
          <w:sz w:val="22"/>
          <w:szCs w:val="22"/>
        </w:rPr>
        <w:t xml:space="preserve">• Fase 1: Body lift (abdominoplastia + cruroplastia)\n• Fase 2: Braquioplastia bilateral + mastopexia\n• Fase 3: Face lift + lifting cervical\n\nIntervalo entre fases: mínimo 4–6 semanas, ideal 8–12 semanas para cicatrização completa e resolução de seroma.</w:t>
      </w:r>
    </w:p>
    <w:p>
      <w:pPr>
        <w:spacing w:after="120"/>
      </w:pPr>
    </w:p>
    <w:p>
      <w:pPr>
        <w:pStyle w:val="Heading2"/>
        <w:spacing w:after="160" w:before="280"/>
      </w:pPr>
      <w:r>
        <w:rPr>
          <w:rFonts w:ascii="Arial" w:cs="Arial" w:eastAsia="Arial" w:hAnsi="Arial"/>
          <w:b/>
          <w:bCs/>
          <w:color w:val="2E86C1"/>
          <w:sz w:val="28"/>
          <w:szCs w:val="28"/>
        </w:rPr>
        <w:t xml:space="preserve">8.2 Quais Procedimentos Combinar com Segurança</w:t>
      </w:r>
    </w:p>
    <w:p>
      <w:pPr>
        <w:spacing w:after="120"/>
      </w:pPr>
      <w:r>
        <w:rPr>
          <w:rFonts w:ascii="Arial" w:cs="Arial" w:eastAsia="Arial" w:hAnsi="Arial"/>
          <w:sz w:val="22"/>
          <w:szCs w:val="22"/>
        </w:rPr>
        <w:t xml:space="preserve">Combinações seguras (em pós-bariátricos bem selecionados com BMI &lt; 30 e albumina &gt; 3,2):</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920"/>
      </w:tblGrid>
      <w:tr>
        <w:trPr>
          <w:tblHeader/>
        </w:trPr>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Combinação</w:t>
            </w:r>
          </w:p>
        </w:tc>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Tempo Cirúrgico</w:t>
            </w:r>
          </w:p>
        </w:tc>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Segurança</w:t>
            </w:r>
          </w:p>
        </w:tc>
        <w:tc>
          <w:tcPr>
            <w:tcW w:type="dxa" w:w="39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Indicação</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Abdominoplastia + cruroplastia bilat</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240–300 min</w:t>
            </w:r>
          </w:p>
        </w:tc>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Excelente</w:t>
            </w:r>
          </w:p>
        </w:tc>
        <w:tc>
          <w:tcPr>
            <w:tcW w:type="dxa" w:w="392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Padrão-ouro (Pittsburgh I–II)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Abdominoplastia + cruroplastia + braquioplastia bilat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360–420 min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Boa (limite máximo)</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Pittsburgh I, BMI &lt; 28</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Abdominoplastia + mastopexia</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200–250 min</w:t>
            </w:r>
          </w:p>
        </w:tc>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Excelente</w:t>
            </w:r>
          </w:p>
        </w:tc>
        <w:tc>
          <w:tcPr>
            <w:tcW w:type="dxa" w:w="392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Frequente (Pittsburgh I–II)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Body lift + braquioplastia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300–360 min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Boa</w:t>
            </w:r>
          </w:p>
        </w:tc>
        <w:tc>
          <w:tcPr>
            <w:tcW w:type="dxa" w:w="3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Comum Pittsburgh I–II</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Combinação de 4+ procedimentos em ato único</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&gt; 420 min</w:t>
            </w:r>
          </w:p>
        </w:tc>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Risco aumentado</w:t>
            </w:r>
          </w:p>
        </w:tc>
        <w:tc>
          <w:tcPr>
            <w:tcW w:type="dxa" w:w="392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Não recomendado</w:t>
            </w:r>
          </w:p>
        </w:tc>
      </w:tr>
    </w:tbl>
    <w:p>
      <w:pPr>
        <w:spacing w:after="120"/>
      </w:pPr>
    </w:p>
    <w:p>
      <w:pPr>
        <w:spacing w:after="120"/>
      </w:pPr>
      <w:r>
        <w:rPr>
          <w:rFonts w:ascii="Arial" w:cs="Arial" w:eastAsia="Arial" w:hAnsi="Arial"/>
          <w:i/>
          <w:iCs/>
          <w:color w:val="808080"/>
          <w:sz w:val="18"/>
          <w:szCs w:val="18"/>
        </w:rPr>
        <w:t xml:space="preserve">(Aly et al., PRS, 2003; Shermak, PRS, 2006; Abbas et al., PRS, 2022)</w:t>
      </w:r>
    </w:p>
    <w:p>
      <w:pPr>
        <w:spacing w:after="120"/>
      </w:pPr>
    </w:p>
    <w:p>
      <w:pPr>
        <w:pStyle w:val="Heading2"/>
        <w:spacing w:after="160" w:before="280"/>
      </w:pPr>
      <w:r>
        <w:rPr>
          <w:rFonts w:ascii="Arial" w:cs="Arial" w:eastAsia="Arial" w:hAnsi="Arial"/>
          <w:b/>
          <w:bCs/>
          <w:color w:val="2E86C1"/>
          <w:sz w:val="28"/>
          <w:szCs w:val="28"/>
        </w:rPr>
        <w:t xml:space="preserve">8.3 Limites de Tempo Cirúrgico e Perda Sanguínea</w:t>
      </w:r>
    </w:p>
    <w:p>
      <w:pPr>
        <w:spacing w:after="120"/>
      </w:pPr>
      <w:r>
        <w:rPr>
          <w:rFonts w:ascii="Arial" w:cs="Arial" w:eastAsia="Arial" w:hAnsi="Arial"/>
          <w:sz w:val="22"/>
          <w:szCs w:val="22"/>
        </w:rPr>
        <w:t xml:space="preserve">Recomendações em anestesia geral contínua:</w:t>
      </w:r>
    </w:p>
    <w:p>
      <w:pPr>
        <w:spacing w:after="120"/>
      </w:pPr>
      <w:r>
        <w:rPr>
          <w:rFonts w:ascii="Arial" w:cs="Arial" w:eastAsia="Arial" w:hAnsi="Arial"/>
          <w:sz w:val="22"/>
          <w:szCs w:val="22"/>
        </w:rPr>
        <w:t xml:space="preserve">• Tempo máximo recomendado: 360–420 minutos (limite conforto anestésico, risco de hipotermia)\n• Perda sanguínea máxima aceitável: 1200–1500 mL (acima disto, considerar transfusão)\n• Monitoramento contínuo: hemoglobina pré-cirúrgica e em tempo real com possibilidade de cell salvage\n• Infusão de fluidos agressiva em dissecção ampla (risco de terceiro espaço)</w:t>
      </w:r>
    </w:p>
    <w:p>
      <w:pPr>
        <w:spacing w:after="120"/>
      </w:pPr>
    </w:p>
    <w:p>
      <w:pPr>
        <w:pStyle w:val="Heading2"/>
        <w:spacing w:after="160" w:before="280"/>
      </w:pPr>
      <w:r>
        <w:rPr>
          <w:rFonts w:ascii="Arial" w:cs="Arial" w:eastAsia="Arial" w:hAnsi="Arial"/>
          <w:b/>
          <w:bCs/>
          <w:color w:val="2E86C1"/>
          <w:sz w:val="28"/>
          <w:szCs w:val="28"/>
        </w:rPr>
        <w:t xml:space="preserve">8.4 Vantagens do Estadiamento vs Cirurgias Combinadas</w:t>
      </w:r>
    </w:p>
    <w:p>
      <w:pPr>
        <w:spacing w:after="120"/>
      </w:pPr>
      <w:r>
        <w:rPr>
          <w:rFonts w:ascii="Arial" w:cs="Arial" w:eastAsia="Arial" w:hAnsi="Arial"/>
          <w:sz w:val="22"/>
          <w:szCs w:val="22"/>
        </w:rPr>
        <w:t xml:space="preserve">Estadiamento reduz morbidade per-cirurgia (menor tempo/perda sanguínea), porém: (1) requer múltiplas anestesias, (2) aumenta custo total e tempo até resultado final, (3) pode deixar desproporções corporais temporárias. Cirurgias combinadas: (1) resultado estético superior, (2) menos anestesias, (3) maior satisfação paciente, (4) porém maior risco imediato de complicações em pacientes frágeis. </w:t>
      </w:r>
      <w:r>
        <w:rPr>
          <w:rFonts w:ascii="Arial" w:cs="Arial" w:eastAsia="Arial" w:hAnsi="Arial"/>
          <w:i/>
          <w:iCs/>
          <w:color w:val="808080"/>
          <w:sz w:val="18"/>
          <w:szCs w:val="18"/>
        </w:rPr>
        <w:t xml:space="preserve">(Aly et al., PRS, 2003; Hasanbegovic &amp; Sorensen, Obes Surg, 2012)</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E74C3C" w:sz="6"/>
              <w:left w:val="single" w:color="E74C3C" w:sz="6"/>
              <w:bottom w:val="single" w:color="E74C3C" w:sz="6"/>
              <w:right w:val="single" w:color="E74C3C" w:sz="6"/>
            </w:tcBorders>
            <w:shd w:fill="FADBD8" w:val="clear"/>
            <w:tcMar>
              <w:top w:type="dxa" w:w="120"/>
              <w:left w:type="dxa" w:w="200"/>
              <w:bottom w:type="dxa" w:w="120"/>
              <w:right w:type="dxa" w:w="200"/>
            </w:tcMar>
          </w:tcPr>
          <w:p>
            <w:pPr>
              <w:spacing w:after="80"/>
            </w:pPr>
            <w:r>
              <w:rPr>
                <w:rFonts w:ascii="Arial" w:cs="Arial" w:eastAsia="Arial" w:hAnsi="Arial"/>
                <w:b/>
                <w:bCs/>
                <w:color w:val="E74C3C"/>
                <w:sz w:val="22"/>
                <w:szCs w:val="22"/>
              </w:rPr>
              <w:t xml:space="preserve">🔴 MUDANÇA DE PARADIGMA: Segurança de Procedimentos Combinados em Único Ato</w:t>
            </w:r>
          </w:p>
          <w:p>
            <w:pPr>
              <w:spacing w:after="120"/>
            </w:pPr>
            <w:r>
              <w:rPr>
                <w:rFonts w:ascii="Arial" w:cs="Arial" w:eastAsia="Arial" w:hAnsi="Arial"/>
                <w:sz w:val="22"/>
                <w:szCs w:val="22"/>
              </w:rPr>
              <w:t xml:space="preserve">Novo paradigma (2020–2024): série de Abbas et al. (2022) em 247 pacientes demonstrou que body lift + braquioplastia + mastopexia em ato único (tempo &lt; 380 min, BMI &lt; 30) teve mesma taxa de TEV (3,2%), infecção (1,6%) e seroma (8,9%) comparado a body lift isolado com estadiamento. Conclusão: combinações agressivas são seguras em seleção rigorosa de pacientes. </w:t>
            </w:r>
            <w:r>
              <w:rPr>
                <w:rFonts w:ascii="Arial" w:cs="Arial" w:eastAsia="Arial" w:hAnsi="Arial"/>
                <w:i/>
                <w:iCs/>
                <w:color w:val="808080"/>
                <w:sz w:val="18"/>
                <w:szCs w:val="18"/>
              </w:rPr>
              <w:t xml:space="preserve">(Abbas et al., PRS, 2022)</w:t>
            </w:r>
          </w:p>
        </w:tc>
      </w:tr>
    </w:tbl>
    <w:p>
      <w:pPr>
        <w:spacing w:after="120"/>
      </w:pPr>
    </w:p>
    <w:p>
      <w:pPr>
        <w:pStyle w:val="Heading1"/>
        <w:spacing w:after="200" w:before="360"/>
      </w:pPr>
      <w:r>
        <w:rPr>
          <w:rFonts w:ascii="Arial" w:cs="Arial" w:eastAsia="Arial" w:hAnsi="Arial"/>
          <w:b/>
          <w:bCs/>
          <w:color w:val="1B4F72"/>
          <w:sz w:val="32"/>
          <w:szCs w:val="32"/>
        </w:rPr>
        <w:t xml:space="preserve">9. COMPLICAÇÕES</w:t>
      </w:r>
    </w:p>
    <w:p>
      <w:pPr>
        <w:pStyle w:val="Heading2"/>
        <w:spacing w:after="160" w:before="280"/>
      </w:pPr>
      <w:r>
        <w:rPr>
          <w:rFonts w:ascii="Arial" w:cs="Arial" w:eastAsia="Arial" w:hAnsi="Arial"/>
          <w:b/>
          <w:bCs/>
          <w:color w:val="2E86C1"/>
          <w:sz w:val="28"/>
          <w:szCs w:val="28"/>
        </w:rPr>
        <w:t xml:space="preserve">9.1 Complicações Gerais e Taxas de Incidência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400"/>
        <w:gridCol w:w="4120"/>
      </w:tblGrid>
      <w:tr>
        <w:trPr>
          <w:tblHeader/>
        </w:trP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Complicação</w:t>
            </w:r>
          </w:p>
        </w:tc>
        <w:tc>
          <w:tcPr>
            <w:tcW w:type="dxa" w:w="1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Incidência (%)</w:t>
            </w:r>
          </w:p>
        </w:tc>
        <w:tc>
          <w:tcPr>
            <w:tcW w:type="dxa" w:w="2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Fatores de Risco</w:t>
            </w:r>
          </w:p>
        </w:tc>
        <w:tc>
          <w:tcPr>
            <w:tcW w:type="dxa" w:w="4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Manejo</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TEV (TVP/EP)</w:t>
            </w:r>
          </w:p>
        </w:tc>
        <w:tc>
          <w:tcPr>
            <w:tcW w:type="dxa" w:w="1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2–5%</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Obesidade residual, tempo &gt; 240 min, imobilidade</w:t>
            </w:r>
          </w:p>
        </w:tc>
        <w:tc>
          <w:tcPr>
            <w:tcW w:type="dxa" w:w="412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Profilaxia farmacológica/mecânica, IVC filter se contraindicação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Seroma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10–30%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Dissecção ampla, drenagem inadequada</w:t>
            </w:r>
          </w:p>
        </w:tc>
        <w:tc>
          <w:tcPr>
            <w:tcW w:type="dxa" w:w="4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Drenagem percutânea, aspiração seriada, compressão</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Deiscência</w:t>
            </w:r>
          </w:p>
        </w:tc>
        <w:tc>
          <w:tcPr>
            <w:tcW w:type="dxa" w:w="1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5–15%</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Qualidade cutânea, sobretensão, hematoma</w:t>
            </w:r>
          </w:p>
        </w:tc>
        <w:tc>
          <w:tcPr>
            <w:tcW w:type="dxa" w:w="412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Cuidados locais, drenagem, resutura se indicado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Infecção superficial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Higiene inadequada, seroma, obeso</w:t>
            </w:r>
          </w:p>
        </w:tc>
        <w:tc>
          <w:tcPr>
            <w:tcW w:type="dxa" w:w="4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Antibióticos, drenagem, limpeza local</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Infecção profunda</w:t>
            </w:r>
          </w:p>
        </w:tc>
        <w:tc>
          <w:tcPr>
            <w:tcW w:type="dxa" w:w="1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0,5–2%</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Idem + hematoma, diabetes</w:t>
            </w:r>
          </w:p>
        </w:tc>
        <w:tc>
          <w:tcPr>
            <w:tcW w:type="dxa" w:w="412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Antibióticos IV, drenagem cirúrgica urgente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Hematoma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5–10%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Coagulopatia, sobretensão, hemostasia inadequada</w:t>
            </w:r>
          </w:p>
        </w:tc>
        <w:tc>
          <w:tcPr>
            <w:tcW w:type="dxa" w:w="4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Drenagem percutânea, reoperação se &gt; 100 mL</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Necrose de pele</w:t>
            </w:r>
          </w:p>
        </w:tc>
        <w:tc>
          <w:tcPr>
            <w:tcW w:type="dxa" w:w="1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2–8%</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Perfusão inadequada, zona de incisão vertical</w:t>
            </w:r>
          </w:p>
        </w:tc>
        <w:tc>
          <w:tcPr>
            <w:tcW w:type="dxa" w:w="412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Desbridamento, cicatrização 2ª intenção, enxerto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Linfedema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5–15%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Cruroplastia, ressecção inguinal</w:t>
            </w:r>
          </w:p>
        </w:tc>
        <w:tc>
          <w:tcPr>
            <w:tcW w:type="dxa" w:w="4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Drenagem linfática manual, meias compressivas</w:t>
            </w:r>
          </w:p>
        </w:tc>
      </w:tr>
    </w:tbl>
    <w:p>
      <w:pPr>
        <w:spacing w:after="120"/>
      </w:pPr>
    </w:p>
    <w:p>
      <w:pPr>
        <w:spacing w:after="120"/>
      </w:pPr>
      <w:r>
        <w:rPr>
          <w:rFonts w:ascii="Arial" w:cs="Arial" w:eastAsia="Arial" w:hAnsi="Arial"/>
          <w:i/>
          <w:iCs/>
          <w:color w:val="808080"/>
          <w:sz w:val="18"/>
          <w:szCs w:val="18"/>
        </w:rPr>
        <w:t xml:space="preserve">(Aly et al., PRS, 2003; Shermak, PRS, 2006; Hasanbegovic &amp; Sorensen, Obes Surg, 2012; Abbas et al., PRS, 2022)</w:t>
      </w:r>
    </w:p>
    <w:p>
      <w:pPr>
        <w:spacing w:after="120"/>
      </w:pPr>
    </w:p>
    <w:p>
      <w:pPr>
        <w:pStyle w:val="Heading2"/>
        <w:spacing w:after="160" w:before="280"/>
      </w:pPr>
      <w:r>
        <w:rPr>
          <w:rFonts w:ascii="Arial" w:cs="Arial" w:eastAsia="Arial" w:hAnsi="Arial"/>
          <w:b/>
          <w:bCs/>
          <w:color w:val="2E86C1"/>
          <w:sz w:val="28"/>
          <w:szCs w:val="28"/>
        </w:rPr>
        <w:t xml:space="preserve">9.2 Complicações Específicas por Procedimento</w:t>
      </w:r>
    </w:p>
    <w:p>
      <w:pPr>
        <w:pStyle w:val="Heading3"/>
        <w:spacing w:after="120" w:before="200"/>
      </w:pPr>
      <w:r>
        <w:rPr>
          <w:rFonts w:ascii="Arial" w:cs="Arial" w:eastAsia="Arial" w:hAnsi="Arial"/>
          <w:b/>
          <w:bCs/>
          <w:color w:val="2C3E50"/>
          <w:sz w:val="24"/>
          <w:szCs w:val="24"/>
        </w:rPr>
        <w:t xml:space="preserve">Abdominoplastia/Body Lift</w:t>
      </w:r>
    </w:p>
    <w:p>
      <w:pPr>
        <w:spacing w:after="120"/>
      </w:pPr>
      <w:r>
        <w:rPr>
          <w:rFonts w:ascii="Arial" w:cs="Arial" w:eastAsia="Arial" w:hAnsi="Arial"/>
          <w:sz w:val="22"/>
          <w:szCs w:val="22"/>
        </w:rPr>
        <w:t xml:space="preserve">Além das acima: migração cicatricial (5–10%), alteração de sensibilidade (20–30%, usualmente transitória), dor neuropática crônica (1–3%). </w:t>
      </w:r>
      <w:r>
        <w:rPr>
          <w:rFonts w:ascii="Arial" w:cs="Arial" w:eastAsia="Arial" w:hAnsi="Arial"/>
          <w:i/>
          <w:iCs/>
          <w:color w:val="808080"/>
          <w:sz w:val="18"/>
          <w:szCs w:val="18"/>
        </w:rPr>
        <w:t xml:space="preserve">(Aly et al., PRS, 2003)</w:t>
      </w:r>
    </w:p>
    <w:p>
      <w:pPr>
        <w:spacing w:after="120"/>
      </w:pPr>
    </w:p>
    <w:p>
      <w:pPr>
        <w:pStyle w:val="Heading3"/>
        <w:spacing w:after="120" w:before="200"/>
      </w:pPr>
      <w:r>
        <w:rPr>
          <w:rFonts w:ascii="Arial" w:cs="Arial" w:eastAsia="Arial" w:hAnsi="Arial"/>
          <w:b/>
          <w:bCs/>
          <w:color w:val="2C3E50"/>
          <w:sz w:val="24"/>
          <w:szCs w:val="24"/>
        </w:rPr>
        <w:t xml:space="preserve">Cruroplastia</w:t>
      </w:r>
    </w:p>
    <w:p>
      <w:pPr>
        <w:spacing w:after="120"/>
      </w:pPr>
      <w:r>
        <w:rPr>
          <w:rFonts w:ascii="Arial" w:cs="Arial" w:eastAsia="Arial" w:hAnsi="Arial"/>
          <w:sz w:val="22"/>
          <w:szCs w:val="22"/>
        </w:rPr>
        <w:t xml:space="preserve">Recorrência de ptose (5–20% após 2–3 anos), dispareunia (rara, &lt; 2%), disuria (rara), sensação de queimação perineal (parestesia do pudendo, 5–10%). </w:t>
      </w:r>
      <w:r>
        <w:rPr>
          <w:rFonts w:ascii="Arial" w:cs="Arial" w:eastAsia="Arial" w:hAnsi="Arial"/>
          <w:i/>
          <w:iCs/>
          <w:color w:val="808080"/>
          <w:sz w:val="18"/>
          <w:szCs w:val="18"/>
        </w:rPr>
        <w:t xml:space="preserve">(Aly et al., PRS, 2003)</w:t>
      </w:r>
    </w:p>
    <w:p>
      <w:pPr>
        <w:spacing w:after="120"/>
      </w:pPr>
    </w:p>
    <w:p>
      <w:pPr>
        <w:pStyle w:val="Heading3"/>
        <w:spacing w:after="120" w:before="200"/>
      </w:pPr>
      <w:r>
        <w:rPr>
          <w:rFonts w:ascii="Arial" w:cs="Arial" w:eastAsia="Arial" w:hAnsi="Arial"/>
          <w:b/>
          <w:bCs/>
          <w:color w:val="2C3E50"/>
          <w:sz w:val="24"/>
          <w:szCs w:val="24"/>
        </w:rPr>
        <w:t xml:space="preserve">Braquioplastia</w:t>
      </w:r>
    </w:p>
    <w:p>
      <w:pPr>
        <w:spacing w:after="120"/>
      </w:pPr>
      <w:r>
        <w:rPr>
          <w:rFonts w:ascii="Arial" w:cs="Arial" w:eastAsia="Arial" w:hAnsi="Arial"/>
          <w:sz w:val="22"/>
          <w:szCs w:val="22"/>
        </w:rPr>
        <w:t xml:space="preserve">Parestesia do nervo cutâneo medial (10–30%), cicatriz alargada (5–15%), retração de cicatriz (3–8%). </w:t>
      </w:r>
      <w:r>
        <w:rPr>
          <w:rFonts w:ascii="Arial" w:cs="Arial" w:eastAsia="Arial" w:hAnsi="Arial"/>
          <w:i/>
          <w:iCs/>
          <w:color w:val="808080"/>
          <w:sz w:val="18"/>
          <w:szCs w:val="18"/>
        </w:rPr>
        <w:t xml:space="preserve">(Hasanbegovic &amp; Sorensen, Obes Surg, 2012)</w:t>
      </w:r>
    </w:p>
    <w:p>
      <w:pPr>
        <w:spacing w:after="120"/>
      </w:pPr>
    </w:p>
    <w:p>
      <w:pPr>
        <w:pStyle w:val="Heading3"/>
        <w:spacing w:after="120" w:before="200"/>
      </w:pPr>
      <w:r>
        <w:rPr>
          <w:rFonts w:ascii="Arial" w:cs="Arial" w:eastAsia="Arial" w:hAnsi="Arial"/>
          <w:b/>
          <w:bCs/>
          <w:color w:val="2C3E50"/>
          <w:sz w:val="24"/>
          <w:szCs w:val="24"/>
        </w:rPr>
        <w:t xml:space="preserve">Mastopexia</w:t>
      </w:r>
    </w:p>
    <w:p>
      <w:pPr>
        <w:spacing w:after="120"/>
      </w:pPr>
      <w:r>
        <w:rPr>
          <w:rFonts w:ascii="Arial" w:cs="Arial" w:eastAsia="Arial" w:hAnsi="Arial"/>
          <w:sz w:val="22"/>
          <w:szCs w:val="22"/>
        </w:rPr>
        <w:t xml:space="preserve">Necrose de mamilo (1–3%), perda de sensibilidade (10–20%), assimetria pós-operatória (recorrência de ptose 5–10%), implante visível/palpável se combinado com implante. </w:t>
      </w:r>
      <w:r>
        <w:rPr>
          <w:rFonts w:ascii="Arial" w:cs="Arial" w:eastAsia="Arial" w:hAnsi="Arial"/>
          <w:i/>
          <w:iCs/>
          <w:color w:val="808080"/>
          <w:sz w:val="18"/>
          <w:szCs w:val="18"/>
        </w:rPr>
        <w:t xml:space="preserve">(Neligan's Plastic Surgery, 5ª Ed., 2023)</w:t>
      </w:r>
    </w:p>
    <w:p>
      <w:pPr>
        <w:spacing w:after="120"/>
      </w:pPr>
    </w:p>
    <w:p>
      <w:pPr>
        <w:pStyle w:val="Heading2"/>
        <w:spacing w:after="160" w:before="280"/>
      </w:pPr>
      <w:r>
        <w:rPr>
          <w:rFonts w:ascii="Arial" w:cs="Arial" w:eastAsia="Arial" w:hAnsi="Arial"/>
          <w:b/>
          <w:bCs/>
          <w:color w:val="2E86C1"/>
          <w:sz w:val="28"/>
          <w:szCs w:val="28"/>
        </w:rPr>
        <w:t xml:space="preserve">9.3 Deficiência Nutricional Pós-Operatória</w:t>
      </w:r>
    </w:p>
    <w:p>
      <w:pPr>
        <w:spacing w:after="120"/>
      </w:pPr>
      <w:r>
        <w:rPr>
          <w:rFonts w:ascii="Arial" w:cs="Arial" w:eastAsia="Arial" w:hAnsi="Arial"/>
          <w:sz w:val="22"/>
          <w:szCs w:val="22"/>
        </w:rPr>
        <w:t xml:space="preserve">Cirurgias de contorno corporal com extensão ampla podem precipitar deficiência nutricional mesmo em pacientes pré-otimizados. Necessidade aumentada de proteína (até 1.5 g/kg de peso ideal), vitaminas e minerais. Suplementação agressiva com BCAA, vitaminas B (especialmente B12), ferro, vitamina D por período de 4–6 meses pós-operatório. </w:t>
      </w:r>
      <w:r>
        <w:rPr>
          <w:rFonts w:ascii="Arial" w:cs="Arial" w:eastAsia="Arial" w:hAnsi="Arial"/>
          <w:i/>
          <w:iCs/>
          <w:color w:val="808080"/>
          <w:sz w:val="18"/>
          <w:szCs w:val="18"/>
        </w:rPr>
        <w:t xml:space="preserve">(Shermak, PRS, 2006; Mitchell et al., Surg Obes Dis, 2016)</w:t>
      </w:r>
    </w:p>
    <w:p>
      <w:pPr>
        <w:pStyle w:val="Heading1"/>
        <w:spacing w:after="200" w:before="360"/>
      </w:pPr>
      <w:r>
        <w:rPr>
          <w:rFonts w:ascii="Arial" w:cs="Arial" w:eastAsia="Arial" w:hAnsi="Arial"/>
          <w:b/>
          <w:bCs/>
          <w:color w:val="1B4F72"/>
          <w:sz w:val="32"/>
          <w:szCs w:val="32"/>
        </w:rPr>
        <w:t xml:space="preserve">10. PÓS-OPERATÓRIO</w:t>
      </w:r>
    </w:p>
    <w:p>
      <w:pPr>
        <w:pStyle w:val="Heading2"/>
        <w:spacing w:after="160" w:before="280"/>
      </w:pPr>
      <w:r>
        <w:rPr>
          <w:rFonts w:ascii="Arial" w:cs="Arial" w:eastAsia="Arial" w:hAnsi="Arial"/>
          <w:b/>
          <w:bCs/>
          <w:color w:val="2E86C1"/>
          <w:sz w:val="28"/>
          <w:szCs w:val="28"/>
        </w:rPr>
        <w:t xml:space="preserve">10.1 Cuidados Imediatos (Primeiras 24–48 Horas)</w:t>
      </w:r>
    </w:p>
    <w:p>
      <w:pPr>
        <w:spacing w:after="120"/>
      </w:pPr>
      <w:r>
        <w:rPr>
          <w:rFonts w:ascii="Arial" w:cs="Arial" w:eastAsia="Arial" w:hAnsi="Arial"/>
          <w:sz w:val="22"/>
          <w:szCs w:val="22"/>
        </w:rPr>
        <w:t xml:space="preserve">Monitoramento em unidade de terapia intensiva ou enfermaria de cuidados intermediários recomendado em procedimentos extensos. Vigilância de: débito de drenos (volume, cor, aspecto), sinais de TEV (edema unilateral, dor em panturrilha), infecção (febre &gt; 38,5°C, rubor), e sangramento excessivo. </w:t>
      </w:r>
      <w:r>
        <w:rPr>
          <w:rFonts w:ascii="Arial" w:cs="Arial" w:eastAsia="Arial" w:hAnsi="Arial"/>
          <w:i/>
          <w:iCs/>
          <w:color w:val="808080"/>
          <w:sz w:val="18"/>
          <w:szCs w:val="18"/>
        </w:rPr>
        <w:t xml:space="preserve">(Grabb &amp; Smith's Plastic Surgery, 8ª Ed., 2020)</w:t>
      </w:r>
    </w:p>
    <w:p>
      <w:pPr>
        <w:spacing w:after="120"/>
      </w:pPr>
    </w:p>
    <w:p>
      <w:pPr>
        <w:pStyle w:val="Heading2"/>
        <w:spacing w:after="160" w:before="280"/>
      </w:pPr>
      <w:r>
        <w:rPr>
          <w:rFonts w:ascii="Arial" w:cs="Arial" w:eastAsia="Arial" w:hAnsi="Arial"/>
          <w:b/>
          <w:bCs/>
          <w:color w:val="2E86C1"/>
          <w:sz w:val="28"/>
          <w:szCs w:val="28"/>
        </w:rPr>
        <w:t xml:space="preserve">10.2 Manejo de Drenos</w:t>
      </w:r>
    </w:p>
    <w:p>
      <w:pPr>
        <w:spacing w:after="120"/>
      </w:pPr>
      <w:r>
        <w:rPr>
          <w:rFonts w:ascii="Arial" w:cs="Arial" w:eastAsia="Arial" w:hAnsi="Arial"/>
          <w:sz w:val="22"/>
          <w:szCs w:val="22"/>
        </w:rPr>
        <w:t xml:space="preserve">Jackson-Pratt (JP) ou Blake com evacuação contínua (preferível) versus intermitente. Remover quando débito &lt; 30 mL/dia por 48 horas consecutivas. Tempo típico: 2–4 semanas em body lift (frequentemente necessário período prolongado por risco de seroma). Orientar paciente em auto-medição de débito. </w:t>
      </w:r>
      <w:r>
        <w:rPr>
          <w:rFonts w:ascii="Arial" w:cs="Arial" w:eastAsia="Arial" w:hAnsi="Arial"/>
          <w:i/>
          <w:iCs/>
          <w:color w:val="808080"/>
          <w:sz w:val="18"/>
          <w:szCs w:val="18"/>
        </w:rPr>
        <w:t xml:space="preserve">(Aly et al., PRS, 2003)</w:t>
      </w:r>
    </w:p>
    <w:p>
      <w:pPr>
        <w:spacing w:after="120"/>
      </w:pPr>
    </w:p>
    <w:p>
      <w:pPr>
        <w:pStyle w:val="Heading2"/>
        <w:spacing w:after="160" w:before="280"/>
      </w:pPr>
      <w:r>
        <w:rPr>
          <w:rFonts w:ascii="Arial" w:cs="Arial" w:eastAsia="Arial" w:hAnsi="Arial"/>
          <w:b/>
          <w:bCs/>
          <w:color w:val="2E86C1"/>
          <w:sz w:val="28"/>
          <w:szCs w:val="28"/>
        </w:rPr>
        <w:t xml:space="preserve">10.3 Malhas Compressivas e Vestuário</w:t>
      </w:r>
    </w:p>
    <w:p>
      <w:pPr>
        <w:spacing w:after="120"/>
      </w:pPr>
      <w:r>
        <w:rPr>
          <w:rFonts w:ascii="Arial" w:cs="Arial" w:eastAsia="Arial" w:hAnsi="Arial"/>
          <w:sz w:val="22"/>
          <w:szCs w:val="22"/>
        </w:rPr>
        <w:t xml:space="preserve">Uso de meia/meias compressivas (classe II, 15–20 mmHg) por 4–6 semanas contínuas, essencial. Auxilia drenagem linfática, reduz edema, previne seroma. Vestuário compressivo (body suit) opcional. Reavaliar periodicamente e remover gradualmente. </w:t>
      </w:r>
      <w:r>
        <w:rPr>
          <w:rFonts w:ascii="Arial" w:cs="Arial" w:eastAsia="Arial" w:hAnsi="Arial"/>
          <w:i/>
          <w:iCs/>
          <w:color w:val="808080"/>
          <w:sz w:val="18"/>
          <w:szCs w:val="18"/>
        </w:rPr>
        <w:t xml:space="preserve">(Grabb &amp; Smith's Plastic Surgery, 8ª Ed., 2020)</w:t>
      </w:r>
    </w:p>
    <w:p>
      <w:pPr>
        <w:spacing w:after="120"/>
      </w:pPr>
    </w:p>
    <w:p>
      <w:pPr>
        <w:pStyle w:val="Heading2"/>
        <w:spacing w:after="160" w:before="280"/>
      </w:pPr>
      <w:r>
        <w:rPr>
          <w:rFonts w:ascii="Arial" w:cs="Arial" w:eastAsia="Arial" w:hAnsi="Arial"/>
          <w:b/>
          <w:bCs/>
          <w:color w:val="2E86C1"/>
          <w:sz w:val="28"/>
          <w:szCs w:val="28"/>
        </w:rPr>
        <w:t xml:space="preserve">10.4 Mobilização Precoce</w:t>
      </w:r>
    </w:p>
    <w:p>
      <w:pPr>
        <w:spacing w:after="120"/>
      </w:pPr>
      <w:r>
        <w:rPr>
          <w:rFonts w:ascii="Arial" w:cs="Arial" w:eastAsia="Arial" w:hAnsi="Arial"/>
          <w:sz w:val="22"/>
          <w:szCs w:val="22"/>
        </w:rPr>
        <w:t xml:space="preserve">Sentar-se no leito no pós-operatório imediato (POI 0), caminhada assistida no POI 1. Movimento reduz risco de TEV, melhora retorno linfático. Evitar posições que aumentem tensão cicatricial (decúbito dorsal com joelhos estendidos não é recomendado em primeiras 2 semanas). </w:t>
      </w:r>
      <w:r>
        <w:rPr>
          <w:rFonts w:ascii="Arial" w:cs="Arial" w:eastAsia="Arial" w:hAnsi="Arial"/>
          <w:i/>
          <w:iCs/>
          <w:color w:val="808080"/>
          <w:sz w:val="18"/>
          <w:szCs w:val="18"/>
        </w:rPr>
        <w:t xml:space="preserve">(Colwell et al., NEJM, 2011)</w:t>
      </w:r>
    </w:p>
    <w:p>
      <w:pPr>
        <w:spacing w:after="120"/>
      </w:pPr>
    </w:p>
    <w:p>
      <w:pPr>
        <w:pStyle w:val="Heading2"/>
        <w:spacing w:after="160" w:before="280"/>
      </w:pPr>
      <w:r>
        <w:rPr>
          <w:rFonts w:ascii="Arial" w:cs="Arial" w:eastAsia="Arial" w:hAnsi="Arial"/>
          <w:b/>
          <w:bCs/>
          <w:color w:val="2E86C1"/>
          <w:sz w:val="28"/>
          <w:szCs w:val="28"/>
        </w:rPr>
        <w:t xml:space="preserve">10.5 Profilaxia de TEV</w:t>
      </w:r>
    </w:p>
    <w:p>
      <w:pPr>
        <w:spacing w:after="120"/>
      </w:pPr>
      <w:r>
        <w:rPr>
          <w:rFonts w:ascii="Arial" w:cs="Arial" w:eastAsia="Arial" w:hAnsi="Arial"/>
          <w:sz w:val="22"/>
          <w:szCs w:val="22"/>
        </w:rPr>
        <w:t xml:space="preserve">Recomendações: compressão intermitente intraoperatória mantém-se até ambular, meias elásticas continuar, mobilização precoce agressiva. Farmacológica: HBPM (enoxaparina 40 mg/dia sc) ou rivaroxabana 10 mg/dia por 10–14 dias em pacientes de risco elevado (BMI &gt; 35, histórico pessoal/familiar de TEV, idade &gt; 60, imobilidade). </w:t>
      </w:r>
      <w:r>
        <w:rPr>
          <w:rFonts w:ascii="Arial" w:cs="Arial" w:eastAsia="Arial" w:hAnsi="Arial"/>
          <w:i/>
          <w:iCs/>
          <w:color w:val="808080"/>
          <w:sz w:val="18"/>
          <w:szCs w:val="18"/>
        </w:rPr>
        <w:t xml:space="preserve">(Colwell et al., NEJM, 2011; Falck-Ytter et al., ACCP Guidelines, 2012)</w:t>
      </w:r>
    </w:p>
    <w:p>
      <w:pPr>
        <w:spacing w:after="120"/>
      </w:pPr>
    </w:p>
    <w:p>
      <w:pPr>
        <w:pStyle w:val="Heading2"/>
        <w:spacing w:after="160" w:before="280"/>
      </w:pPr>
      <w:r>
        <w:rPr>
          <w:rFonts w:ascii="Arial" w:cs="Arial" w:eastAsia="Arial" w:hAnsi="Arial"/>
          <w:b/>
          <w:bCs/>
          <w:color w:val="2E86C1"/>
          <w:sz w:val="28"/>
          <w:szCs w:val="28"/>
        </w:rPr>
        <w:t xml:space="preserve">10.6 Suplementação Nutricional Agressiva</w:t>
      </w:r>
    </w:p>
    <w:p>
      <w:pPr>
        <w:spacing w:after="120"/>
      </w:pPr>
      <w:r>
        <w:rPr>
          <w:rFonts w:ascii="Arial" w:cs="Arial" w:eastAsia="Arial" w:hAnsi="Arial"/>
          <w:sz w:val="22"/>
          <w:szCs w:val="22"/>
        </w:rPr>
        <w:t xml:space="preserve">Ingestão calórica: 30–35 kcal/kg peso ideal. Proteína: ≥ 1,2 g/kg/dia. Suplementação específica: BCAA (10–20 g/dia), vitamina D (2000 UI/dia), B12 (1000 mcg IM mensal ou 2000 mcg sublingual diariamente), ferro (300 mg/dia se hematócrito &lt; 35%), ácido fólico (1 mg/dia). Avaliar albumina sérica em semana 6 e 12 pós-operatória; se &lt; 3.0 g/dL, intensificar suplementação. </w:t>
      </w:r>
      <w:r>
        <w:rPr>
          <w:rFonts w:ascii="Arial" w:cs="Arial" w:eastAsia="Arial" w:hAnsi="Arial"/>
          <w:i/>
          <w:iCs/>
          <w:color w:val="808080"/>
          <w:sz w:val="18"/>
          <w:szCs w:val="18"/>
        </w:rPr>
        <w:t xml:space="preserve">(Shermak, PRS, 2006; Mitchell et al., Surg Obes Dis, 2016)</w:t>
      </w:r>
    </w:p>
    <w:p>
      <w:pPr>
        <w:spacing w:after="120"/>
      </w:pPr>
    </w:p>
    <w:p>
      <w:pPr>
        <w:pStyle w:val="Heading2"/>
        <w:spacing w:after="160" w:before="280"/>
      </w:pPr>
      <w:r>
        <w:rPr>
          <w:rFonts w:ascii="Arial" w:cs="Arial" w:eastAsia="Arial" w:hAnsi="Arial"/>
          <w:b/>
          <w:bCs/>
          <w:color w:val="2E86C1"/>
          <w:sz w:val="28"/>
          <w:szCs w:val="28"/>
        </w:rPr>
        <w:t xml:space="preserve">10.7 Seguimento Ambulatorial</w:t>
      </w:r>
    </w:p>
    <w:p>
      <w:pPr>
        <w:spacing w:after="120"/>
      </w:pPr>
      <w:r>
        <w:rPr>
          <w:rFonts w:ascii="Arial" w:cs="Arial" w:eastAsia="Arial" w:hAnsi="Arial"/>
          <w:sz w:val="22"/>
          <w:szCs w:val="22"/>
        </w:rPr>
        <w:t xml:space="preserve">Protocolo de reavaliação:</w:t>
      </w:r>
    </w:p>
    <w:p>
      <w:pPr>
        <w:spacing w:after="120"/>
      </w:pPr>
      <w:r>
        <w:rPr>
          <w:rFonts w:ascii="Arial" w:cs="Arial" w:eastAsia="Arial" w:hAnsi="Arial"/>
          <w:sz w:val="22"/>
          <w:szCs w:val="22"/>
        </w:rPr>
        <w:t xml:space="preserve">• Semana 2: avaliação das incisões, retirada de sutura (se não absorvível)\n• Semana 6: avaliação de seroma, foto clínica, liberar atividades moderadas\n• Semana 12: avaliação final cicatricial, liberar atividades plenas\n• Mês 6: avaliação de cicatrização tardia, possível peeling ou microdermabrasão\n• Mês 12: avaliação de resultados finais, planejamento de possíveis reoperações</w:t>
      </w:r>
    </w:p>
    <w:p>
      <w:pPr>
        <w:spacing w:after="120"/>
      </w:pPr>
    </w:p>
    <w:p>
      <w:pPr>
        <w:pStyle w:val="Heading2"/>
        <w:spacing w:after="160" w:before="280"/>
      </w:pPr>
      <w:r>
        <w:rPr>
          <w:rFonts w:ascii="Arial" w:cs="Arial" w:eastAsia="Arial" w:hAnsi="Arial"/>
          <w:b/>
          <w:bCs/>
          <w:color w:val="2E86C1"/>
          <w:sz w:val="28"/>
          <w:szCs w:val="28"/>
        </w:rPr>
        <w:t xml:space="preserve">10.8 Atividades Retorno</w:t>
      </w:r>
    </w:p>
    <w:p>
      <w:pPr>
        <w:spacing w:after="120"/>
      </w:pPr>
      <w:r>
        <w:rPr>
          <w:rFonts w:ascii="Arial" w:cs="Arial" w:eastAsia="Arial" w:hAnsi="Arial"/>
          <w:sz w:val="22"/>
          <w:szCs w:val="22"/>
        </w:rPr>
        <w:t xml:space="preserve">Atividades leves (caminhar): semana 2–3. Exercício aeróbico moderado (caminhada rápida, natação): semana 6. Musculação: mês 3 (iniciando com pesos leves). Contato sexual: semana 6–8 (depende de localização de cicatrizes). </w:t>
      </w:r>
      <w:r>
        <w:rPr>
          <w:rFonts w:ascii="Arial" w:cs="Arial" w:eastAsia="Arial" w:hAnsi="Arial"/>
          <w:i/>
          <w:iCs/>
          <w:color w:val="808080"/>
          <w:sz w:val="18"/>
          <w:szCs w:val="18"/>
        </w:rPr>
        <w:t xml:space="preserve">(Grabb &amp; Smith's Plastic Surgery, 8ª Ed., 2020)</w:t>
      </w:r>
    </w:p>
    <w:p>
      <w:pPr>
        <w:pStyle w:val="Heading1"/>
        <w:spacing w:after="200" w:before="360"/>
      </w:pPr>
      <w:r>
        <w:rPr>
          <w:rFonts w:ascii="Arial" w:cs="Arial" w:eastAsia="Arial" w:hAnsi="Arial"/>
          <w:b/>
          <w:bCs/>
          <w:color w:val="1B4F72"/>
          <w:sz w:val="32"/>
          <w:szCs w:val="32"/>
        </w:rPr>
        <w:t xml:space="preserve">11. FLASHCARDS — PERGUNTAS E RESPOSTAS</w:t>
      </w:r>
    </w:p>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346"/>
        <w:gridCol w:w="4374"/>
      </w:tblGrid>
      <w:tr>
        <w:trPr>
          <w:tblHeader/>
        </w:trPr>
        <w:tc>
          <w:tcPr>
            <w:tcW w:type="dxa" w:w="5346"/>
            <w:tcBorders>
              <w:top w:val="single" w:color="F39C12" w:sz="1"/>
              <w:left w:val="single" w:color="F39C12" w:sz="1"/>
              <w:bottom w:val="single" w:color="F39C12" w:sz="1"/>
              <w:right w:val="single" w:color="F39C12" w:sz="1"/>
            </w:tcBorders>
            <w:shd w:fill="F39C1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PERGUNTA</w:t>
            </w:r>
          </w:p>
        </w:tc>
        <w:tc>
          <w:tcPr>
            <w:tcW w:type="dxa" w:w="4374"/>
            <w:tcBorders>
              <w:top w:val="single" w:color="F39C12" w:sz="1"/>
              <w:left w:val="single" w:color="F39C12" w:sz="1"/>
              <w:bottom w:val="single" w:color="F39C12" w:sz="1"/>
              <w:right w:val="single" w:color="F39C12" w:sz="1"/>
            </w:tcBorders>
            <w:shd w:fill="F39C1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RESPOSTA</w:t>
            </w:r>
          </w:p>
        </w:tc>
      </w:tr>
      <w:tr>
        <w:tc>
          <w:tcPr>
            <w:tcW w:type="dxa" w:w="5346"/>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sz w:val="20"/>
                <w:szCs w:val="20"/>
              </w:rPr>
              <w:t xml:space="preserve">Qual é o intervalo mínimo entre cirurgia bariátrica e contorno corporal?</w:t>
            </w:r>
          </w:p>
        </w:tc>
        <w:tc>
          <w:tcPr>
            <w:tcW w:type="dxa" w:w="4374"/>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20"/>
                <w:szCs w:val="20"/>
              </w:rPr>
              <w:t xml:space="preserve">12–18 meses, permitindo estabilização ponderal e recuperação metabólica.</w:t>
            </w:r>
          </w:p>
        </w:tc>
      </w:tr>
      <w:tr>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BMI ideal para procedimentos de contorno?</w:t>
            </w:r>
          </w:p>
        </w:tc>
        <w:tc>
          <w:tcPr>
            <w:tcW w:type="dxa" w:w="437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&lt; 30 kg/m²; alguns autores aceitam até 32 kg/m².</w:t>
            </w:r>
          </w:p>
        </w:tc>
      </w:tr>
      <w:tr>
        <w:tc>
          <w:tcPr>
            <w:tcW w:type="dxa" w:w="5346"/>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sz w:val="20"/>
                <w:szCs w:val="20"/>
              </w:rPr>
              <w:t xml:space="preserve">Albumina sérica mínima para cirurgia segura?</w:t>
            </w:r>
          </w:p>
        </w:tc>
        <w:tc>
          <w:tcPr>
            <w:tcW w:type="dxa" w:w="4374"/>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20"/>
                <w:szCs w:val="20"/>
              </w:rPr>
              <w:t xml:space="preserve">&gt; 3,0–3,2 g/dL (novo consenso: &gt; 3,2 g/dL).</w:t>
            </w:r>
          </w:p>
        </w:tc>
      </w:tr>
      <w:tr>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Principais deficiências nutricionais em pós-bariátricos?</w:t>
            </w:r>
          </w:p>
        </w:tc>
        <w:tc>
          <w:tcPr>
            <w:tcW w:type="dxa" w:w="437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B12, ferro, vitamina D, ácido fólico, e proteína (frequentemente).</w:t>
            </w:r>
          </w:p>
        </w:tc>
      </w:tr>
      <w:tr>
        <w:tc>
          <w:tcPr>
            <w:tcW w:type="dxa" w:w="5346"/>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sz w:val="20"/>
                <w:szCs w:val="20"/>
              </w:rPr>
              <w:t xml:space="preserve">Qual é a escala de classificação de ptose mamária?</w:t>
            </w:r>
          </w:p>
        </w:tc>
        <w:tc>
          <w:tcPr>
            <w:tcW w:type="dxa" w:w="4374"/>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20"/>
                <w:szCs w:val="20"/>
              </w:rPr>
              <w:t xml:space="preserve">Regnault (Graus: Normal, I Leve, II Moderada, III Severa).</w:t>
            </w:r>
          </w:p>
        </w:tc>
      </w:tr>
      <w:tr>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Em que consiste a técnica de Lockwood para body lift?</w:t>
            </w:r>
          </w:p>
        </w:tc>
        <w:tc>
          <w:tcPr>
            <w:tcW w:type="dxa" w:w="437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Incisão contínua horizontal baixa com ressecção circunferencial de faixa de tecido, elevando abdome e coxas em ato único.</w:t>
            </w:r>
          </w:p>
        </w:tc>
      </w:tr>
      <w:tr>
        <w:tc>
          <w:tcPr>
            <w:tcW w:type="dxa" w:w="5346"/>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sz w:val="20"/>
                <w:szCs w:val="20"/>
              </w:rPr>
              <w:t xml:space="preserve">Ponto crítico de fixação para cruroplastia?</w:t>
            </w:r>
          </w:p>
        </w:tc>
        <w:tc>
          <w:tcPr>
            <w:tcW w:type="dxa" w:w="4374"/>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20"/>
                <w:szCs w:val="20"/>
              </w:rPr>
              <w:t xml:space="preserve">Fascia Scarpa ao periósteo de sínfise púbica (fixa cicatriz e previne migração).</w:t>
            </w:r>
          </w:p>
        </w:tc>
      </w:tr>
      <w:tr>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Tempo cirúrgico máximo recomendado em ato único?</w:t>
            </w:r>
          </w:p>
        </w:tc>
        <w:tc>
          <w:tcPr>
            <w:tcW w:type="dxa" w:w="437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360–420 minutos (limite conforto anestésico).</w:t>
            </w:r>
          </w:p>
        </w:tc>
      </w:tr>
      <w:tr>
        <w:tc>
          <w:tcPr>
            <w:tcW w:type="dxa" w:w="5346"/>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sz w:val="20"/>
                <w:szCs w:val="20"/>
              </w:rPr>
              <w:t xml:space="preserve">Perda sanguínea máxima aceitável?</w:t>
            </w:r>
          </w:p>
        </w:tc>
        <w:tc>
          <w:tcPr>
            <w:tcW w:type="dxa" w:w="4374"/>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20"/>
                <w:szCs w:val="20"/>
              </w:rPr>
              <w:t xml:space="preserve">1200–1500 mL; acima disso, considerar transfusão ou cell salvage.</w:t>
            </w:r>
          </w:p>
        </w:tc>
      </w:tr>
      <w:tr>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Taxa de seroma em body lift completo?</w:t>
            </w:r>
          </w:p>
        </w:tc>
        <w:tc>
          <w:tcPr>
            <w:tcW w:type="dxa" w:w="437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10–30% (maior que abdominoplastia eletiva por extensão de dissecção).</w:t>
            </w:r>
          </w:p>
        </w:tc>
      </w:tr>
      <w:tr>
        <w:tc>
          <w:tcPr>
            <w:tcW w:type="dxa" w:w="5346"/>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sz w:val="20"/>
                <w:szCs w:val="20"/>
              </w:rPr>
              <w:t xml:space="preserve">Incidência de linfedema em cruroplastia?</w:t>
            </w:r>
          </w:p>
        </w:tc>
        <w:tc>
          <w:tcPr>
            <w:tcW w:type="dxa" w:w="4374"/>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20"/>
                <w:szCs w:val="20"/>
              </w:rPr>
              <w:t xml:space="preserve">5–15% (por ressecção de tecido adiposo inguinal).</w:t>
            </w:r>
          </w:p>
        </w:tc>
      </w:tr>
      <w:tr>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Complicação mais temida em braquioplastia?</w:t>
            </w:r>
          </w:p>
        </w:tc>
        <w:tc>
          <w:tcPr>
            <w:tcW w:type="dxa" w:w="437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Lesão do nervo cutâneo medial do antebraço (10–30% transitória).</w:t>
            </w:r>
          </w:p>
        </w:tc>
      </w:tr>
      <w:tr>
        <w:tc>
          <w:tcPr>
            <w:tcW w:type="dxa" w:w="5346"/>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sz w:val="20"/>
                <w:szCs w:val="20"/>
              </w:rPr>
              <w:t xml:space="preserve">Duração típica de drenagem em body lift?</w:t>
            </w:r>
          </w:p>
        </w:tc>
        <w:tc>
          <w:tcPr>
            <w:tcW w:type="dxa" w:w="4374"/>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20"/>
                <w:szCs w:val="20"/>
              </w:rPr>
              <w:t xml:space="preserve">2–4 semanas (frequentemente &gt; 3 semanas por risco prolongado de seroma).</w:t>
            </w:r>
          </w:p>
        </w:tc>
      </w:tr>
      <w:tr>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Critério para remover dreno JP?</w:t>
            </w:r>
          </w:p>
        </w:tc>
        <w:tc>
          <w:tcPr>
            <w:tcW w:type="dxa" w:w="437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Débito &lt; 30 mL/dia por 48 horas consecutivas.</w:t>
            </w:r>
          </w:p>
        </w:tc>
      </w:tr>
      <w:tr>
        <w:tc>
          <w:tcPr>
            <w:tcW w:type="dxa" w:w="5346"/>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sz w:val="20"/>
                <w:szCs w:val="20"/>
              </w:rPr>
              <w:t xml:space="preserve">Compressão recomendada pós-operatória?</w:t>
            </w:r>
          </w:p>
        </w:tc>
        <w:tc>
          <w:tcPr>
            <w:tcW w:type="dxa" w:w="4374"/>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20"/>
                <w:szCs w:val="20"/>
              </w:rPr>
              <w:t xml:space="preserve">Meias elásticas classe II (15–20 mmHg) por 4–6 semanas contínuas.</w:t>
            </w:r>
          </w:p>
        </w:tc>
      </w:tr>
      <w:tr>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Quando iniciar mobilização após cirurgia?</w:t>
            </w:r>
          </w:p>
        </w:tc>
        <w:tc>
          <w:tcPr>
            <w:tcW w:type="dxa" w:w="437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Imediatamente (sentar-se POI 0, caminhar com apoio POI 1).</w:t>
            </w:r>
          </w:p>
        </w:tc>
      </w:tr>
      <w:tr>
        <w:tc>
          <w:tcPr>
            <w:tcW w:type="dxa" w:w="5346"/>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sz w:val="20"/>
                <w:szCs w:val="20"/>
              </w:rPr>
              <w:t xml:space="preserve">Profilaxia de TEV em pós-bariátricos: qual medicação?</w:t>
            </w:r>
          </w:p>
        </w:tc>
        <w:tc>
          <w:tcPr>
            <w:tcW w:type="dxa" w:w="4374"/>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20"/>
                <w:szCs w:val="20"/>
              </w:rPr>
              <w:t xml:space="preserve">HBPM (enoxaparina 40 mg/dia) ou rivaroxabana 10 mg/dia por 10–14 dias.</w:t>
            </w:r>
          </w:p>
        </w:tc>
      </w:tr>
      <w:tr>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Quanto tempo para liberar atividade plena?</w:t>
            </w:r>
          </w:p>
        </w:tc>
        <w:tc>
          <w:tcPr>
            <w:tcW w:type="dxa" w:w="437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12 semanas pós-operatória (musculação pesada após mês 3).</w:t>
            </w:r>
          </w:p>
        </w:tc>
      </w:tr>
      <w:tr>
        <w:tc>
          <w:tcPr>
            <w:tcW w:type="dxa" w:w="5346"/>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sz w:val="20"/>
                <w:szCs w:val="20"/>
              </w:rPr>
              <w:t xml:space="preserve">Graus da Pittsburgh Rating Scale?</w:t>
            </w:r>
          </w:p>
        </w:tc>
        <w:tc>
          <w:tcPr>
            <w:tcW w:type="dxa" w:w="4374"/>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20"/>
                <w:szCs w:val="20"/>
              </w:rPr>
              <w:t xml:space="preserve">I (mínimo), II (moderado), III (grave), IV (severo multiloca).</w:t>
            </w:r>
          </w:p>
        </w:tc>
      </w:tr>
      <w:tr>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Principal vantagem de cirurgias combinadas vs estadiamento?</w:t>
            </w:r>
          </w:p>
        </w:tc>
        <w:tc>
          <w:tcPr>
            <w:tcW w:type="dxa" w:w="437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Resultado estético superior, menos anestesias, maior satisfação, mas maior risco imediato de complicações.</w:t>
            </w:r>
          </w:p>
        </w:tc>
      </w:tr>
      <w:tr>
        <w:tc>
          <w:tcPr>
            <w:tcW w:type="dxa" w:w="5346"/>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sz w:val="20"/>
                <w:szCs w:val="20"/>
              </w:rPr>
              <w:t xml:space="preserve">Qual o pré-requisito nutricional principal para segurança cirúrgica?</w:t>
            </w:r>
          </w:p>
        </w:tc>
        <w:tc>
          <w:tcPr>
            <w:tcW w:type="dxa" w:w="4374"/>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20"/>
                <w:szCs w:val="20"/>
              </w:rPr>
              <w:t xml:space="preserve">Albumina &gt; 3,2 g/dL e ingestão proteica ≥ 1,2 g/kg peso ideal.</w:t>
            </w:r>
          </w:p>
        </w:tc>
      </w:tr>
      <w:tr>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Incidência de TEV em body lift (pós-bariátrico bem selecionado)?</w:t>
            </w:r>
          </w:p>
        </w:tc>
        <w:tc>
          <w:tcPr>
            <w:tcW w:type="dxa" w:w="437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2–5% (comparado a 0,5–2% em cirurgia eletiva convencional).</w:t>
            </w:r>
          </w:p>
        </w:tc>
      </w:tr>
    </w:tbl>
    <w:p>
      <w:pPr>
        <w:pStyle w:val="Heading1"/>
        <w:spacing w:after="200" w:before="360"/>
      </w:pPr>
      <w:r>
        <w:rPr>
          <w:rFonts w:ascii="Arial" w:cs="Arial" w:eastAsia="Arial" w:hAnsi="Arial"/>
          <w:b/>
          <w:bCs/>
          <w:color w:val="1B4F72"/>
          <w:sz w:val="32"/>
          <w:szCs w:val="32"/>
        </w:rPr>
        <w:t xml:space="preserve">REFERÊNCIAS-BASE</w:t>
      </w:r>
    </w:p>
    <w:p>
      <w:pPr>
        <w:pStyle w:val="Heading3"/>
        <w:spacing w:after="120" w:before="200"/>
      </w:pPr>
      <w:r>
        <w:rPr>
          <w:rFonts w:ascii="Arial" w:cs="Arial" w:eastAsia="Arial" w:hAnsi="Arial"/>
          <w:b/>
          <w:bCs/>
          <w:color w:val="2C3E50"/>
          <w:sz w:val="24"/>
          <w:szCs w:val="24"/>
        </w:rPr>
        <w:t xml:space="preserve">Textos Principais</w:t>
      </w:r>
    </w:p>
    <w:p>
      <w:pPr>
        <w:spacing w:after="120"/>
      </w:pPr>
      <w:r>
        <w:rPr>
          <w:rFonts w:ascii="Arial" w:cs="Arial" w:eastAsia="Arial" w:hAnsi="Arial"/>
          <w:b/>
          <w:bCs/>
          <w:sz w:val="22"/>
          <w:szCs w:val="22"/>
        </w:rPr>
        <w:t xml:space="preserve">1. </w:t>
      </w:r>
      <w:r>
        <w:rPr>
          <w:rFonts w:ascii="Arial" w:cs="Arial" w:eastAsia="Arial" w:hAnsi="Arial"/>
          <w:sz w:val="22"/>
          <w:szCs w:val="22"/>
        </w:rPr>
        <w:t xml:space="preserve">Neligan PC. </w:t>
      </w:r>
      <w:r>
        <w:rPr>
          <w:rFonts w:ascii="Arial" w:cs="Arial" w:eastAsia="Arial" w:hAnsi="Arial"/>
          <w:b/>
          <w:bCs/>
          <w:sz w:val="22"/>
          <w:szCs w:val="22"/>
        </w:rPr>
        <w:t xml:space="preserve">Plastic Surgery, 5th Edition</w:t>
      </w:r>
      <w:r>
        <w:rPr>
          <w:rFonts w:ascii="Arial" w:cs="Arial" w:eastAsia="Arial" w:hAnsi="Arial"/>
          <w:sz w:val="22"/>
          <w:szCs w:val="22"/>
        </w:rPr>
        <w:t xml:space="preserve">. 2023. Wolters Kluwer. — Capítulos sobre contorno corporal, reconstructivas abdominoplastia e body lift.</w:t>
      </w:r>
    </w:p>
    <w:p>
      <w:pPr>
        <w:spacing w:after="120"/>
      </w:pPr>
    </w:p>
    <w:p>
      <w:pPr>
        <w:spacing w:after="120"/>
      </w:pPr>
      <w:r>
        <w:rPr>
          <w:rFonts w:ascii="Arial" w:cs="Arial" w:eastAsia="Arial" w:hAnsi="Arial"/>
          <w:b/>
          <w:bCs/>
          <w:sz w:val="22"/>
          <w:szCs w:val="22"/>
        </w:rPr>
        <w:t xml:space="preserve">2. </w:t>
      </w:r>
      <w:r>
        <w:rPr>
          <w:rFonts w:ascii="Arial" w:cs="Arial" w:eastAsia="Arial" w:hAnsi="Arial"/>
          <w:sz w:val="22"/>
          <w:szCs w:val="22"/>
        </w:rPr>
        <w:t xml:space="preserve">Smith JD, Aston SJ, Grabb WC. </w:t>
      </w:r>
      <w:r>
        <w:rPr>
          <w:rFonts w:ascii="Arial" w:cs="Arial" w:eastAsia="Arial" w:hAnsi="Arial"/>
          <w:b/>
          <w:bCs/>
          <w:sz w:val="22"/>
          <w:szCs w:val="22"/>
        </w:rPr>
        <w:t xml:space="preserve">Grabb and Smith's Plastic Surgery, 8th Edition</w:t>
      </w:r>
      <w:r>
        <w:rPr>
          <w:rFonts w:ascii="Arial" w:cs="Arial" w:eastAsia="Arial" w:hAnsi="Arial"/>
          <w:sz w:val="22"/>
          <w:szCs w:val="22"/>
        </w:rPr>
        <w:t xml:space="preserve">. 2020. Wolters Kluwer. — Capítulos sobre abdominoplastia, lifting, e complicações.</w:t>
      </w:r>
    </w:p>
    <w:p>
      <w:pPr>
        <w:spacing w:after="120"/>
      </w:pPr>
    </w:p>
    <w:p>
      <w:pPr>
        <w:pStyle w:val="Heading3"/>
        <w:spacing w:after="120" w:before="200"/>
      </w:pPr>
      <w:r>
        <w:rPr>
          <w:rFonts w:ascii="Arial" w:cs="Arial" w:eastAsia="Arial" w:hAnsi="Arial"/>
          <w:b/>
          <w:bCs/>
          <w:color w:val="2C3E50"/>
          <w:sz w:val="24"/>
          <w:szCs w:val="24"/>
        </w:rPr>
        <w:t xml:space="preserve">Artigos Seminais</w:t>
      </w:r>
    </w:p>
    <w:p>
      <w:pPr>
        <w:spacing w:after="120"/>
      </w:pPr>
      <w:r>
        <w:rPr>
          <w:rFonts w:ascii="Arial" w:cs="Arial" w:eastAsia="Arial" w:hAnsi="Arial"/>
          <w:b/>
          <w:bCs/>
          <w:sz w:val="22"/>
          <w:szCs w:val="22"/>
        </w:rPr>
        <w:t xml:space="preserve">3. </w:t>
      </w:r>
      <w:r>
        <w:rPr>
          <w:rFonts w:ascii="Arial" w:cs="Arial" w:eastAsia="Arial" w:hAnsi="Arial"/>
          <w:sz w:val="22"/>
          <w:szCs w:val="22"/>
        </w:rPr>
        <w:t xml:space="preserve">Lockwood T. </w:t>
      </w:r>
      <w:r>
        <w:rPr>
          <w:rFonts w:ascii="Arial" w:cs="Arial" w:eastAsia="Arial" w:hAnsi="Arial"/>
          <w:b/>
          <w:bCs/>
          <w:sz w:val="22"/>
          <w:szCs w:val="22"/>
        </w:rPr>
        <w:t xml:space="preserve">Lower body lift and belt lipectomy.</w:t>
      </w:r>
      <w:r>
        <w:rPr>
          <w:rFonts w:ascii="Arial" w:cs="Arial" w:eastAsia="Arial" w:hAnsi="Arial"/>
          <w:sz w:val="22"/>
          <w:szCs w:val="22"/>
        </w:rPr>
        <w:t xml:space="preserve">Plast Reconstr Surg. 1994;93(7):1424–1449. — Descrição original da técnica de body lift.</w:t>
      </w:r>
    </w:p>
    <w:p>
      <w:pPr>
        <w:spacing w:after="120"/>
      </w:pPr>
    </w:p>
    <w:p>
      <w:pPr>
        <w:spacing w:after="120"/>
      </w:pPr>
      <w:r>
        <w:rPr>
          <w:rFonts w:ascii="Arial" w:cs="Arial" w:eastAsia="Arial" w:hAnsi="Arial"/>
          <w:b/>
          <w:bCs/>
          <w:sz w:val="22"/>
          <w:szCs w:val="22"/>
        </w:rPr>
        <w:t xml:space="preserve">4. </w:t>
      </w:r>
      <w:r>
        <w:rPr>
          <w:rFonts w:ascii="Arial" w:cs="Arial" w:eastAsia="Arial" w:hAnsi="Arial"/>
          <w:sz w:val="22"/>
          <w:szCs w:val="22"/>
        </w:rPr>
        <w:t xml:space="preserve">Aly A, Mowad CM, et al. </w:t>
      </w:r>
      <w:r>
        <w:rPr>
          <w:rFonts w:ascii="Arial" w:cs="Arial" w:eastAsia="Arial" w:hAnsi="Arial"/>
          <w:b/>
          <w:bCs/>
          <w:sz w:val="22"/>
          <w:szCs w:val="22"/>
        </w:rPr>
        <w:t xml:space="preserve">Body contouring after massive weight loss: skin surface area and body mass skin area ratios.</w:t>
      </w:r>
      <w:r>
        <w:rPr>
          <w:rFonts w:ascii="Arial" w:cs="Arial" w:eastAsia="Arial" w:hAnsi="Arial"/>
          <w:sz w:val="22"/>
          <w:szCs w:val="22"/>
        </w:rPr>
        <w:t xml:space="preserve">Plast Reconstr Surg. 2003;111(7):2105–2114. — Estudo de padrões de excesso de pele.</w:t>
      </w:r>
    </w:p>
    <w:p>
      <w:pPr>
        <w:spacing w:after="120"/>
      </w:pPr>
    </w:p>
    <w:p>
      <w:pPr>
        <w:spacing w:after="120"/>
      </w:pPr>
      <w:r>
        <w:rPr>
          <w:rFonts w:ascii="Arial" w:cs="Arial" w:eastAsia="Arial" w:hAnsi="Arial"/>
          <w:b/>
          <w:bCs/>
          <w:sz w:val="22"/>
          <w:szCs w:val="22"/>
        </w:rPr>
        <w:t xml:space="preserve">5. </w:t>
      </w:r>
      <w:r>
        <w:rPr>
          <w:rFonts w:ascii="Arial" w:cs="Arial" w:eastAsia="Arial" w:hAnsi="Arial"/>
          <w:sz w:val="22"/>
          <w:szCs w:val="22"/>
        </w:rPr>
        <w:t xml:space="preserve">Hasanbegovic E, Sorensen J. </w:t>
      </w:r>
      <w:r>
        <w:rPr>
          <w:rFonts w:ascii="Arial" w:cs="Arial" w:eastAsia="Arial" w:hAnsi="Arial"/>
          <w:b/>
          <w:bCs/>
          <w:sz w:val="22"/>
          <w:szCs w:val="22"/>
        </w:rPr>
        <w:t xml:space="preserve">Complications following abdominoplasty in weight loss patients.</w:t>
      </w:r>
      <w:r>
        <w:rPr>
          <w:rFonts w:ascii="Arial" w:cs="Arial" w:eastAsia="Arial" w:hAnsi="Arial"/>
          <w:sz w:val="22"/>
          <w:szCs w:val="22"/>
        </w:rPr>
        <w:t xml:space="preserve">J Plast Surg Hand Surg. 2012;46(1):30–35. — Análise de complicações em pós-bariátricos.</w:t>
      </w:r>
    </w:p>
    <w:p>
      <w:pPr>
        <w:spacing w:after="120"/>
      </w:pPr>
    </w:p>
    <w:p>
      <w:pPr>
        <w:spacing w:after="120"/>
      </w:pPr>
      <w:r>
        <w:rPr>
          <w:rFonts w:ascii="Arial" w:cs="Arial" w:eastAsia="Arial" w:hAnsi="Arial"/>
          <w:b/>
          <w:bCs/>
          <w:sz w:val="22"/>
          <w:szCs w:val="22"/>
        </w:rPr>
        <w:t xml:space="preserve">6. </w:t>
      </w:r>
      <w:r>
        <w:rPr>
          <w:rFonts w:ascii="Arial" w:cs="Arial" w:eastAsia="Arial" w:hAnsi="Arial"/>
          <w:sz w:val="22"/>
          <w:szCs w:val="22"/>
        </w:rPr>
        <w:t xml:space="preserve">Shermak MA. </w:t>
      </w:r>
      <w:r>
        <w:rPr>
          <w:rFonts w:ascii="Arial" w:cs="Arial" w:eastAsia="Arial" w:hAnsi="Arial"/>
          <w:b/>
          <w:bCs/>
          <w:sz w:val="22"/>
          <w:szCs w:val="22"/>
        </w:rPr>
        <w:t xml:space="preserve">Body contouring after massive weight loss: an informed approach.</w:t>
      </w:r>
      <w:r>
        <w:rPr>
          <w:rFonts w:ascii="Arial" w:cs="Arial" w:eastAsia="Arial" w:hAnsi="Arial"/>
          <w:sz w:val="22"/>
          <w:szCs w:val="22"/>
        </w:rPr>
        <w:t xml:space="preserve">Plast Reconstr Surg. 2006;117(7):2147–2157. — Revisão compreensiva de avaliação e técnicas.</w:t>
      </w:r>
    </w:p>
    <w:p>
      <w:pPr>
        <w:spacing w:after="120"/>
      </w:pPr>
    </w:p>
    <w:p>
      <w:pPr>
        <w:spacing w:after="120"/>
      </w:pPr>
      <w:r>
        <w:rPr>
          <w:rFonts w:ascii="Arial" w:cs="Arial" w:eastAsia="Arial" w:hAnsi="Arial"/>
          <w:b/>
          <w:bCs/>
          <w:sz w:val="22"/>
          <w:szCs w:val="22"/>
        </w:rPr>
        <w:t xml:space="preserve">7. </w:t>
      </w:r>
      <w:r>
        <w:rPr>
          <w:rFonts w:ascii="Arial" w:cs="Arial" w:eastAsia="Arial" w:hAnsi="Arial"/>
          <w:sz w:val="22"/>
          <w:szCs w:val="22"/>
        </w:rPr>
        <w:t xml:space="preserve">Hurwitz DJ, Agha N, Matheson MP, et al. </w:t>
      </w:r>
      <w:r>
        <w:rPr>
          <w:rFonts w:ascii="Arial" w:cs="Arial" w:eastAsia="Arial" w:hAnsi="Arial"/>
          <w:b/>
          <w:bCs/>
          <w:sz w:val="22"/>
          <w:szCs w:val="22"/>
        </w:rPr>
        <w:t xml:space="preserve">Full-body contouring in the massive weight loss patient.</w:t>
      </w:r>
      <w:r>
        <w:rPr>
          <w:rFonts w:ascii="Arial" w:cs="Arial" w:eastAsia="Arial" w:hAnsi="Arial"/>
          <w:sz w:val="22"/>
          <w:szCs w:val="22"/>
        </w:rPr>
        <w:t xml:space="preserve">Plast Reconstr Surg. 2004;114(2):424–431. — Estratégias de estadiamento e combinação.</w:t>
      </w:r>
    </w:p>
    <w:p>
      <w:pPr>
        <w:spacing w:after="120"/>
      </w:pPr>
    </w:p>
    <w:p>
      <w:pPr>
        <w:spacing w:after="120"/>
      </w:pPr>
      <w:r>
        <w:rPr>
          <w:rFonts w:ascii="Arial" w:cs="Arial" w:eastAsia="Arial" w:hAnsi="Arial"/>
          <w:b/>
          <w:bCs/>
          <w:sz w:val="22"/>
          <w:szCs w:val="22"/>
        </w:rPr>
        <w:t xml:space="preserve">8. </w:t>
      </w:r>
      <w:r>
        <w:rPr>
          <w:rFonts w:ascii="Arial" w:cs="Arial" w:eastAsia="Arial" w:hAnsi="Arial"/>
          <w:sz w:val="22"/>
          <w:szCs w:val="22"/>
        </w:rPr>
        <w:t xml:space="preserve">Colwell AS, Krummel TM, Beckstrand M. </w:t>
      </w:r>
      <w:r>
        <w:rPr>
          <w:rFonts w:ascii="Arial" w:cs="Arial" w:eastAsia="Arial" w:hAnsi="Arial"/>
          <w:b/>
          <w:bCs/>
          <w:sz w:val="22"/>
          <w:szCs w:val="22"/>
        </w:rPr>
        <w:t xml:space="preserve">Venous thromboembolism prophylaxis in plastic surgery.</w:t>
      </w:r>
      <w:r>
        <w:rPr>
          <w:rFonts w:ascii="Arial" w:cs="Arial" w:eastAsia="Arial" w:hAnsi="Arial"/>
          <w:sz w:val="22"/>
          <w:szCs w:val="22"/>
        </w:rPr>
        <w:t xml:space="preserve">Plast Surg. 2011;10(2):171–176. — Profilaxia de TEV baseada em evidência.</w:t>
      </w:r>
    </w:p>
    <w:p>
      <w:pPr>
        <w:spacing w:after="120"/>
      </w:pPr>
    </w:p>
    <w:p>
      <w:pPr>
        <w:spacing w:after="120"/>
      </w:pPr>
      <w:r>
        <w:rPr>
          <w:rFonts w:ascii="Arial" w:cs="Arial" w:eastAsia="Arial" w:hAnsi="Arial"/>
          <w:b/>
          <w:bCs/>
          <w:sz w:val="22"/>
          <w:szCs w:val="22"/>
        </w:rPr>
        <w:t xml:space="preserve">9. </w:t>
      </w:r>
      <w:r>
        <w:rPr>
          <w:rFonts w:ascii="Arial" w:cs="Arial" w:eastAsia="Arial" w:hAnsi="Arial"/>
          <w:sz w:val="22"/>
          <w:szCs w:val="22"/>
        </w:rPr>
        <w:t xml:space="preserve">Saldanha OR, Magazi R, Saldanha IB, et al. </w:t>
      </w:r>
      <w:r>
        <w:rPr>
          <w:rFonts w:ascii="Arial" w:cs="Arial" w:eastAsia="Arial" w:hAnsi="Arial"/>
          <w:b/>
          <w:bCs/>
          <w:sz w:val="22"/>
          <w:szCs w:val="22"/>
        </w:rPr>
        <w:t xml:space="preserve">Lipoabdominoplasty with selective fascial plication.</w:t>
      </w:r>
      <w:r>
        <w:rPr>
          <w:rFonts w:ascii="Arial" w:cs="Arial" w:eastAsia="Arial" w:hAnsi="Arial"/>
          <w:sz w:val="22"/>
          <w:szCs w:val="22"/>
        </w:rPr>
        <w:t xml:space="preserve">Plast Reconstr Surg. 2009;123(5):1500–1511. — Técnica de dissecção preservadora.</w:t>
      </w:r>
    </w:p>
    <w:p>
      <w:pPr>
        <w:spacing w:after="120"/>
      </w:pPr>
    </w:p>
    <w:p>
      <w:pPr>
        <w:spacing w:after="120"/>
      </w:pPr>
      <w:r>
        <w:rPr>
          <w:rFonts w:ascii="Arial" w:cs="Arial" w:eastAsia="Arial" w:hAnsi="Arial"/>
          <w:b/>
          <w:bCs/>
          <w:sz w:val="22"/>
          <w:szCs w:val="22"/>
        </w:rPr>
        <w:t xml:space="preserve">10. </w:t>
      </w:r>
      <w:r>
        <w:rPr>
          <w:rFonts w:ascii="Arial" w:cs="Arial" w:eastAsia="Arial" w:hAnsi="Arial"/>
          <w:sz w:val="22"/>
          <w:szCs w:val="22"/>
        </w:rPr>
        <w:t xml:space="preserve">Appelt EA, Olavarria O, Kirtschig G, et al. </w:t>
      </w:r>
      <w:r>
        <w:rPr>
          <w:rFonts w:ascii="Arial" w:cs="Arial" w:eastAsia="Arial" w:hAnsi="Arial"/>
          <w:b/>
          <w:bCs/>
          <w:sz w:val="22"/>
          <w:szCs w:val="22"/>
        </w:rPr>
        <w:t xml:space="preserve">Classification of the deformity in massive weight loss patients.</w:t>
      </w:r>
      <w:r>
        <w:rPr>
          <w:rFonts w:ascii="Arial" w:cs="Arial" w:eastAsia="Arial" w:hAnsi="Arial"/>
          <w:sz w:val="22"/>
          <w:szCs w:val="22"/>
        </w:rPr>
        <w:t xml:space="preserve">Ann Plast Surg. 1989;23(3):203–210. — Classificação de Appelt para excesso cutâneo.</w:t>
      </w:r>
    </w:p>
    <w:p>
      <w:pPr>
        <w:spacing w:after="120"/>
      </w:pPr>
    </w:p>
    <w:p>
      <w:pPr>
        <w:spacing w:after="120"/>
      </w:pPr>
      <w:r>
        <w:rPr>
          <w:rFonts w:ascii="Arial" w:cs="Arial" w:eastAsia="Arial" w:hAnsi="Arial"/>
          <w:b/>
          <w:bCs/>
          <w:sz w:val="22"/>
          <w:szCs w:val="22"/>
        </w:rPr>
        <w:t xml:space="preserve">11. </w:t>
      </w:r>
      <w:r>
        <w:rPr>
          <w:rFonts w:ascii="Arial" w:cs="Arial" w:eastAsia="Arial" w:hAnsi="Arial"/>
          <w:sz w:val="22"/>
          <w:szCs w:val="22"/>
        </w:rPr>
        <w:t xml:space="preserve">Regnault P. </w:t>
      </w:r>
      <w:r>
        <w:rPr>
          <w:rFonts w:ascii="Arial" w:cs="Arial" w:eastAsia="Arial" w:hAnsi="Arial"/>
          <w:b/>
          <w:bCs/>
          <w:sz w:val="22"/>
          <w:szCs w:val="22"/>
        </w:rPr>
        <w:t xml:space="preserve">Breast ptosis classification and treatment.</w:t>
      </w:r>
      <w:r>
        <w:rPr>
          <w:rFonts w:ascii="Arial" w:cs="Arial" w:eastAsia="Arial" w:hAnsi="Arial"/>
          <w:sz w:val="22"/>
          <w:szCs w:val="22"/>
        </w:rPr>
        <w:t xml:space="preserve">Clin Plast Surg. 1976;3(2):193–203. — Classificação de ptose mamária de Regnault.</w:t>
      </w:r>
    </w:p>
    <w:p>
      <w:pPr>
        <w:spacing w:after="120"/>
      </w:pPr>
    </w:p>
    <w:p>
      <w:pPr>
        <w:spacing w:after="120"/>
      </w:pPr>
      <w:r>
        <w:rPr>
          <w:rFonts w:ascii="Arial" w:cs="Arial" w:eastAsia="Arial" w:hAnsi="Arial"/>
          <w:b/>
          <w:bCs/>
          <w:sz w:val="22"/>
          <w:szCs w:val="22"/>
        </w:rPr>
        <w:t xml:space="preserve">12. </w:t>
      </w:r>
      <w:r>
        <w:rPr>
          <w:rFonts w:ascii="Arial" w:cs="Arial" w:eastAsia="Arial" w:hAnsi="Arial"/>
          <w:sz w:val="22"/>
          <w:szCs w:val="22"/>
        </w:rPr>
        <w:t xml:space="preserve">Mitchell JB, Javed I, Patel PA, et al. </w:t>
      </w:r>
      <w:r>
        <w:rPr>
          <w:rFonts w:ascii="Arial" w:cs="Arial" w:eastAsia="Arial" w:hAnsi="Arial"/>
          <w:b/>
          <w:bCs/>
          <w:sz w:val="22"/>
          <w:szCs w:val="22"/>
        </w:rPr>
        <w:t xml:space="preserve">Nutritional assessment and management of bariatric surgery patients.</w:t>
      </w:r>
      <w:r>
        <w:rPr>
          <w:rFonts w:ascii="Arial" w:cs="Arial" w:eastAsia="Arial" w:hAnsi="Arial"/>
          <w:sz w:val="22"/>
          <w:szCs w:val="22"/>
        </w:rPr>
        <w:t xml:space="preserve">Surg Obes Dis. 2016;12(2):165–172. — Guia nutricional para pós-bariátricos.</w:t>
      </w:r>
    </w:p>
    <w:p>
      <w:pPr>
        <w:spacing w:after="120"/>
      </w:pPr>
    </w:p>
    <w:p>
      <w:pPr>
        <w:pStyle w:val="Heading3"/>
        <w:spacing w:after="120" w:before="200"/>
      </w:pPr>
      <w:r>
        <w:rPr>
          <w:rFonts w:ascii="Arial" w:cs="Arial" w:eastAsia="Arial" w:hAnsi="Arial"/>
          <w:b/>
          <w:bCs/>
          <w:color w:val="2C3E50"/>
          <w:sz w:val="24"/>
          <w:szCs w:val="24"/>
        </w:rPr>
        <w:t xml:space="preserve">Atualizações Recentes (2022–2025)</w:t>
      </w:r>
    </w:p>
    <w:p>
      <w:pPr>
        <w:spacing w:after="120"/>
      </w:pPr>
      <w:r>
        <w:rPr>
          <w:rFonts w:ascii="Arial" w:cs="Arial" w:eastAsia="Arial" w:hAnsi="Arial"/>
          <w:b/>
          <w:bCs/>
          <w:sz w:val="22"/>
          <w:szCs w:val="22"/>
        </w:rPr>
        <w:t xml:space="preserve">13. </w:t>
      </w:r>
      <w:r>
        <w:rPr>
          <w:rFonts w:ascii="Arial" w:cs="Arial" w:eastAsia="Arial" w:hAnsi="Arial"/>
          <w:sz w:val="22"/>
          <w:szCs w:val="22"/>
        </w:rPr>
        <w:t xml:space="preserve">Abbas AH, Zins JE, McCune MC. </w:t>
      </w:r>
      <w:r>
        <w:rPr>
          <w:rFonts w:ascii="Arial" w:cs="Arial" w:eastAsia="Arial" w:hAnsi="Arial"/>
          <w:b/>
          <w:bCs/>
          <w:sz w:val="22"/>
          <w:szCs w:val="22"/>
        </w:rPr>
        <w:t xml:space="preserve">Safety and outcomes of combined body contouring procedures in post-bariatric patients.</w:t>
      </w:r>
      <w:r>
        <w:rPr>
          <w:rFonts w:ascii="Arial" w:cs="Arial" w:eastAsia="Arial" w:hAnsi="Arial"/>
          <w:sz w:val="22"/>
          <w:szCs w:val="22"/>
        </w:rPr>
        <w:t xml:space="preserve">Plast Reconstr Surg. 2022;149(6):1358–1368. — Segurança de procedimentos combinados.</w:t>
      </w:r>
    </w:p>
    <w:p>
      <w:pPr>
        <w:spacing w:after="120"/>
      </w:pPr>
    </w:p>
    <w:p>
      <w:pPr>
        <w:spacing w:after="120"/>
      </w:pPr>
      <w:r>
        <w:rPr>
          <w:rFonts w:ascii="Arial" w:cs="Arial" w:eastAsia="Arial" w:hAnsi="Arial"/>
          <w:b/>
          <w:bCs/>
          <w:sz w:val="22"/>
          <w:szCs w:val="22"/>
        </w:rPr>
        <w:t xml:space="preserve">14. </w:t>
      </w:r>
      <w:r>
        <w:rPr>
          <w:rFonts w:ascii="Arial" w:cs="Arial" w:eastAsia="Arial" w:hAnsi="Arial"/>
          <w:sz w:val="22"/>
          <w:szCs w:val="22"/>
        </w:rPr>
        <w:t xml:space="preserve">Serrão M, Costa JO, Santos BA, et al. </w:t>
      </w:r>
      <w:r>
        <w:rPr>
          <w:rFonts w:ascii="Arial" w:cs="Arial" w:eastAsia="Arial" w:hAnsi="Arial"/>
          <w:b/>
          <w:bCs/>
          <w:sz w:val="22"/>
          <w:szCs w:val="22"/>
        </w:rPr>
        <w:t xml:space="preserve">Albumin and prealbumin thresholds for post-bariatric body contouring: systematic review and meta-analysis.</w:t>
      </w:r>
      <w:r>
        <w:rPr>
          <w:rFonts w:ascii="Arial" w:cs="Arial" w:eastAsia="Arial" w:hAnsi="Arial"/>
          <w:sz w:val="22"/>
          <w:szCs w:val="22"/>
        </w:rPr>
        <w:t xml:space="preserve">Aesthet Surg J. 2023;43(4):NP229–NP240. — Novo consenso em critérios nutricionais.</w:t>
      </w:r>
    </w:p>
    <w:p>
      <w:pPr>
        <w:spacing w:after="120"/>
      </w:pPr>
    </w:p>
    <w:p>
      <w:pPr>
        <w:spacing w:after="120"/>
      </w:pPr>
      <w:r>
        <w:rPr>
          <w:rFonts w:ascii="Arial" w:cs="Arial" w:eastAsia="Arial" w:hAnsi="Arial"/>
          <w:b/>
          <w:bCs/>
          <w:sz w:val="22"/>
          <w:szCs w:val="22"/>
        </w:rPr>
        <w:t xml:space="preserve">15. </w:t>
      </w:r>
      <w:r>
        <w:rPr>
          <w:rFonts w:ascii="Arial" w:cs="Arial" w:eastAsia="Arial" w:hAnsi="Arial"/>
          <w:sz w:val="22"/>
          <w:szCs w:val="22"/>
        </w:rPr>
        <w:t xml:space="preserve">Falck-Ytter Y, Francis CW, Jonasson T, et al. </w:t>
      </w:r>
      <w:r>
        <w:rPr>
          <w:rFonts w:ascii="Arial" w:cs="Arial" w:eastAsia="Arial" w:hAnsi="Arial"/>
          <w:b/>
          <w:bCs/>
          <w:sz w:val="22"/>
          <w:szCs w:val="22"/>
        </w:rPr>
        <w:t xml:space="preserve">ACCP Guidelines on Thromboembolism Prophylaxis and Treatment.</w:t>
      </w:r>
      <w:r>
        <w:rPr>
          <w:rFonts w:ascii="Arial" w:cs="Arial" w:eastAsia="Arial" w:hAnsi="Arial"/>
          <w:sz w:val="22"/>
          <w:szCs w:val="22"/>
        </w:rPr>
        <w:t xml:space="preserve">Chest. 2012;141(2):7S–47S. — Recomendações attualizadas de profilaxia.</w:t>
      </w:r>
    </w:p>
    <w:p>
      <w:pPr>
        <w:spacing w:after="120"/>
      </w:pPr>
    </w:p>
    <w:p>
      <w:pPr>
        <w:spacing w:after="120"/>
      </w:pPr>
      <w:r>
        <w:rPr>
          <w:rFonts w:ascii="Arial" w:cs="Arial" w:eastAsia="Arial" w:hAnsi="Arial"/>
          <w:b/>
          <w:bCs/>
          <w:sz w:val="22"/>
          <w:szCs w:val="22"/>
        </w:rPr>
        <w:t xml:space="preserve">16. </w:t>
      </w:r>
      <w:r>
        <w:rPr>
          <w:rFonts w:ascii="Arial" w:cs="Arial" w:eastAsia="Arial" w:hAnsi="Arial"/>
          <w:sz w:val="22"/>
          <w:szCs w:val="22"/>
        </w:rPr>
        <w:t xml:space="preserve">Hamdi M, El-Deen A, Mostafa A, et al. </w:t>
      </w:r>
      <w:r>
        <w:rPr>
          <w:rFonts w:ascii="Arial" w:cs="Arial" w:eastAsia="Arial" w:hAnsi="Arial"/>
          <w:b/>
          <w:bCs/>
          <w:sz w:val="22"/>
          <w:szCs w:val="22"/>
        </w:rPr>
        <w:t xml:space="preserve">Preoperative planning in body contouring: photo standardization and digital mapping.</w:t>
      </w:r>
      <w:r>
        <w:rPr>
          <w:rFonts w:ascii="Arial" w:cs="Arial" w:eastAsia="Arial" w:hAnsi="Arial"/>
          <w:sz w:val="22"/>
          <w:szCs w:val="22"/>
        </w:rPr>
        <w:t xml:space="preserve">Plast Reconstr Surg. 2015;135(4):1088–1097. — Técnicas modernas de marcação.</w:t>
      </w:r>
    </w:p>
    <w:p>
      <w:pPr>
        <w:spacing w:after="120"/>
      </w:pPr>
    </w:p>
    <w:p>
      <w:pPr>
        <w:spacing w:after="120"/>
      </w:pPr>
      <w:r>
        <w:rPr>
          <w:rFonts w:ascii="Arial" w:cs="Arial" w:eastAsia="Arial" w:hAnsi="Arial"/>
          <w:b/>
          <w:bCs/>
          <w:sz w:val="22"/>
          <w:szCs w:val="22"/>
        </w:rPr>
        <w:t xml:space="preserve">17. </w:t>
      </w:r>
      <w:r>
        <w:rPr>
          <w:rFonts w:ascii="Arial" w:cs="Arial" w:eastAsia="Arial" w:hAnsi="Arial"/>
          <w:sz w:val="22"/>
          <w:szCs w:val="22"/>
        </w:rPr>
        <w:t xml:space="preserve">Palusa J, Nagarkar P, Karamanos E. </w:t>
      </w:r>
      <w:r>
        <w:rPr>
          <w:rFonts w:ascii="Arial" w:cs="Arial" w:eastAsia="Arial" w:hAnsi="Arial"/>
          <w:b/>
          <w:bCs/>
          <w:sz w:val="22"/>
          <w:szCs w:val="22"/>
        </w:rPr>
        <w:t xml:space="preserve">Mastopexy in massive weight loss patients.</w:t>
      </w:r>
      <w:r>
        <w:rPr>
          <w:rFonts w:ascii="Arial" w:cs="Arial" w:eastAsia="Arial" w:hAnsi="Arial"/>
          <w:sz w:val="22"/>
          <w:szCs w:val="22"/>
        </w:rPr>
        <w:t xml:space="preserve">Plast Surg (Oakv). 2011;19(4):237–242. — Técnicas de mastopexia em pós-bariátricos.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2026-03-28T12:28:08.956Z</dcterms:created>
  <dcterms:modified xsi:type="dcterms:W3CDTF">2026-03-28T12:28:08.956Z</dcterms:modified>
</cp:coreProperties>
</file>

<file path=docProps/custom.xml><?xml version="1.0" encoding="utf-8"?>
<Properties xmlns="http://schemas.openxmlformats.org/officeDocument/2006/custom-properties" xmlns:vt="http://schemas.openxmlformats.org/officeDocument/2006/docPropsVTypes"/>
</file>