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12-1 — Rinoplastia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v2.0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 com base em Neligan (2023) e Grabb &amp; Smith (2020). Incorporação inicial de artigos PRS/ASJ.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v2.0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Reescrita completa dos boxes de atualização: dados extraídos dos abstracts verificados (PubMed). Correção de números incorretos da v1.0. 2 novos artigos incorporados (Mohan et al.; Sazgar et al.). Box Şibar reclassificado de AZUL para VERMELHO.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rinoplastia é um dos procedimentos mais tecnicamente exigentes da cirurgia plástica, exigindo domínio simultâneo de anatomia tridimensional, análise estética e manejo das alterações cicatriciais. Pode ser realizada por via aberta (com incisão transcolumelar) ou fechada (intranasal).</w:t>
      </w:r>
      <w:r>
        <w:rPr>
          <w:i/>
          <w:iCs/>
          <w:color w:val="808080"/>
          <w:sz w:val="18"/>
          <w:szCs w:val="18"/>
        </w:rPr>
        <w:t xml:space="preserve"> (Neligan, 2023, vol. 2, cap. 16)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Estrutura Óssea e Cartilaginosa</w:t>
      </w:r>
    </w:p>
    <w:p>
      <w:pPr>
        <w:spacing w:after="100"/>
      </w:pPr>
      <w:r>
        <w:t xml:space="preserve">Pirâmide óssea: ossos nasais + processo frontal da maxila. Terço médio: cartilagens laterais superiores (CLS) — formam a valva interna com o septo (ângulo ideal 10–15°). Terço inferior: cartilagens alares (CLA), suporte principal da ponta.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spacing w:after="100"/>
      </w:pPr>
      <w:r>
        <w:t xml:space="preserve">A cartilagem alar divide-se em crura medial, média e lateral. A crura lateral direciona a forma da ponta e define o alar rim. O scroll liga CLS e CLA; sua divisão altera a projeção.</w:t>
      </w:r>
      <w:r>
        <w:rPr>
          <w:i/>
          <w:iCs/>
          <w:color w:val="808080"/>
          <w:sz w:val="18"/>
          <w:szCs w:val="18"/>
        </w:rPr>
        <w:t xml:space="preserve"> (Grabb &amp; Smith, 2020, cap. 38)</w:t>
      </w:r>
    </w:p>
    <w:p>
      <w:pPr>
        <w:pStyle w:val="Heading2"/>
        <w:spacing w:before="280" w:after="80"/>
      </w:pPr>
      <w:r>
        <w:t xml:space="preserve">2.2 Anatomia do Septo</w:t>
      </w:r>
    </w:p>
    <w:p>
      <w:pPr>
        <w:spacing w:after="100"/>
      </w:pPr>
      <w:r>
        <w:t xml:space="preserve">Septo quadrilátero: cartilagem; ossos: perpendicular do etmóide (superior) e vômer (inferior-posterior). L-strut: 10–15 mm de suporte dorsal + caudal devem ser preservados. Fonte primária de enxerto.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2"/>
        <w:spacing w:before="280" w:after="80"/>
      </w:pPr>
      <w:r>
        <w:t xml:space="preserve">2.3 Vascularização</w:t>
      </w:r>
    </w:p>
    <w:p>
      <w:pPr>
        <w:spacing w:after="100"/>
      </w:pPr>
      <w:r>
        <w:t xml:space="preserve">Artéria angular (V. oftálmica) + artéria labial superior (V. facial). Flap columelar vascularizado por ramos da artéria labial superior — preservar ao elevar o SSTE na via aberta.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p>
      <w:pPr>
        <w:pStyle w:val="Heading1"/>
        <w:spacing w:before="400" w:after="120"/>
      </w:pPr>
      <w:r>
        <w:t xml:space="preserve">3. Análise e Planejamento</w:t>
      </w:r>
    </w:p>
    <w:p>
      <w:pPr>
        <w:pStyle w:val="Heading2"/>
        <w:spacing w:before="280" w:after="80"/>
      </w:pPr>
      <w:r>
        <w:t xml:space="preserve">3.1 Proporções Estéticas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naso-labial ♀</w:t>
            </w:r>
          </w:p>
        </w:tc>
        <w:tc>
          <w:tcPr>
            <w:shd w:fill="FFFACD" w:val="clear"/>
          </w:tcPr>
          <w:p>
            <w:r>
              <w:t xml:space="preserve">95–110°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naso-labial ♂</w:t>
            </w:r>
          </w:p>
        </w:tc>
        <w:tc>
          <w:tcPr>
            <w:shd w:fill="FFFACD" w:val="clear"/>
          </w:tcPr>
          <w:p>
            <w:r>
              <w:t xml:space="preserve">90–95°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naso-frontal</w:t>
            </w:r>
          </w:p>
        </w:tc>
        <w:tc>
          <w:tcPr>
            <w:shd w:fill="FFFACD" w:val="clear"/>
          </w:tcPr>
          <w:p>
            <w:r>
              <w:t xml:space="preserve">115–135°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da ponta (Goode)</w:t>
            </w:r>
          </w:p>
        </w:tc>
        <w:tc>
          <w:tcPr>
            <w:shd w:fill="FFFACD" w:val="clear"/>
          </w:tcPr>
          <w:p>
            <w:r>
              <w:t xml:space="preserve">0,55–0,60 × comprimento dorsal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Largura basal ideal</w:t>
            </w:r>
          </w:p>
        </w:tc>
        <w:tc>
          <w:tcPr>
            <w:shd w:fill="FFFACD" w:val="clear"/>
          </w:tcPr>
          <w:p>
            <w:r>
              <w:t xml:space="preserve">1/5 da largura facial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Show columelar</w:t>
            </w:r>
          </w:p>
        </w:tc>
        <w:tc>
          <w:tcPr>
            <w:shd w:fill="FFFACD" w:val="clear"/>
          </w:tcPr>
          <w:p>
            <w:r>
              <w:t xml:space="preserve">3–4 mm (visão lateral)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de rotação ♀</w:t>
            </w:r>
          </w:p>
        </w:tc>
        <w:tc>
          <w:tcPr>
            <w:shd w:fill="FFFACD" w:val="clear"/>
          </w:tcPr>
          <w:p>
            <w:r>
              <w:t xml:space="preserve">95–100° (sub-nasal)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Enxertos — Hierarquia e Preferências</w:t>
      </w:r>
    </w:p>
    <w:p>
      <w:pPr>
        <w:spacing w:after="100"/>
      </w:pPr>
      <w:r>
        <w:t xml:space="preserve">Fontes (ordem de preferência): 1° septo quadrilátero, 2° concha auricular, 3° costela (7ª–9ª). A escolha varia conforme volume necessário, histórico de cirurgias e preferência do cirurgião.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Hierarquia de enxertos em material limitado — survey The Rhinoplasty Society</w:t>
            </w:r>
          </w:p>
          <w:p>
            <w:pPr>
              <w:spacing w:before="40" w:after="40"/>
            </w:pPr>
            <w:r>
              <w:t xml:space="preserve">Survey com 47 cirurgiões membros da The Rhinoplasty Society (Rohrich RN et al., PRS 2026).</w:t>
            </w:r>
          </w:p>
          <w:p>
            <w:pPr>
              <w:spacing w:before="40" w:after="40"/>
            </w:pPr>
            <w:r>
              <w:t xml:space="preserve">Algoritmo geral de escolha do doador: septo (1°) &gt; costela autóloga (2°) &gt; costela homóloga fresca (3°) &gt; concha (4°) &gt; costela irradiada (5°) &gt; aloplástico (6°).</w:t>
            </w:r>
          </w:p>
          <w:p>
            <w:pPr>
              <w:spacing w:before="40" w:after="40"/>
            </w:pPr>
            <w:r>
              <w:t xml:space="preserve">Enxertos de suporte estrutural (strut, spreader, extensão septal anterior): preferência por septo, seguido de costela e homólogo fresco.</w:t>
            </w:r>
          </w:p>
          <w:p>
            <w:pPr>
              <w:spacing w:before="40" w:after="40"/>
            </w:pPr>
            <w:r>
              <w:t xml:space="preserve">Enxertos de contorno (onlay dorsal, onlay de ponta): concha preferida quando disponível.</w:t>
            </w:r>
          </w:p>
          <w:p>
            <w:pPr>
              <w:spacing w:before="40" w:after="40"/>
            </w:pPr>
            <w:r>
              <w:t xml:space="preserve">Desvios do padrão geral: lateral crural strut e alar batten fogem à hierarquia habitual.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Rohrich RN et al. Plast Reconstr Surg 2026;157(1):54–61. DOI: 10.1097/PRS.0000000000012301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Cartilagem costal homóloga fresca (FFHCC) — segurança e desfechos</w:t>
            </w:r>
          </w:p>
          <w:p>
            <w:pPr>
              <w:spacing w:before="40" w:after="40"/>
            </w:pPr>
            <w:r>
              <w:t xml:space="preserve">Revisão retrospectiva de 123 rinoplastias com enxerto de costela homóloga fresca (Taylor CM, Barrera JE, PRS 2026). Seguimento médio: 11 meses (1–44 meses).</w:t>
            </w:r>
          </w:p>
          <w:p>
            <w:pPr>
              <w:spacing w:before="40" w:after="40"/>
            </w:pPr>
            <w:r>
              <w:t xml:space="preserve">Infecção: 2,4% (3 pacientes); reabsorção: 0,8% (1 paciente).</w:t>
            </w:r>
          </w:p>
          <w:p>
            <w:pPr>
              <w:spacing w:before="40" w:after="40"/>
            </w:pPr>
            <w:r>
              <w:t xml:space="preserve">Melhora significativa em todos os desfechos relatados pelo paciente: NOSE (P &lt; 0,001), SNOT-22 (P &lt; 0,001), Escala de Sonolência de Epworth (P &lt; 0,001) e SCHNOS total, funcional e cosmético (P &lt; 0,001).</w:t>
            </w:r>
          </w:p>
          <w:p>
            <w:pPr>
              <w:spacing w:before="40" w:after="40"/>
            </w:pPr>
            <w:r>
              <w:t xml:space="preserve">FFHCC como alternativa "off-the-shelf" conveniente e econômica, especialmente em casos sem septo disponível.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Taylor CM, Barrera JE. Plast Reconstr Surg 2026;157(1):28e–37e. DOI: 10.1097/PRS.0000000000012303</w:t>
            </w:r>
          </w:p>
        </w:tc>
      </w:tr>
    </w:tbl>
    <w:p>
      <w:pPr>
        <w:pStyle w:val="Heading2"/>
        <w:spacing w:before="280" w:after="80"/>
      </w:pPr>
      <w:r>
        <w:t xml:space="preserve">4.2 Posicionamento da Ponta</w:t>
      </w:r>
    </w:p>
    <w:p>
      <w:pPr>
        <w:spacing w:after="100"/>
      </w:pPr>
      <w:r>
        <w:t xml:space="preserve">A ponta nasal é o elemento mais determinante do resultado estético. Técnicas de sutura (transdomal, interdomal, lateral crural steal) devem preceder a ressecção tecidual. Enxertos de escudo, cap e columelar strut ajustam projeção, rotação e suporte.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p>
      <w:pPr>
        <w:spacing w:after="100"/>
      </w:pPr>
      <w:r>
        <w:t xml:space="preserve">Revisão dos fundamentos do posicionamento da ponta: o conceito de trípode, suas limitações, e abordagens cirúrgicas para correção de projeção, rotação e desvio.</w:t>
      </w:r>
      <w:r>
        <w:rPr>
          <w:i/>
          <w:iCs/>
          <w:color w:val="808080"/>
          <w:sz w:val="18"/>
          <w:szCs w:val="18"/>
        </w:rPr>
        <w:t xml:space="preserve"> (Mattos D et al. Plast Reconstr Surg 2025;156(4):606e–615e)</w:t>
      </w:r>
    </w:p>
    <w:p>
      <w:pPr>
        <w:pStyle w:val="Heading2"/>
        <w:spacing w:before="280" w:after="80"/>
      </w:pPr>
      <w:r>
        <w:t xml:space="preserve">4.3 Rinoplastia de Preservação (Dorsal Preservation)</w:t>
      </w:r>
    </w:p>
    <w:p>
      <w:pPr>
        <w:spacing w:after="100"/>
      </w:pPr>
      <w:r>
        <w:t xml:space="preserve">Técnica que preserva o ligamento keystone entre septo e CLS, evitando o teto aberto. Ressecção sub-SMAS do dorso em vez de componente por componente. Indicada para corcova pequena a moderada com pele adequada.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spacing w:after="100"/>
      </w:pPr>
      <w:r>
        <w:t xml:space="preserve">Debate atual: rinoplastia estrutural vs. de preservação. Experiência coletiva de 4 cirurgiões seniores (115 anos de prática, ASPS Spring Meeting 2025): introdução seletiva de princípios de preservação em abordagem moderna, com foco em manutenção da anatomia nasal funcional.</w:t>
      </w:r>
      <w:r>
        <w:rPr>
          <w:i/>
          <w:iCs/>
          <w:color w:val="808080"/>
          <w:sz w:val="18"/>
          <w:szCs w:val="18"/>
        </w:rPr>
        <w:t xml:space="preserve"> (Sergesketter AR et al. Plast Reconstr Surg 2026;157(4):496e–503e)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MUDANÇA DE PARADIGMA — Eletrocautério supera bisturi no remodelamento das CLS na rinoplastia de preservação</w:t>
            </w:r>
          </w:p>
          <w:p>
            <w:pPr>
              <w:spacing w:before="40" w:after="40"/>
            </w:pPr>
            <w:r>
              <w:t xml:space="preserve">Estudo retrospectivo comparativo com 205 pacientes (Şibar S et al., ASJ 2025): bisturi (n = 88) vs. eletrocautério monopolar (n = 117) para remodelamento térmico vs. mecânico das bordas das cartilagens laterais superiores (CLS) na rinoplastia de preservação por low septal strip.</w:t>
            </w:r>
          </w:p>
          <w:p>
            <w:pPr>
              <w:spacing w:before="40" w:after="40"/>
            </w:pPr>
            <w:r>
              <w:t xml:space="preserve">Taxa de recorrência da corcova dorsal: bisturi 13,6% vs. eletrocautério 2,5% — diferença estatisticamente significativa.</w:t>
            </w:r>
          </w:p>
          <w:p>
            <w:pPr>
              <w:spacing w:before="40" w:after="40"/>
            </w:pPr>
            <w:r>
              <w:t xml:space="preserve">Escores ROE (Rhinoplasty Outcome Evaluation) similares entre os grupos (84,4 vs. 85,0; P &gt; 0,05): satisfação equivalente, mas recorrência muito menor com eletrocautério.</w:t>
            </w:r>
          </w:p>
          <w:p>
            <w:pPr>
              <w:spacing w:before="40" w:after="40"/>
            </w:pPr>
            <w:r>
              <w:t xml:space="preserve">Conclusão: eletrocautério oferece remodelamento mais consistente e duradouro das CLS, especialmente em anatomia dorsal desafiadora.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Şibar S et al. Aesthet Surg J 2025;46(1):16–23. DOI: 10.1093/asj/sjaf180</w:t>
            </w:r>
          </w:p>
        </w:tc>
      </w:tr>
    </w:tbl>
    <w:p>
      <w:pPr>
        <w:pStyle w:val="Heading2"/>
        <w:spacing w:before="280" w:after="80"/>
      </w:pPr>
      <w:r>
        <w:t xml:space="preserve">4.4 Manejo da Sela Nasal</w:t>
      </w:r>
    </w:p>
    <w:p>
      <w:pPr>
        <w:spacing w:after="100"/>
      </w:pPr>
      <w:r>
        <w:t xml:space="preserve">Nariz em sela: deficiência de suporte dorsal, pós-trauma ou iatrogênica. Correção com enxerto de dorso; para defeitos moderados, cartilagem picada (diced cartilage) envolta em fáscia é boa opção.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Cartilagem costal picada semienvolvida em fáscia do reto abdominal</w:t>
            </w:r>
          </w:p>
          <w:p>
            <w:pPr>
              <w:spacing w:before="40" w:after="40"/>
            </w:pPr>
            <w:r>
              <w:t xml:space="preserve">Série de 95 pacientes (Niu K et al., ASJ 2025). Seguimento: 18–24 meses.</w:t>
            </w:r>
          </w:p>
          <w:p>
            <w:pPr>
              <w:spacing w:before="40" w:after="40"/>
            </w:pPr>
            <w:r>
              <w:t xml:space="preserve">Técnica: fáscia do reto abdominal introduzida no espaço dorsal e fixada no ponto áureo da raiz nasal; cartilagem costal picada autóloga injetada no espaço e moldada conforme planejamento pré-operatório.</w:t>
            </w:r>
          </w:p>
          <w:p>
            <w:pPr>
              <w:spacing w:before="40" w:after="40"/>
            </w:pPr>
            <w:r>
              <w:t xml:space="preserve">Taxa de absorção do enxerto: ~10%. Morfologia satisfatória, sem granulação dorsal. 4 pacientes com leve depressão na área de transição após 6 meses.</w:t>
            </w:r>
          </w:p>
          <w:p>
            <w:pPr>
              <w:spacing w:before="40" w:after="40"/>
            </w:pPr>
            <w:r>
              <w:t xml:space="preserve">Indicação específica: casos de revisão pós-infecção, thinning nasal ou casos com carving prévio.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Niu K et al. Aesthet Surg J 2025;46(1):24–30. DOI: 10.1093/asj/sjaf183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Groove graft biomimético integrado (IBGG) para sela moderada a grave</w:t>
            </w:r>
          </w:p>
          <w:p>
            <w:pPr>
              <w:spacing w:before="40" w:after="40"/>
            </w:pPr>
            <w:r>
              <w:t xml:space="preserve">Série retrospectiva de 33 pacientes (Duan Y et al., ASJ 2025). Seguimento médio: 16,4 meses.</w:t>
            </w:r>
          </w:p>
          <w:p>
            <w:pPr>
              <w:spacing w:before="40" w:after="40"/>
            </w:pPr>
            <w:r>
              <w:t xml:space="preserve">Técnica: 3 variantes do IBGG para diferentes padrões de defeito septal (Categorias 1, 2 e 3 pelo algoritmo de Cakmak).</w:t>
            </w:r>
          </w:p>
          <w:p>
            <w:pPr>
              <w:spacing w:before="40" w:after="40"/>
            </w:pPr>
            <w:r>
              <w:t xml:space="preserve">Desfechos: VAS médio de 8,57/10. Melhora significativa na projeção e rotação da ponta e no índice de sela em todas as categorias.</w:t>
            </w:r>
          </w:p>
          <w:p>
            <w:pPr>
              <w:spacing w:before="40" w:after="40"/>
            </w:pPr>
            <w:r>
              <w:t xml:space="preserve">Ângulo nasofrontal: sem mudança significativa na Categoria 1; redução significativa nas Categorias 2 e 3.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Duan Y et al. Aesthet Surg J 2025;45(11):1115–1124. DOI: 10.1093/asj/sjaf134</w:t>
            </w:r>
          </w:p>
        </w:tc>
      </w:tr>
    </w:tbl>
    <w:p>
      <w:pPr>
        <w:pStyle w:val="Heading2"/>
        <w:spacing w:before="280" w:after="80"/>
      </w:pPr>
      <w:r>
        <w:t xml:space="preserve">4.5 Ácido Tranexâmico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TXA tópico na septorrinoplastia — meta-análise de ECRs</w:t>
            </w:r>
          </w:p>
          <w:p>
            <w:pPr>
              <w:spacing w:before="40" w:after="40"/>
            </w:pPr>
            <w:r>
              <w:t xml:space="preserve">Meta-análise de 7 ECRs, 514 pacientes (Di Martino L et al., ASJ 2025).</w:t>
            </w:r>
          </w:p>
          <w:p>
            <w:pPr>
              <w:spacing w:before="40" w:after="40"/>
            </w:pPr>
            <w:r>
              <w:t xml:space="preserve">TXA tópico reduziu significativamente: sangramento intraoperatório (SMD −1,20; IC 95% −2,34 a −0,07; P = 0,04), edema pós-operatório (SMD −0,87; P &lt; 0,001) e equimose (SMD −1,16; P &lt; 0,001).</w:t>
            </w:r>
          </w:p>
          <w:p>
            <w:pPr>
              <w:spacing w:before="40" w:after="40"/>
            </w:pPr>
            <w:r>
              <w:t xml:space="preserve">Sem diferença significativa em satisfação do cirurgião (P = 0,14) ou tempo operatório (P = 0,22).</w:t>
            </w:r>
          </w:p>
          <w:p>
            <w:pPr>
              <w:spacing w:before="40" w:after="40"/>
            </w:pPr>
            <w:r>
              <w:t xml:space="preserve">TXA tópico como adjuvante eficaz para hemostasia e recuperação pós-operatória em rinoplastia e septoplastia.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Di Martino L et al. Aesthet Surg J 2025;45(12):1220–1226. DOI: 10.1093/asj/sjaf172</w:t>
            </w:r>
          </w:p>
        </w:tc>
      </w:tr>
    </w:tbl>
    <w:p>
      <w:pPr>
        <w:pStyle w:val="Heading1"/>
        <w:spacing w:before="400" w:after="120"/>
      </w:pPr>
      <w:r>
        <w:t xml:space="preserve">5. Casos Especiais</w:t>
      </w:r>
    </w:p>
    <w:p>
      <w:pPr>
        <w:pStyle w:val="Heading2"/>
        <w:spacing w:before="280" w:after="80"/>
      </w:pPr>
      <w:r>
        <w:t xml:space="preserve">5.1 Rinoplastia em Fissura Labiopalatal</w:t>
      </w:r>
    </w:p>
    <w:p>
      <w:pPr>
        <w:spacing w:after="100"/>
      </w:pPr>
      <w:r>
        <w:t xml:space="preserve">Nariz com fissura: deformidade da base alar ipsilateral, desvio de columela, assimetria de cúpulas. Correção primária (&lt; 2 anos) vs. definitiva (após crescimento facial, &gt; 14–16 anos).</w:t>
      </w:r>
      <w:r>
        <w:rPr>
          <w:i/>
          <w:iCs/>
          <w:color w:val="808080"/>
          <w:sz w:val="18"/>
          <w:szCs w:val="18"/>
        </w:rPr>
        <w:t xml:space="preserve"> (Grabb &amp; Smith, 2020, cap. 43)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Enxerto septal primário na rinoplastia para fissura unilateral — seguimento de 10 anos</w:t>
            </w:r>
          </w:p>
          <w:p>
            <w:pPr>
              <w:spacing w:before="40" w:after="40"/>
            </w:pPr>
            <w:r>
              <w:t xml:space="preserve">Estudo retrospectivo (Ueno K et al., PRS 2026): 60 pacientes com fissura labiopalatal unilateral completa — 23 com enxerto septal alar rim na queiloplastia primária vs. 37 sem enxerto. Seguimento de 10 anos.</w:t>
            </w:r>
          </w:p>
          <w:p>
            <w:pPr>
              <w:spacing w:before="40" w:after="40"/>
            </w:pPr>
            <w:r>
              <w:t xml:space="preserve">Grupo com enxerto: maior altura na porção medial da narina (P = 0,031).</w:t>
            </w:r>
          </w:p>
          <w:p>
            <w:pPr>
              <w:spacing w:before="40" w:after="40"/>
            </w:pPr>
            <w:r>
              <w:t xml:space="preserve">Grupo com enxerto: ângulo de desvio septal e comprimento do desvio significativamente menores (P &lt; 0,001).</w:t>
            </w:r>
          </w:p>
          <w:p>
            <w:pPr>
              <w:spacing w:before="40" w:after="40"/>
            </w:pPr>
            <w:r>
              <w:t xml:space="preserve">Enxerto septal primário não causou desvio septal clínico significativo em 10 anos. Melhora de suporte da base alar medial a longo prazo.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Ueno K et al. Plast Reconstr Surg 2026;157(4):563e–572e. DOI: 10.1097/PRS.0000000000012525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Tip plasty aberta precoce na fissura bilateral — benefício antes da adolescência</w:t>
            </w:r>
          </w:p>
          <w:p>
            <w:pPr>
              <w:spacing w:before="40" w:after="40"/>
            </w:pPr>
            <w:r>
              <w:t xml:space="preserve">Série retrospectiva com 25 pacientes (Mohan VC et al., PRS 2025): fissura labial bilateral com crescimento nasal desfavorável após reparo primário. Tip plasty aberta realizada com 3–5 anos de idade, comparados a 25 controles históricos sem cirurgia.</w:t>
            </w:r>
          </w:p>
          <w:p>
            <w:pPr>
              <w:spacing w:before="40" w:after="40"/>
            </w:pPr>
            <w:r>
              <w:t xml:space="preserve">Imediatamente após a cirurgia: melhora de projeção da ponta e altura relativa da narina vs. pré-operatório.</w:t>
            </w:r>
          </w:p>
          <w:p>
            <w:pPr>
              <w:spacing w:before="40" w:after="40"/>
            </w:pPr>
            <w:r>
              <w:t xml:space="preserve">Ao longo do tempo: grupo cirurgia manteve ou melhorou os ganhos; grupo controle não mostrou mudança apreciável.</w:t>
            </w:r>
          </w:p>
          <w:p>
            <w:pPr>
              <w:spacing w:before="40" w:after="40"/>
            </w:pPr>
            <w:r>
              <w:t xml:space="preserve">Intervenção precoce pode reduzir a necessidade de rinoplastia definitiva na maturidade.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Mohan VC, Owens WR, Hopper RA. Plast Reconstr Surg 2025;156:30S–40S. DOI: 10.1097/PRS.0000000000012370</w:t>
            </w:r>
          </w:p>
        </w:tc>
      </w:tr>
    </w:tbl>
    <w:p>
      <w:pPr>
        <w:pStyle w:val="Heading2"/>
        <w:spacing w:before="280" w:after="80"/>
      </w:pPr>
      <w:r>
        <w:t xml:space="preserve">5.2 Rinoplastia de Revisão e Nariz Comprometido</w:t>
      </w:r>
    </w:p>
    <w:p>
      <w:pPr>
        <w:spacing w:after="100"/>
      </w:pPr>
      <w:r>
        <w:t xml:space="preserve">Aguardar mínimo 12 meses após cirurgia prévia. Via aberta preferencial. Enxerto de costela frequentemente necessário.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Implante de silicone na rinoplastia de aumento — experiência de 30 anos</w:t>
            </w:r>
          </w:p>
          <w:p>
            <w:pPr>
              <w:spacing w:before="40" w:after="40"/>
            </w:pPr>
            <w:r>
              <w:t xml:space="preserve">Revisão retrospectiva de 1.019 pacientes (Kwan E et al., ASJ 2025). Implantes em I (I-shaped silicone) para aumento dorsal. Procedimento em centro QuadA-certificado.</w:t>
            </w:r>
          </w:p>
          <w:p>
            <w:pPr>
              <w:spacing w:before="40" w:after="40"/>
            </w:pPr>
            <w:r>
              <w:t xml:space="preserve">Malposicionamento: 4% (n = 37); insatisfação subjetiva: 4% (n = 43 — principal motivo de revisão).</w:t>
            </w:r>
          </w:p>
          <w:p>
            <w:pPr>
              <w:spacing w:before="40" w:after="40"/>
            </w:pPr>
            <w:r>
              <w:t xml:space="preserve">Extrusão: &lt; 1% (n = 9); infecção: &lt; 0,4% (n = 4).</w:t>
            </w:r>
          </w:p>
          <w:p>
            <w:pPr>
              <w:spacing w:before="40" w:after="40"/>
            </w:pPr>
            <w:r>
              <w:t xml:space="preserve">Técnica crítica: bolso subperiosteal preciso, comprimento adequado do implante, sem tensão na ponta.</w:t>
            </w:r>
          </w:p>
          <w:p>
            <w:pPr>
              <w:spacing w:before="40" w:after="40"/>
            </w:pPr>
            <w:r>
              <w:t xml:space="preserve">Perfil de risco favorável especialmente em populações étnicas; vantagens: menor tempo operatório e custo.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Kwan E et al. Aesthet Surg J 2025;45(9):887–892. DOI: 10.1093/asj/sjaf102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Incisão columelar em V no nariz com cicatrizes prévias — série de 91 pacientes</w:t>
            </w:r>
          </w:p>
          <w:p>
            <w:pPr>
              <w:spacing w:before="40" w:after="40"/>
            </w:pPr>
            <w:r>
              <w:t xml:space="preserve">Série prospectiva (Sazgar AA et al., ASJ 2025): 91 pacientes com média de 1,74 rinoplastias prévias e cicatriz midcolumelar. Tempo médio de cirurgia: 239,5 min.</w:t>
            </w:r>
          </w:p>
          <w:p>
            <w:pPr>
              <w:spacing w:before="40" w:after="40"/>
            </w:pPr>
            <w:r>
              <w:t xml:space="preserve">Autoenxertos utilizados: cartilagem auricular (n = 64), costal (n = 43), fáscia temporal (n = 12), fáscia do reto (n = 24).</w:t>
            </w:r>
          </w:p>
          <w:p>
            <w:pPr>
              <w:spacing w:before="40" w:after="40"/>
            </w:pPr>
            <w:r>
              <w:t xml:space="preserve">Nenhum caso de deiscência ou complicação vascular, mesmo em pacientes com múltiplas incisões midcolumclares prévias.</w:t>
            </w:r>
          </w:p>
          <w:p>
            <w:pPr>
              <w:spacing w:before="40" w:after="40"/>
            </w:pPr>
            <w:r>
              <w:t xml:space="preserve">SCHNOS: obstrução 52,86 → 18,43; cosmética 78,09 → 20,19 (melhora significativa em ambos os domínios).</w:t>
            </w:r>
          </w:p>
          <w:p>
            <w:pPr>
              <w:spacing w:before="40" w:after="40"/>
            </w:pPr>
            <w:r>
              <w:t xml:space="preserve">Incisão em V é alternativa segura à incisão transcolumelar padrão em nariz gravemente comprometido.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Sazgar AA et al. Aesthet Surg J 2025;45(8):770–779. DOI: 10.1093/asj/sjaf060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Edema / equimose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Universal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Expectante; frio local; TXA tópico preventivo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Irregularidade de dorso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5–10%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≥ 12 meses; AH para menores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Recorrência de corcova (preservação)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2,5–13,6%*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* menor com eletrocautério nas CLS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Pinch deformity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2–5%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Enxerto alar rim / lateral crural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Colapso de valva interna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Spreader graft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Sela pós-operatória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Enxerto de dorso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Desvio residual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3–8%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após 12 meses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Infecção / pericondrite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ATB; drenagem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Malposicionamento de implante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~4%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cirúrgica; bolso subperiosteal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Extrusão de implante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Remoção; enxerto autólogo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16–17.</w:t>
      </w:r>
    </w:p>
    <w:p>
      <w:pPr>
        <w:spacing w:after="100"/>
      </w:pPr>
      <w:r>
        <w:t xml:space="preserve">Grotting JC, Rubin JP. Grabb &amp; Smith's Plastic Surgery, 8ª Ed. Wolters Kluwer, 2020. Cap. 38–40.</w:t>
      </w:r>
    </w:p>
    <w:p>
      <w:pPr>
        <w:pStyle w:val="Heading1"/>
        <w:spacing w:before="400" w:after="120"/>
      </w:pPr>
      <w:r>
        <w:t xml:space="preserve">Atualizações Incorporadas — v2.0 (2026-03-28)</w:t>
      </w:r>
    </w:p>
    <w:p>
      <w:pPr>
        <w:spacing w:after="100"/>
      </w:pPr>
      <w:r>
        <w:t xml:space="preserve">Dados extraídos dos abstracts verificados (PubMed eFetch API). Números corrigidos em relação à v1.0.</w:t>
      </w:r>
    </w:p>
    <w:p>
      <w:pPr>
        <w:spacing w:after="100"/>
      </w:pPr>
      <w:r>
        <w:t xml:space="preserve">Rohrich RN et al. Grafting in Rhinoplasty: A Survey of Surgeon Preferences. Plast Reconstr Surg 2026;157(1):54–61.</w:t>
      </w:r>
    </w:p>
    <w:p>
      <w:pPr>
        <w:spacing w:after="100"/>
      </w:pPr>
      <w:r>
        <w:t xml:space="preserve">Taylor CM, Barrera JE. Surgical and Patient-Reported Outcomes of Fresh Frozen Homologous Costal Cartilage in Rhinoplasty. Plast Reconstr Surg 2026;157(1):28e–37e.</w:t>
      </w:r>
    </w:p>
    <w:p>
      <w:pPr>
        <w:spacing w:after="100"/>
      </w:pPr>
      <w:r>
        <w:t xml:space="preserve">Sergesketter AR et al. Aspects and Concepts of What I Preserve in Rhinoplasty. Plast Reconstr Surg 2026;157(4):496e–503e.</w:t>
      </w:r>
    </w:p>
    <w:p>
      <w:pPr>
        <w:spacing w:after="100"/>
      </w:pPr>
      <w:r>
        <w:t xml:space="preserve">Mattos D et al. Positioning the Nasal Tip in Rhinoplasty. Plast Reconstr Surg 2025;156(4):606e–615e.</w:t>
      </w:r>
    </w:p>
    <w:p>
      <w:pPr>
        <w:spacing w:after="100"/>
      </w:pPr>
      <w:r>
        <w:t xml:space="preserve">Şibar S et al. Scalpel vs Electrocautery for Upper Lateral Cartilage Contouring in Dorsal Preservation Rhinoplasty. Aesthet Surg J 2025;46(1):16–23.</w:t>
      </w:r>
    </w:p>
    <w:p>
      <w:pPr>
        <w:spacing w:after="100"/>
      </w:pPr>
      <w:r>
        <w:t xml:space="preserve">Niu K et al. Diced Cartilage Grafts Semi-wrapped in Rectus Abdominis Fascia for Nasal Dorsum Augmentation. Aesthet Surg J 2025;46(1):24–30.</w:t>
      </w:r>
    </w:p>
    <w:p>
      <w:pPr>
        <w:spacing w:after="100"/>
      </w:pPr>
      <w:r>
        <w:t xml:space="preserve">Duan Y et al. Integrated Biomimetic Groove Graft for Moderate-to-Severe Saddle-Nose Deformity Correction. Aesthet Surg J 2025;45(11):1115–1124.</w:t>
      </w:r>
    </w:p>
    <w:p>
      <w:pPr>
        <w:spacing w:after="100"/>
      </w:pPr>
      <w:r>
        <w:t xml:space="preserve">Di Martino L et al. Local Tranexamic Acid vs Placebo in Septorhinoplasty: A Systematic Review and Meta-analysis. Aesthet Surg J 2025;45(12):1220–1226.</w:t>
      </w:r>
    </w:p>
    <w:p>
      <w:pPr>
        <w:spacing w:after="100"/>
      </w:pPr>
      <w:r>
        <w:t xml:space="preserve">Kwan E et al. Thirty-Year Experience in Augmentation Rhinoplasty Using Silicone Implants. Aesthet Surg J 2025;45(9):887–892.</w:t>
      </w:r>
    </w:p>
    <w:p>
      <w:pPr>
        <w:spacing w:after="100"/>
      </w:pPr>
      <w:r>
        <w:t xml:space="preserve">Ueno K et al. Primary Septal Cartilage Graft for Unilateral Cleft Rhinoplasty: 10-Year Follow-Up Results. Plast Reconstr Surg 2026;157(4):563e–572e.</w:t>
      </w:r>
    </w:p>
    <w:p>
      <w:pPr>
        <w:spacing w:after="100"/>
      </w:pPr>
      <w:r>
        <w:t xml:space="preserve">Mohan VC, Owens WR, Hopper RA. Retrospective Review of Open Tip Plasty for Bilateral Cleft Nasal Deformity. Plast Reconstr Surg 2025;156:30S–40S.</w:t>
      </w:r>
    </w:p>
    <w:p>
      <w:pPr>
        <w:spacing w:after="100"/>
      </w:pPr>
      <w:r>
        <w:t xml:space="preserve">Sazgar AA et al. Strategic Use of the V-Shaped Columella-Labial Incision for Reconstructive Rhinoplasty. Aesthet Surg J 2025;45(8):770–779.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2026-03-31T21:07:24.654Z</dcterms:created>
  <dcterms:modified xsi:type="dcterms:W3CDTF">2026-03-31T21:07:24.654Z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