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F3864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12-2 — Blefaroplastia</w:t>
            </w:r>
          </w:p>
          <w:p>
            <w:pPr>
              <w:jc w:val="center"/>
            </w:pPr>
            <w:r>
              <w:rPr>
                <w:color w:val="BDD7EE"/>
                <w:sz w:val="22"/>
                <w:szCs w:val="22"/>
              </w:rPr>
              <w:t xml:space="preserve">Biblioteca Inteligente de Cirurgia Plástica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Autor: </w:t>
      </w:r>
      <w:r>
        <w:t xml:space="preserve">Dr. Arthur King Ayres</w:t>
      </w:r>
    </w:p>
    <w:p>
      <w:pPr>
        <w:spacing w:after="100"/>
      </w:pPr>
      <w:r>
        <w:rPr>
          <w:b/>
          <w:bCs/>
        </w:rPr>
        <w:t xml:space="preserve">Programa: </w:t>
      </w:r>
      <w:r>
        <w:t xml:space="preserve">Residência em Cirurgia Plástica – UNICAMP (R2, 2025–2028)</w:t>
      </w:r>
    </w:p>
    <w:p>
      <w:pPr>
        <w:spacing w:after="100"/>
      </w:pPr>
      <w:r>
        <w:rPr>
          <w:b/>
          <w:bCs/>
        </w:rPr>
        <w:t xml:space="preserve">Versão: </w:t>
      </w:r>
      <w:r>
        <w:t xml:space="preserve">v1.0</w:t>
      </w:r>
    </w:p>
    <w:p>
      <w:pPr>
        <w:spacing w:after="100"/>
      </w:pPr>
      <w:r>
        <w:rPr>
          <w:b/>
          <w:bCs/>
        </w:rPr>
        <w:t xml:space="preserve">Data: </w:t>
      </w:r>
      <w:r>
        <w:t xml:space="preserve">2026-03-28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Referências-Base: </w:t>
      </w:r>
      <w:r>
        <w:rPr>
          <w:i/>
          <w:iCs/>
        </w:rPr>
        <w:t xml:space="preserve">Neligan's Plastic Surgery, 5ª Ed. (2023)  |  Grabb &amp; Smith's Plastic Surgery, 8ª Ed. (2020)</w:t>
      </w:r>
    </w:p>
    <w:p>
      <w:pPr>
        <w:spacing w:after="80"/>
      </w:pPr>
    </w:p>
    <w:p>
      <w:pPr>
        <w:spacing w:after="80"/>
      </w:pPr>
    </w:p>
    <w:p>
      <w:pPr>
        <w:spacing w:before="200" w:after="100"/>
      </w:pPr>
      <w:r>
        <w:rPr>
          <w:b/>
          <w:bCs/>
          <w:sz w:val="22"/>
          <w:szCs w:val="22"/>
        </w:rPr>
        <w:t xml:space="preserve">Histórico de Atualizações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v1.0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2026-03-28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Criação do documento. Base: Neligan (2023) + Grabb &amp; Smith (2020). Incorporação inicial de artigos PRS/ASJ (2020–2025).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t xml:space="preserve">1. Introdução</w:t>
      </w:r>
    </w:p>
    <w:p>
      <w:pPr>
        <w:spacing w:after="100"/>
      </w:pPr>
      <w:r>
        <w:t xml:space="preserve">A blefaroplastia é a cirurgia de correção do excesso de pele, músculo e/ou gordura das pálpebras. É um dos procedimentos mais frequentes em cirurgia plástica facial, com alta satisfação quando bem indicada. Pode ter caráter estético, funcional (dermatocálase obstrutiva) ou ambos.</w:t>
      </w:r>
      <w:r>
        <w:rPr>
          <w:i/>
          <w:iCs/>
          <w:color w:val="808080"/>
          <w:sz w:val="18"/>
          <w:szCs w:val="18"/>
        </w:rPr>
        <w:t xml:space="preserve"> (Neligan, 2023, vol. 2, cap. 9)</w:t>
      </w:r>
    </w:p>
    <w:p>
      <w:pPr>
        <w:pStyle w:val="Heading1"/>
        <w:spacing w:before="400" w:after="120"/>
      </w:pPr>
      <w:r>
        <w:t xml:space="preserve">2. Anatomia Cirúrgica</w:t>
      </w:r>
    </w:p>
    <w:p>
      <w:pPr>
        <w:pStyle w:val="Heading2"/>
        <w:spacing w:before="280" w:after="80"/>
      </w:pPr>
      <w:r>
        <w:t xml:space="preserve">2.1 Pálpebra Superior — Camadas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Detalhe Cirúrgico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Pele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Mais fina do corpo; preservar mínimo 20 mm pré-tarsal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Músculo orbicular (pré-tarsal e pré-septal)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Excisão opcional; melhora definição da prega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Septo orbital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Barreira entre conteúdo orbitário e plano pré-septal; abrir para acessar gordura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Gordura pré-aponeurótica (medial e central)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Ressecção conservadora; glândula lacrimal lateral — NÃO ressecar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Aponeurose do LPS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NÃO lesar; ptose iatrogênica se comprometida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Músculo de Müller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Inervação simpática; Müllerectomy para correção de ptose leve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Conjuntiva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Revestimento interno</w:t>
            </w:r>
          </w:p>
        </w:tc>
      </w:tr>
    </w:tbl>
    <w:p>
      <w:pPr>
        <w:pStyle w:val="Heading2"/>
        <w:spacing w:before="280" w:after="80"/>
      </w:pPr>
      <w:r>
        <w:t xml:space="preserve">2.2 Gordura Palpebral Inferior — 3 Compartimentos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Compartimento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Referência Anatômica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Risco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Medial (nasal)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Anterior ao m. oblíquo inferior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ATENÇÃO: oblíquo inferior entre medial e central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Central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Sobre o m. oblíquo inferior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Referência para dissecção segura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Lateral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Posterior à glândula lacrimal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Glândula lacrimal prolapsada pode simular gordura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shd w:fill="BF8F0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 de Referência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MRD1 normal</w:t>
            </w:r>
          </w:p>
        </w:tc>
        <w:tc>
          <w:tcPr>
            <w:shd w:fill="FFFACD" w:val="clear"/>
          </w:tcPr>
          <w:p>
            <w:r>
              <w:t xml:space="preserve">4–5 mm (&lt; 2 mm = ptose)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MRD2 normal</w:t>
            </w:r>
          </w:p>
        </w:tc>
        <w:tc>
          <w:tcPr>
            <w:shd w:fill="FFFACD" w:val="clear"/>
          </w:tcPr>
          <w:p>
            <w:r>
              <w:t xml:space="preserve">5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Fissura palpebral — largura</w:t>
            </w:r>
          </w:p>
        </w:tc>
        <w:tc>
          <w:tcPr>
            <w:shd w:fill="FFFACD" w:val="clear"/>
          </w:tcPr>
          <w:p>
            <w:r>
              <w:t xml:space="preserve">28–32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Fissura palpebral — altura</w:t>
            </w:r>
          </w:p>
        </w:tc>
        <w:tc>
          <w:tcPr>
            <w:shd w:fill="FFFACD" w:val="clear"/>
          </w:tcPr>
          <w:p>
            <w:r>
              <w:t xml:space="preserve">10–12 mm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Prega palpebral superior ♀</w:t>
            </w:r>
          </w:p>
        </w:tc>
        <w:tc>
          <w:tcPr>
            <w:shd w:fill="FFFACD" w:val="clear"/>
          </w:tcPr>
          <w:p>
            <w:r>
              <w:t xml:space="preserve">8–10 mm da margem ciliar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Prega palpebral superior ♂</w:t>
            </w:r>
          </w:p>
        </w:tc>
        <w:tc>
          <w:tcPr>
            <w:shd w:fill="FFFACD" w:val="clear"/>
          </w:tcPr>
          <w:p>
            <w:r>
              <w:t xml:space="preserve">7–8 mm da margem ciliar</w:t>
            </w:r>
          </w:p>
        </w:tc>
      </w:tr>
      <w:tr>
        <w:tc>
          <w:tcPr>
            <w:shd w:fill="FFFF99" w:val="clear"/>
          </w:tcPr>
          <w:p>
            <w:r>
              <w:rPr>
                <w:b/>
                <w:bCs/>
              </w:rPr>
              <w:t xml:space="preserve">Schirmer &lt; 10 mm / 5 min</w:t>
            </w:r>
          </w:p>
        </w:tc>
        <w:tc>
          <w:tcPr>
            <w:shd w:fill="FFFACD" w:val="clear"/>
          </w:tcPr>
          <w:p>
            <w:r>
              <w:t xml:space="preserve">Risco de olho seco — contraindicação relativa</w:t>
            </w:r>
          </w:p>
        </w:tc>
      </w:tr>
    </w:tbl>
    <w:p>
      <w:pPr>
        <w:pStyle w:val="Heading1"/>
        <w:spacing w:before="400" w:after="120"/>
      </w:pPr>
      <w:r>
        <w:t xml:space="preserve">3. Avaliação Pré-operatória</w:t>
      </w:r>
    </w:p>
    <w:p>
      <w:pPr>
        <w:spacing w:after="100"/>
      </w:pPr>
      <w:r>
        <w:t xml:space="preserve">Snap-back test e distraction test: avaliam laxidez palpebral horizontal. Schirmer: produção lacrimal (&lt; 10 mm em 5 min = risco de olho seco). Exoftalmia: medir com exoftalmômetro (&gt; 20 mm). Avaliar ptose associada: se MRD1 &lt; 2 mm → ptoseplastia, não blefaroplastia isolada.</w:t>
      </w:r>
      <w:r>
        <w:rPr>
          <w:i/>
          <w:iCs/>
          <w:color w:val="808080"/>
          <w:sz w:val="18"/>
          <w:szCs w:val="18"/>
        </w:rPr>
        <w:t xml:space="preserve"> (Grabb &amp; Smith, 2020, cap. 30)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Prática atual em blefaroplastia — análise de 15 anos de dados do ABPS</w:t>
            </w:r>
          </w:p>
          <w:p>
            <w:pPr>
              <w:spacing w:before="40" w:after="40"/>
            </w:pPr>
            <w:r>
              <w:t xml:space="preserve">Revisão de 15 anos de dados de certificação do American Board of Plastic Surgery: blefaroplastia superior aumentou 42%; lower blepharoplasty transconjuntival superou a transcutânea em volume. Cantopexia lateral passou a ser realizada em 68% das lower blepharoplasties.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Stein MJ et al. Plast Reconstr Surg 2025;155(5):895–901. DOI: 10.1097/PRS.0000000000011843</w:t>
            </w:r>
          </w:p>
        </w:tc>
      </w:tr>
    </w:tbl>
    <w:p>
      <w:pPr>
        <w:pStyle w:val="Heading1"/>
        <w:spacing w:before="400" w:after="120"/>
      </w:pPr>
      <w:r>
        <w:t xml:space="preserve">4. Técnicas Cirúrgicas</w:t>
      </w:r>
    </w:p>
    <w:p>
      <w:pPr>
        <w:pStyle w:val="Heading2"/>
        <w:spacing w:before="280" w:after="80"/>
      </w:pPr>
      <w:r>
        <w:t xml:space="preserve">4.1 Blefaroplastia Superior</w:t>
      </w:r>
    </w:p>
    <w:p>
      <w:pPr>
        <w:spacing w:after="100"/>
      </w:pPr>
      <w:r>
        <w:t xml:space="preserve">Marcação: linha inferior na prega (8–10 mm da margem ciliar ♀). Excisão elíptica de pele ± músculo orbicular. Ressecção conservadora de gordura medial e central. Preservar aponeurose do LPS.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Correção de retração palpebral superior pós-blefaroplastia com AlloDerm</w:t>
            </w:r>
          </w:p>
          <w:p>
            <w:pPr>
              <w:spacing w:before="40" w:after="40"/>
            </w:pPr>
            <w:r>
              <w:t xml:space="preserve">Técnica de alongamento precoce da aponeurose do LPS com AlloDerm para correção de retração palpebral após blefaroplastia cosmética. Série de 12 pacientes: MRD1 melhorou de 5,8 mm para 4,1 mm em 6 meses.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Park NS et al. Plast Reconstr Surg 2025;156(2):189e–193e. DOI: 10.1097/PRS.0000000000011980</w:t>
            </w:r>
          </w:p>
        </w:tc>
      </w:tr>
    </w:tbl>
    <w:p>
      <w:pPr>
        <w:pStyle w:val="Heading2"/>
        <w:spacing w:before="280" w:after="80"/>
      </w:pPr>
      <w:r>
        <w:t xml:space="preserve">4.2 Blefaroplastia Inferior</w:t>
      </w:r>
    </w:p>
    <w:p>
      <w:pPr>
        <w:spacing w:after="100"/>
      </w:pPr>
      <w:r>
        <w:t xml:space="preserve">Via transcutânea: acesso a pele, músculo e gordura; maior risco de ectrópio → sempre associar cantopexia. Via transconjuntival: sem cicatriz externa; indicada quando excesso de pele é mínimo.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Incisão na fáscia capsulopalpebral subtarsal — novo paradigma para blefaroplastia inferior</w:t>
            </w:r>
          </w:p>
          <w:p>
            <w:pPr>
              <w:spacing w:before="40" w:after="40"/>
            </w:pPr>
            <w:r>
              <w:t xml:space="preserve">Nomoto e Ogawa (2025) propuseram incisão na fáscia capsulopalpebral no nível subtarsal (vs. nível septal tradicional) na via transcutânea. Em série de 74 casos, zero ectrópio em 18 meses de seguimento.</w:t>
            </w:r>
          </w:p>
          <w:p>
            <w:pPr>
              <w:spacing w:before="40" w:after="40"/>
            </w:pPr>
            <w:r>
              <w:t xml:space="preserve">O mecanismo: incisão subtarsal preserva a tensão do septo e da fáscia capsulopalpebral, reduzindo a tração vertical sobre a pálpebra.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Nomoto S, Ogawa R. Plast Reconstr Surg 2026;157(4):486e–495e. DOI: 10.1097/PRS.0000000000012429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C00000" w:sz="6"/>
              <w:left w:val="single" w:color="C00000" w:sz="18"/>
              <w:bottom w:val="single" w:color="C00000" w:sz="6"/>
              <w:right w:val="single" w:color="C00000" w:sz="6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MUDANÇA DE PARADIGMA — Mudança de paradigma: reposicionamento de gordura &gt; ressecção</w:t>
            </w:r>
          </w:p>
          <w:p>
            <w:pPr>
              <w:spacing w:before="40" w:after="40"/>
            </w:pPr>
            <w:r>
              <w:t xml:space="preserve">Chen et al. (2025): reposicionamento de gordura + excisão profunda de gordura na blefaroplastia inferior transcutânea. Comparação com ressecção isolada: melhor contorno do sulco nasojugal e menor risco de hollowing tardio.</w:t>
            </w:r>
          </w:p>
          <w:p>
            <w:pPr>
              <w:spacing w:before="40" w:after="40"/>
            </w:pPr>
            <w:r>
              <w:t xml:space="preserve">Recomendação atual: preferir reposicionamento; ressecção somente quando volume é excessivo.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Chen J et al. Plast Reconstr Surg 2026;157(4):622–631. DOI: 10.1097/PRS.0000000000012416</w:t>
            </w:r>
          </w:p>
        </w:tc>
      </w:tr>
    </w:tbl>
    <w:p>
      <w:pPr>
        <w:pStyle w:val="Heading2"/>
        <w:spacing w:before="280" w:after="80"/>
      </w:pPr>
      <w:r>
        <w:t xml:space="preserve">4.3 Dupla Pálpebra — População Asiática</w:t>
      </w:r>
    </w:p>
    <w:p>
      <w:pPr>
        <w:spacing w:after="100"/>
      </w:pPr>
      <w:r>
        <w:t xml:space="preserve">Cirurgia mais realizada mundialmente em volume. Método de sutura: menos invasivo, menor permanência. Método de incisão: mais permanente, cicatriz no período inicial.</w:t>
      </w:r>
      <w:r>
        <w:rPr>
          <w:i/>
          <w:iCs/>
          <w:color w:val="808080"/>
          <w:sz w:val="18"/>
          <w:szCs w:val="18"/>
        </w:rPr>
        <w:t xml:space="preserve"> (Neligan, 2023)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Dupla pálpebra — técnica conservadora com ajuste de altura da prega</w:t>
            </w:r>
          </w:p>
          <w:p>
            <w:pPr>
              <w:spacing w:before="40" w:after="40"/>
            </w:pPr>
            <w:r>
              <w:t xml:space="preserve">Yu et al. (2025): técnica conservadora baseada em estudos anatômicos em vivos. Crease height individualizável por análise direta da pretarsal fullness intraoperatória. Série de 180 pacientes: 97% satisfeitos; 3,3% revisão por assimetria.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Yu AY et al. Plast Reconstr Surg 2025;156(1):29–40. DOI: 10.1097/PRS.0000000000011948</w:t>
            </w:r>
          </w:p>
        </w:tc>
      </w:tr>
    </w:tbl>
    <w:p>
      <w:pPr>
        <w:pStyle w:val="Heading2"/>
        <w:spacing w:before="280" w:after="80"/>
      </w:pPr>
      <w:r>
        <w:t xml:space="preserve">4.4 Correção de Ptose Leve</w:t>
      </w:r>
    </w:p>
    <w:p>
      <w:pPr>
        <w:spacing w:after="100"/>
      </w:pPr>
      <w:r>
        <w:t xml:space="preserve">Lei de Hering: correção de ptose unilateral pode desmascarar ptose contralateral. Avaliar ptose bilateral em todas as consultas.</w:t>
      </w:r>
      <w:r>
        <w:rPr>
          <w:i/>
          <w:iCs/>
          <w:color w:val="808080"/>
          <w:sz w:val="18"/>
          <w:szCs w:val="18"/>
        </w:rPr>
        <w:t xml:space="preserve"> (Grabb &amp; Smith, 2020)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Correção estética de ptose leve — balanceando a lei de Hering</w:t>
            </w:r>
          </w:p>
          <w:p>
            <w:pPr>
              <w:spacing w:before="40" w:after="40"/>
            </w:pPr>
            <w:r>
              <w:t xml:space="preserve">Li X et al. (2025): análise de 68 pacientes com ptose leve unilateral. Estratégia de correção graduada com avaliação pré-operatória da lei de Hering reduz a incidência de ptose contralateral desmascarada de 22% para 7%.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Li X et al. Plast Reconstr Surg 2026;157(1):38e–48e. DOI: 10.1097/PRS.0000000000012230</w:t>
            </w:r>
          </w:p>
        </w:tc>
      </w:tr>
    </w:tbl>
    <w:p>
      <w:pPr>
        <w:pStyle w:val="Heading1"/>
        <w:spacing w:before="400" w:after="120"/>
      </w:pPr>
      <w:r>
        <w:t xml:space="preserve">5. Resultados Funcionais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single" w:color="2E75B6" w:sz="6"/>
              <w:left w:val="single" w:color="2E75B6" w:sz="18"/>
              <w:bottom w:val="single" w:color="2E75B6" w:sz="6"/>
              <w:right w:val="single" w:color="2E75B6" w:sz="6"/>
            </w:tcBorders>
            <w:shd w:fill="D9E1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NOVA EVIDÊNCIA — Meta-análise: resultados funcionais e estéticos após blefaroplastia superior</w:t>
            </w:r>
          </w:p>
          <w:p>
            <w:pPr>
              <w:spacing w:before="40" w:after="40"/>
            </w:pPr>
            <w:r>
              <w:t xml:space="preserve">Revisão sistemática e meta-análise de 12 ECRs (n = 1.847): blefaroplastia superior melhora campo visual em 84% dos casos com dermatocálase funcional; satisfação estética de 91%. Complicação mais frequente: olho seco transitório (18%).</w:t>
            </w:r>
          </w:p>
          <w:p>
            <w:pPr>
              <w:spacing w:before="40" w:after="60"/>
            </w:pPr>
            <w:r>
              <w:rPr>
                <w:i/>
                <w:iCs/>
                <w:color w:val="808080"/>
                <w:sz w:val="18"/>
                <w:szCs w:val="18"/>
              </w:rPr>
              <w:t xml:space="preserve">Todorov D et al. Aesthet Surg J 2025;45(6):554–562. DOI: 10.1093/asj/sjaf022</w:t>
            </w:r>
          </w:p>
        </w:tc>
      </w:tr>
    </w:tbl>
    <w:p>
      <w:pPr>
        <w:pStyle w:val="Heading1"/>
        <w:spacing w:before="400" w:after="120"/>
      </w:pPr>
      <w:r>
        <w:t xml:space="preserve">6. Complicações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Complicação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Mecanismo</w:t>
            </w:r>
          </w:p>
        </w:tc>
        <w:tc>
          <w:tcPr>
            <w:shd w:fill="2E75B6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Conduta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Lagoftalmo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Remoção excessiva de pele superior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Lubrificante; revisão se grave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Ectrópio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Laxidez + retração (via subciliar)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Cantoplastia / revisão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Ptose iatrogênica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Lesão do LPS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Ptoseplastia de revisão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Diplopia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Lesão do m. oblíquo inferior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Exploração cirúrgica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Hollowing tardio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Ressecção excessiva de gordura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Preenchimento com AH ou lipoenxertia</w:t>
            </w:r>
          </w:p>
        </w:tc>
      </w:tr>
      <w:tr>
        <w:tc>
          <w:tcPr>
            <w:shd w:fill="EBF3FB" w:val="clear"/>
          </w:tcPr>
          <w:p>
            <w:pPr>
              <w:spacing w:before="40" w:after="40"/>
            </w:pPr>
            <w:r>
              <w:t xml:space="preserve">Olho seco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Lagoftalmo; lacrimal pré-existente</w:t>
            </w:r>
          </w:p>
        </w:tc>
        <w:tc>
          <w:tcPr>
            <w:shd w:fill="EBF3FB" w:val="clear"/>
          </w:tcPr>
          <w:p>
            <w:pPr>
              <w:spacing w:before="40" w:after="40"/>
            </w:pPr>
            <w:r>
              <w:t xml:space="preserve">Colírio lubrificante; plug lacrimal</w:t>
            </w:r>
          </w:p>
        </w:tc>
      </w:tr>
      <w:tr>
        <w:tc>
          <w:tcPr>
            <w:shd w:fill="FFFFFF" w:val="clear"/>
          </w:tcPr>
          <w:p>
            <w:pPr>
              <w:spacing w:before="40" w:after="40"/>
            </w:pPr>
            <w:r>
              <w:t xml:space="preserve">Hematoma retrorbitário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Raro (0,04%); emergência</w:t>
            </w:r>
          </w:p>
        </w:tc>
        <w:tc>
          <w:tcPr>
            <w:shd w:fill="FFFFFF" w:val="clear"/>
          </w:tcPr>
          <w:p>
            <w:pPr>
              <w:spacing w:before="40" w:after="40"/>
            </w:pPr>
            <w:r>
              <w:t xml:space="preserve">Cantotomia + cantólise lateral IMEDIATA</w:t>
            </w:r>
          </w:p>
        </w:tc>
      </w:tr>
    </w:tbl>
    <w:p>
      <w:pPr>
        <w:pStyle w:val="Heading1"/>
        <w:spacing w:before="400" w:after="120"/>
      </w:pPr>
      <w:r>
        <w:t xml:space="preserve">Referências-Base</w:t>
      </w:r>
    </w:p>
    <w:p>
      <w:pPr>
        <w:spacing w:after="100"/>
      </w:pPr>
      <w:r>
        <w:t xml:space="preserve">Neligan PC (Ed.). Plastic Surgery, 5ª Ed. Elsevier, 2023. Vol. 2, Cap. 9.</w:t>
      </w:r>
    </w:p>
    <w:p>
      <w:pPr>
        <w:spacing w:after="100"/>
      </w:pPr>
      <w:r>
        <w:t xml:space="preserve">Grotting JC, Rubin JP. Grabb &amp; Smith's Plastic Surgery, 8ª Ed. Wolters Kluwer, 2020. Cap. 30.</w:t>
      </w:r>
    </w:p>
    <w:p>
      <w:pPr>
        <w:pStyle w:val="Heading1"/>
        <w:spacing w:before="400" w:after="120"/>
      </w:pPr>
      <w:r>
        <w:t xml:space="preserve">Atualizações Incorporadas — v1.0 (2026-03-28)</w:t>
      </w:r>
    </w:p>
    <w:p>
      <w:pPr>
        <w:spacing w:after="100"/>
      </w:pPr>
      <w:r>
        <w:t xml:space="preserve">Stein MJ et al. Practice Patterns in Blepharoplasty: 15-Year Review of ABPS Data. Plast Reconstr Surg 2025;155(5):895–901.</w:t>
      </w:r>
    </w:p>
    <w:p>
      <w:pPr>
        <w:spacing w:after="100"/>
      </w:pPr>
      <w:r>
        <w:t xml:space="preserve">Park NS et al. Early Grafting Using AlloDerm to Correct Upper Eyelid Retraction. Plast Reconstr Surg 2025;156(2):189e–193e.</w:t>
      </w:r>
    </w:p>
    <w:p>
      <w:pPr>
        <w:spacing w:after="100"/>
      </w:pPr>
      <w:r>
        <w:t xml:space="preserve">Nomoto S, Ogawa R. Subtarsal Capsulopalpebral Fascia Incision: New Paradigm for Ectropion-Free Lower Blepharoplasty. Plast Reconstr Surg 2026;157(4):486e–495e.</w:t>
      </w:r>
    </w:p>
    <w:p>
      <w:pPr>
        <w:spacing w:after="100"/>
      </w:pPr>
      <w:r>
        <w:t xml:space="preserve">Chen J et al. Fat Repositioning with Deep Fat Excision in Transcutaneous Lower Blepharoplasty. Plast Reconstr Surg 2026;157(4):622–631.</w:t>
      </w:r>
    </w:p>
    <w:p>
      <w:pPr>
        <w:spacing w:after="100"/>
      </w:pPr>
      <w:r>
        <w:t xml:space="preserve">Yu AY et al. Conservative Crease-Height-Adjustable Asian Double-Eyelid Surgery. Plast Reconstr Surg 2025;156(1):29–40.</w:t>
      </w:r>
    </w:p>
    <w:p>
      <w:pPr>
        <w:spacing w:after="100"/>
      </w:pPr>
      <w:r>
        <w:t xml:space="preserve">Li X et al. Aesthetic Correction of Mild Blepharoptosis: Balancing Hering's Law. Plast Reconstr Surg 2026;157(1):38e–48e.</w:t>
      </w:r>
    </w:p>
    <w:p>
      <w:pPr>
        <w:spacing w:after="100"/>
      </w:pPr>
      <w:r>
        <w:t xml:space="preserve">Todorov D et al. Functional and Aesthetic Outcomes After Upper Blepharoplasty: Meta-analysis. Aesthet Surg J 2025;45(6):554–562.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400" w:after="1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pPr>
      <w:spacing w:before="280" w:after="80"/>
    </w:pPr>
    <w:rPr>
      <w:b/>
      <w:bCs/>
      <w:color w:val="2E75B6"/>
      <w:sz w:val="24"/>
      <w:szCs w:val="24"/>
    </w:rPr>
  </w:style>
  <w:style w:type="paragraph" w:styleId="Heading3">
    <w:name w:val="Heading 3"/>
    <w:basedOn w:val="Normal"/>
    <w:pPr>
      <w:spacing w:before="200" w:after="60"/>
    </w:pPr>
    <w:rPr>
      <w:b/>
      <w:bCs/>
      <w:color w:val="2E74B5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2026-03-31T21:07:24.633Z</dcterms:created>
  <dcterms:modified xsi:type="dcterms:W3CDTF">2026-03-31T21:07:24.633Z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