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3864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12-3 — Ritidoplastia (Facelift)</w:t>
            </w:r>
          </w:p>
          <w:p>
            <w:pPr>
              <w:jc w:val="center"/>
            </w:pPr>
            <w:r>
              <w:rPr>
                <w:color w:val="BDD7EE"/>
                <w:sz w:val="22"/>
                <w:szCs w:val="22"/>
              </w:rPr>
              <w:t xml:space="preserve">Biblioteca Inteligente de Cirurgia Plástica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Autor: </w:t>
      </w:r>
      <w:r>
        <w:t xml:space="preserve">Dr. Arthur King Ayres</w:t>
      </w:r>
    </w:p>
    <w:p>
      <w:pPr>
        <w:spacing w:after="100"/>
      </w:pPr>
      <w:r>
        <w:rPr>
          <w:b/>
          <w:bCs/>
        </w:rPr>
        <w:t xml:space="preserve">Programa: </w:t>
      </w:r>
      <w:r>
        <w:t xml:space="preserve">Residência em Cirurgia Plástica – UNICAMP (R2, 2025–2028)</w:t>
      </w:r>
    </w:p>
    <w:p>
      <w:pPr>
        <w:spacing w:after="100"/>
      </w:pPr>
      <w:r>
        <w:rPr>
          <w:b/>
          <w:bCs/>
        </w:rPr>
        <w:t xml:space="preserve">Versão: </w:t>
      </w:r>
      <w:r>
        <w:t xml:space="preserve">v1.0</w:t>
      </w:r>
    </w:p>
    <w:p>
      <w:pPr>
        <w:spacing w:after="100"/>
      </w:pPr>
      <w:r>
        <w:rPr>
          <w:b/>
          <w:bCs/>
        </w:rPr>
        <w:t xml:space="preserve">Data: </w:t>
      </w:r>
      <w:r>
        <w:t xml:space="preserve">2026-03-28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Referências-Base: </w:t>
      </w:r>
      <w:r>
        <w:rPr>
          <w:i/>
          <w:iCs/>
        </w:rPr>
        <w:t xml:space="preserve">Neligan's Plastic Surgery, 5ª Ed. (2023)  |  Grabb &amp; Smith's Plastic Surgery, 8ª Ed. (2020)</w:t>
      </w:r>
    </w:p>
    <w:p>
      <w:pPr>
        <w:spacing w:after="80"/>
      </w:pPr>
    </w:p>
    <w:p>
      <w:pPr>
        <w:spacing w:after="80"/>
      </w:pPr>
    </w:p>
    <w:p>
      <w:pPr>
        <w:spacing w:before="200" w:after="100"/>
      </w:pPr>
      <w:r>
        <w:rPr>
          <w:b/>
          <w:bCs/>
          <w:sz w:val="22"/>
          <w:szCs w:val="22"/>
        </w:rPr>
        <w:t xml:space="preserve">Histórico de Atualizações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Versão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v1.0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2026-03-28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Criação do documento. Base: Neligan (2023) + Grabb &amp; Smith (2020). Incorporação inicial de artigos PRS/ASJ (2020–2025).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t xml:space="preserve">1. Introdução</w:t>
      </w:r>
    </w:p>
    <w:p>
      <w:pPr>
        <w:spacing w:after="100"/>
      </w:pPr>
      <w:r>
        <w:t xml:space="preserve">A ritidoplastia é o conjunto de técnicas cirúrgicas para rejuvenescimento do terço médio e inferior da face e pescoço. Trata o envelhecimento gravitacional por redistribuição de tecidos e manejo variável do SMAS. É o padrão-ouro para rejuvenescimento facial cirúrgico de longa duração.</w:t>
      </w:r>
      <w:r>
        <w:rPr>
          <w:i/>
          <w:iCs/>
          <w:color w:val="808080"/>
          <w:sz w:val="18"/>
          <w:szCs w:val="18"/>
        </w:rPr>
        <w:t xml:space="preserve"> (Neligan, 2023, vol. 2, cap. 11)</w:t>
      </w:r>
    </w:p>
    <w:p>
      <w:pPr>
        <w:pStyle w:val="Heading1"/>
        <w:spacing w:before="400" w:after="120"/>
      </w:pPr>
      <w:r>
        <w:t xml:space="preserve">2. Anatomia e Envelhecimento</w:t>
      </w:r>
    </w:p>
    <w:p>
      <w:pPr>
        <w:pStyle w:val="Heading2"/>
        <w:spacing w:before="280" w:after="80"/>
      </w:pPr>
      <w:r>
        <w:t xml:space="preserve">2.1 Mecanismos do Envelhecimento Facial</w:t>
      </w:r>
    </w:p>
    <w:p>
      <w:pPr>
        <w:spacing w:after="100"/>
      </w:pPr>
      <w:r>
        <w:t xml:space="preserve">Quatro componentes: (1) ptose gravitacional, (2) deflação volumétrica (gordura + reabsorção óssea), (3) alteração da qualidade cutânea, (4) hipertrofia/ptose muscular (platisma, mentoniano).</w:t>
      </w:r>
      <w:r>
        <w:rPr>
          <w:i/>
          <w:iCs/>
          <w:color w:val="808080"/>
          <w:sz w:val="18"/>
          <w:szCs w:val="18"/>
        </w:rPr>
        <w:t xml:space="preserve"> (Neligan, 2023)</w:t>
      </w:r>
    </w:p>
    <w:p>
      <w:pPr>
        <w:pStyle w:val="Heading2"/>
        <w:spacing w:before="280" w:after="80"/>
      </w:pPr>
      <w:r>
        <w:t xml:space="preserve">2.2 SMAS — Sistema Músculo-Aponeurótico Superficial</w:t>
      </w:r>
    </w:p>
    <w:p>
      <w:pPr>
        <w:spacing w:after="100"/>
      </w:pPr>
      <w:r>
        <w:t xml:space="preserve">O SMAS conecta o platisma (pescoço) ao zigomático menor e orbicular. É a estrutura-chave para resultados duradouros. Zona de adesão firme: sobre o masseter ("zona de segurança" — risco neural mínimo nessa região).</w:t>
      </w:r>
      <w:r>
        <w:rPr>
          <w:i/>
          <w:iCs/>
          <w:color w:val="808080"/>
          <w:sz w:val="18"/>
          <w:szCs w:val="18"/>
        </w:rPr>
        <w:t xml:space="preserve"> (Grabb &amp; Smith, 2020, cap. 32)</w:t>
      </w:r>
    </w:p>
    <w:p>
      <w:pPr>
        <w:pStyle w:val="Heading2"/>
        <w:spacing w:before="280" w:after="80"/>
      </w:pPr>
      <w:r>
        <w:t xml:space="preserve">2.3 Ligamentos de Retenção (Furnas)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Ligamento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Localização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Divisão libera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Zigomático-cutâneo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Arco zigomático → pele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Ptose malar; sulco nasojugal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Massetérico-cutâneo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Masséter → pele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Jowl; linha mandibular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Mandibular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Mandíbula → pele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Sulco labiomandibular; jowl</w:t>
            </w:r>
          </w:p>
        </w:tc>
      </w:tr>
    </w:tbl>
    <w:p>
      <w:pPr>
        <w:pStyle w:val="Heading2"/>
        <w:spacing w:before="280" w:after="80"/>
      </w:pPr>
      <w:r>
        <w:t xml:space="preserve">2.4 Nervo Facial — Ramos Vulneráveis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Ramo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Vulnerabilidade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Prevenção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Temporal (frontal)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Cruzamento do arco zigomático superficialmente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Dissecção profunda ao SMAS na região temporal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Zigomático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Dissecção pré-zigomática profunda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Identificar ramo antes de dividir ligamentos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Marginal mandibular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Abaixo da mandíbula; lipoaspiração cervical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Dissecar superficialmente na borda inferior</w:t>
            </w:r>
          </w:p>
        </w:tc>
      </w:tr>
    </w:tbl>
    <w:p>
      <w:pPr>
        <w:pStyle w:val="Heading1"/>
        <w:spacing w:before="400" w:after="120"/>
      </w:pPr>
      <w:r>
        <w:t xml:space="preserve">3. Técnicas Cirúrgicas</w:t>
      </w:r>
    </w:p>
    <w:p>
      <w:pPr>
        <w:pStyle w:val="Heading2"/>
        <w:spacing w:before="280" w:after="80"/>
      </w:pPr>
      <w:r>
        <w:t xml:space="preserve">3.1 Revisão Sistemática das Técnicas de SMAS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Desmistificando as técnicas de face lift — revisão sistemática</w:t>
            </w:r>
          </w:p>
          <w:p>
            <w:pPr>
              <w:spacing w:before="40" w:after="40"/>
            </w:pPr>
            <w:r>
              <w:t xml:space="preserve">Schultz et al. (2025): revisão sistemática de 89 estudos comparando técnicas de SMAS. Deep plane e composite flap demonstraram maior durabilidade (8–12 anos) e melhor melhora do sulco nasolabial vs. plication (5–7 anos).</w:t>
            </w:r>
          </w:p>
          <w:p>
            <w:pPr>
              <w:spacing w:before="40" w:after="40"/>
            </w:pPr>
            <w:r>
              <w:t xml:space="preserve">Plication e imbrication têm perfil de segurança superior; deep plane exige maior experiência mas produz resultado mais natural.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Schultz KP et al. Plast Reconstr Surg 2026;157(4):615–620. DOI: 10.1097/PRS.0000000000012526</w:t>
            </w:r>
          </w:p>
        </w:tc>
      </w:tr>
    </w:tbl>
    <w:p>
      <w:pPr>
        <w:pStyle w:val="Heading2"/>
        <w:spacing w:before="280" w:after="80"/>
      </w:pPr>
      <w:r>
        <w:t xml:space="preserve">3.2 Deep Plane — Técnica</w:t>
      </w:r>
    </w:p>
    <w:p>
      <w:pPr>
        <w:spacing w:after="100"/>
      </w:pPr>
      <w:r>
        <w:t xml:space="preserve">Elevação subcutânea até o rebordo anterior do masseter. Incisão do SMAS abaixo do zigomático menor. Elevação de retalho composto SMAS + gordura malar. Divisão dos ligamentos zigomático e massetérico. Suspensão posterior-superior.</w:t>
      </w:r>
      <w:r>
        <w:rPr>
          <w:i/>
          <w:iCs/>
          <w:color w:val="808080"/>
          <w:sz w:val="18"/>
          <w:szCs w:val="18"/>
        </w:rPr>
        <w:t xml:space="preserve"> (Neligan, 2023)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Deep plane em pacientes asiáticos</w:t>
            </w:r>
          </w:p>
          <w:p>
            <w:pPr>
              <w:spacing w:before="40" w:after="40"/>
            </w:pPr>
            <w:r>
              <w:t xml:space="preserve">Wong, Hsieh &amp; Mendelson (2025): adaptações técnicas para a face asiática incluem dissecção mais extensa na área malar (maior aderência periosteal), menor tensão do retalho e preservação de gordura malar para evitar esqueletização.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Wong CH et al. Plast Reconstr Surg 2025;156(4):485e–496e. DOI: 10.1097/PRS.0000000000012102</w:t>
            </w:r>
          </w:p>
        </w:tc>
      </w:tr>
    </w:tbl>
    <w:p>
      <w:pPr>
        <w:pStyle w:val="Heading2"/>
        <w:spacing w:before="280" w:after="80"/>
      </w:pPr>
      <w:r>
        <w:t xml:space="preserve">3.3 Manejo do Pescoço</w:t>
      </w:r>
    </w:p>
    <w:p>
      <w:pPr>
        <w:spacing w:after="100"/>
      </w:pPr>
      <w:r>
        <w:t xml:space="preserve">Componentes: lipoaspiração submentoniana, platismaplastia (plicatura anterior), suspensão do SMAS/platisma durante o facelift, lipectomia subplatismal quando necessário.</w:t>
      </w:r>
      <w:r>
        <w:rPr>
          <w:i/>
          <w:iCs/>
          <w:color w:val="808080"/>
          <w:sz w:val="18"/>
          <w:szCs w:val="18"/>
        </w:rPr>
        <w:t xml:space="preserve"> (Grabb &amp; Smith, 2020)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Suturas cervicais seletivas no facelift</w:t>
            </w:r>
          </w:p>
          <w:p>
            <w:pPr>
              <w:spacing w:before="40" w:after="40"/>
            </w:pPr>
            <w:r>
              <w:t xml:space="preserve">Ganesh Kumar et al. (2025): protocolo de suturas cervicais seletivas (ao invés de platismaplastia completa em todos os casos). Indicações individualizadas por grau de ptose do platisma. Redução de 40% no tempo cirúrgico sem diferença em resultado a 1 ano.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Ganesh Kumar N et al. Plast Reconstr Surg 2025;156(2):194e–197e. DOI: 10.1097/PRS.0000000000011968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Transecção completa do platisma para reconturno cervical</w:t>
            </w:r>
          </w:p>
          <w:p>
            <w:pPr>
              <w:spacing w:before="40" w:after="40"/>
            </w:pPr>
            <w:r>
              <w:t xml:space="preserve">Bartow &amp; Core (2025): série de 87 casos de transecção completa do platisma via acesso submentoniano. Melhora significativa do ângulo cervicomental (143° → 116°). Menor recidiva de bandas vs. plicatura isolada.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Bartow MJ, Core G. Aesthet Surg J 2025;45(5):448–453. DOI: 10.1093/asj/sjaf023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Suspensão completa do músculo platisma no deep plane</w:t>
            </w:r>
          </w:p>
          <w:p>
            <w:pPr>
              <w:spacing w:before="40" w:after="40"/>
            </w:pPr>
            <w:r>
              <w:t xml:space="preserve">Timberlake et al. (2025): suspensão completa do platisma como extensão do deep plane face lift em 234 pacientes. Resultado cervical superior vs. técnicas parciais; sem aumento de complicações neurais.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Timberlake AT et al. Plast Reconstr Surg 2025;155(4):699e–703e. DOI: 10.1097/PRS.0000000000011705</w:t>
            </w:r>
          </w:p>
        </w:tc>
      </w:tr>
    </w:tbl>
    <w:p>
      <w:pPr>
        <w:pStyle w:val="Heading2"/>
        <w:spacing w:before="280" w:after="80"/>
      </w:pPr>
      <w:r>
        <w:t xml:space="preserve">3.4 Browlift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Estabilidade a longo prazo do endoscopic brow lift — meta-análise</w:t>
            </w:r>
          </w:p>
          <w:p>
            <w:pPr>
              <w:spacing w:before="40" w:after="40"/>
            </w:pPr>
            <w:r>
              <w:t xml:space="preserve">Şibar et al. (2025): meta-análise de 14 estudos (n = 1.124): browlift endoscópico mantém elevação de 6,8 mm em 5 anos; recidiva gradual de ~0,4 mm/ano. Resultado mais estável quando fixado com parafuso/implante vs. apenas sutura.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Şibar S et al. Aesthet Surg J 2025;45(3):232–240. DOI: 10.1093/asj/sjae225</w:t>
            </w:r>
          </w:p>
        </w:tc>
      </w:tr>
    </w:tbl>
    <w:p>
      <w:pPr>
        <w:pStyle w:val="Heading2"/>
        <w:spacing w:before="280" w:after="80"/>
      </w:pPr>
      <w:r>
        <w:t xml:space="preserve">3.5 Técnica U-SMAS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U-SMAS Lift — nova variante técnica</w:t>
            </w:r>
          </w:p>
          <w:p>
            <w:pPr>
              <w:spacing w:before="40" w:after="40"/>
            </w:pPr>
            <w:r>
              <w:t xml:space="preserve">Movassaghi et al. (2025): U-SMAS lift combina dissecção subcutânea anterior com suspensão do SMAS em forma de "U" invertido. Adequado para pacientes com ptose moderada; menor dissecção que o deep plane; bons resultados em 6–12 meses.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Movassaghi K et al. Plast Reconstr Surg 2025;155(4):632–636. DOI: 10.1097/PRS.0000000000011673</w:t>
            </w:r>
          </w:p>
        </w:tc>
      </w:tr>
    </w:tbl>
    <w:p>
      <w:pPr>
        <w:pStyle w:val="Heading1"/>
        <w:spacing w:before="400" w:after="120"/>
      </w:pPr>
      <w:r>
        <w:t xml:space="preserve">4. Técnicas Adjuvantes e Minimamente Invasivas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Ultrassom microfocado (MFU-V / Ultherapy) — meta-análise</w:t>
            </w:r>
          </w:p>
          <w:p>
            <w:pPr>
              <w:spacing w:before="40" w:after="40"/>
            </w:pPr>
            <w:r>
              <w:t xml:space="preserve">Amiri et al. (2025): meta-análise de 18 estudos (n = 1.932): MFU-V melhora o malar e o contorno mandibular em casos selecionados de envelhecimento leve a moderado. Complemento ao facelift, não substituto.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Amiri M et al. Aesthet Surg J 2025;45(3):NP86–NP94. DOI: 10.1093/asj/sjae228</w:t>
            </w:r>
          </w:p>
        </w:tc>
      </w:tr>
    </w:tbl>
    <w:p>
      <w:pPr>
        <w:pStyle w:val="Heading1"/>
        <w:spacing w:before="400" w:after="120"/>
      </w:pPr>
      <w:r>
        <w:t xml:space="preserve">5. Ácido Tranexâmico no Facelift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Ácido tranexâmico local no facelift — coorte pareada</w:t>
            </w:r>
          </w:p>
          <w:p>
            <w:pPr>
              <w:spacing w:before="40" w:after="40"/>
            </w:pPr>
            <w:r>
              <w:t xml:space="preserve">Darras et al. (2025): TXA local aplicado aos retalhos durante facelift (n = 204 pareados): sem aumento de complicações de cicatrização ou infecção. Tendência a menor taxa de hematoma (2,1% vs. 3,9%), sem significância estatística neste estudo. Segurança confirmada.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Darras O et al. Aesthet Surg J 2025;45(12):1213–1219. DOI: 10.1093/asj/sjaf130</w:t>
            </w:r>
          </w:p>
        </w:tc>
      </w:tr>
    </w:tbl>
    <w:p>
      <w:pPr>
        <w:pStyle w:val="Heading1"/>
        <w:spacing w:before="400" w:after="120"/>
      </w:pPr>
      <w:r>
        <w:t xml:space="preserve">6. Complicações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BF8F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shd w:fill="BF8F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Valor de Referência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Hematoma — frequência</w:t>
            </w:r>
          </w:p>
        </w:tc>
        <w:tc>
          <w:tcPr>
            <w:shd w:fill="FFFACD" w:val="clear"/>
          </w:tcPr>
          <w:p>
            <w:r>
              <w:t xml:space="preserve">1–8% (homens &gt; mulheres)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Principal fator de risco hematoma</w:t>
            </w:r>
          </w:p>
        </w:tc>
        <w:tc>
          <w:tcPr>
            <w:shd w:fill="FFFACD" w:val="clear"/>
          </w:tcPr>
          <w:p>
            <w:r>
              <w:t xml:space="preserve">Hipertensão arterial sistêmica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Necrose cutânea — FR principal</w:t>
            </w:r>
          </w:p>
        </w:tc>
        <w:tc>
          <w:tcPr>
            <w:shd w:fill="FFFACD" w:val="clear"/>
          </w:tcPr>
          <w:p>
            <w:r>
              <w:t xml:space="preserve">Tabagismo (RR 12×); tensão excessiva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Lesão permanente do n. facial</w:t>
            </w:r>
          </w:p>
        </w:tc>
        <w:tc>
          <w:tcPr>
            <w:shd w:fill="FFFACD" w:val="clear"/>
          </w:tcPr>
          <w:p>
            <w:r>
              <w:t xml:space="preserve">&lt; 1%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Deformidade do lóbulo ("pixie")</w:t>
            </w:r>
          </w:p>
        </w:tc>
        <w:tc>
          <w:tcPr>
            <w:shd w:fill="FFFACD" w:val="clear"/>
          </w:tcPr>
          <w:p>
            <w:r>
              <w:t xml:space="preserve">Tensão inferior; incisão incorreta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Durabilidade (deep plane)</w:t>
            </w:r>
          </w:p>
        </w:tc>
        <w:tc>
          <w:tcPr>
            <w:shd w:fill="FFFACD" w:val="clear"/>
          </w:tcPr>
          <w:p>
            <w:r>
              <w:t xml:space="preserve">8–12 anos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Durabilidade (plication)</w:t>
            </w:r>
          </w:p>
        </w:tc>
        <w:tc>
          <w:tcPr>
            <w:shd w:fill="FFFACD" w:val="clear"/>
          </w:tcPr>
          <w:p>
            <w:r>
              <w:t xml:space="preserve">5–7 anos</w:t>
            </w:r>
          </w:p>
        </w:tc>
      </w:tr>
    </w:tbl>
    <w:p>
      <w:pPr>
        <w:pStyle w:val="Heading1"/>
        <w:spacing w:before="400" w:after="120"/>
      </w:pPr>
      <w:r>
        <w:t xml:space="preserve">Referências-Base</w:t>
      </w:r>
    </w:p>
    <w:p>
      <w:pPr>
        <w:spacing w:after="100"/>
      </w:pPr>
      <w:r>
        <w:t xml:space="preserve">Neligan PC (Ed.). Plastic Surgery, 5ª Ed. Elsevier, 2023. Vol. 2, Cap. 11.</w:t>
      </w:r>
    </w:p>
    <w:p>
      <w:pPr>
        <w:spacing w:after="100"/>
      </w:pPr>
      <w:r>
        <w:t xml:space="preserve">Grotting JC, Rubin JP. Grabb &amp; Smith's Plastic Surgery, 8ª Ed. Wolters Kluwer, 2020. Cap. 32.</w:t>
      </w:r>
    </w:p>
    <w:p>
      <w:pPr>
        <w:pStyle w:val="Heading1"/>
        <w:spacing w:before="400" w:after="120"/>
      </w:pPr>
      <w:r>
        <w:t xml:space="preserve">Atualizações Incorporadas — v1.0 (2026-03-28)</w:t>
      </w:r>
    </w:p>
    <w:p>
      <w:pPr>
        <w:spacing w:after="100"/>
      </w:pPr>
      <w:r>
        <w:t xml:space="preserve">Schultz KP et al. Demystifying Deep Layer Face-Lift Techniques: Systematic Review. Plast Reconstr Surg 2026;157(4):615–620.</w:t>
      </w:r>
    </w:p>
    <w:p>
      <w:pPr>
        <w:spacing w:after="100"/>
      </w:pPr>
      <w:r>
        <w:t xml:space="preserve">Ganesh Kumar N et al. Role of Selective Neck Sutures in Face Lifts. Plast Reconstr Surg 2025;156(2):194e–197e.</w:t>
      </w:r>
    </w:p>
    <w:p>
      <w:pPr>
        <w:spacing w:after="100"/>
      </w:pPr>
      <w:r>
        <w:t xml:space="preserve">Wong CH et al. Deep Plane Face Lift in Asian Patients. Plast Reconstr Surg 2025;156(4):485e–496e.</w:t>
      </w:r>
    </w:p>
    <w:p>
      <w:pPr>
        <w:spacing w:after="100"/>
      </w:pPr>
      <w:r>
        <w:t xml:space="preserve">Timberlake AT et al. Complete Platysma Muscle Suspension in Deep-Plane Face-Lift Surgery. Plast Reconstr Surg 2025;155(4):699e–703e.</w:t>
      </w:r>
    </w:p>
    <w:p>
      <w:pPr>
        <w:spacing w:after="100"/>
      </w:pPr>
      <w:r>
        <w:t xml:space="preserve">Movassaghi K et al. The U-SMAS Lift. Plast Reconstr Surg 2025;155(4):632–636.</w:t>
      </w:r>
    </w:p>
    <w:p>
      <w:pPr>
        <w:spacing w:after="100"/>
      </w:pPr>
      <w:r>
        <w:t xml:space="preserve">Darras O et al. Local Tranexamic Acid in Facelift Surgery. Aesthet Surg J 2025;45(12):1213–1219.</w:t>
      </w:r>
    </w:p>
    <w:p>
      <w:pPr>
        <w:spacing w:after="100"/>
      </w:pPr>
      <w:r>
        <w:t xml:space="preserve">Bartow MJ, Core G. Effective Recontouring of the Neck by Complete Platysmal Transection. Aesthet Surg J 2025;45(5):448–453.</w:t>
      </w:r>
    </w:p>
    <w:p>
      <w:pPr>
        <w:spacing w:after="100"/>
      </w:pPr>
      <w:r>
        <w:t xml:space="preserve">Şibar S et al. Long-term Stability in Endoscopic Brow Lift: Systematic Review and Meta-Analysis. Aesthet Surg J 2025;45(3):232–240.</w:t>
      </w:r>
    </w:p>
    <w:p>
      <w:pPr>
        <w:spacing w:after="100"/>
      </w:pPr>
      <w:r>
        <w:t xml:space="preserve">Amiri M et al. Microfocused Ultrasound With Visualization (MFU-V): Systematic Review and Meta-Analysis. Aesthet Surg J 2025;45(3):NP86–NP94.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400" w:after="12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pPr>
      <w:spacing w:before="280" w:after="80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pPr>
      <w:spacing w:before="200" w:after="60"/>
    </w:pPr>
    <w:rPr>
      <w:b/>
      <w:bCs/>
      <w:color w:val="2E74B5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2026-03-31T21:07:24.665Z</dcterms:created>
  <dcterms:modified xsi:type="dcterms:W3CDTF">2026-03-31T21:07:24.665Z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