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3864" w:val="clear"/>
            <w:tcMar>
              <w:top w:type="dxa" w:w="400"/>
              <w:left w:type="dxa" w:w="300"/>
              <w:bottom w:type="dxa" w:w="400"/>
              <w:right w:type="dxa" w:w="300"/>
            </w:tcMar>
          </w:tcPr>
          <w:p>
            <w:pPr>
              <w:spacing w:after="160"/>
              <w:jc w:val="center"/>
            </w:pPr>
            <w:r>
              <w:rPr>
                <w:b/>
                <w:bCs/>
                <w:color w:val="FFFFFF"/>
                <w:sz w:val="52"/>
                <w:szCs w:val="52"/>
              </w:rPr>
              <w:t xml:space="preserve">10-2 — Blefaroplastia</w:t>
            </w:r>
          </w:p>
          <w:p>
            <w:pPr>
              <w:jc w:val="center"/>
            </w:pPr>
            <w:r>
              <w:rPr>
                <w:color w:val="BDD7EE"/>
                <w:sz w:val="22"/>
                <w:szCs w:val="22"/>
              </w:rPr>
              <w:t xml:space="preserve">Biblioteca Inteligente de Cirurgia Plástica</w:t>
            </w:r>
          </w:p>
        </w:tc>
      </w:tr>
    </w:tbl>
    <w:p>
      <w:pPr>
        <w:spacing w:after="80"/>
      </w:pPr>
    </w:p>
    <w:p>
      <w:pPr>
        <w:spacing w:after="80"/>
      </w:pPr>
    </w:p>
    <w:p>
      <w:pPr>
        <w:spacing w:after="100"/>
      </w:pPr>
      <w:r>
        <w:rPr>
          <w:b/>
          <w:bCs/>
        </w:rPr>
        <w:t xml:space="preserve">Autor: </w:t>
      </w:r>
      <w:r>
        <w:t xml:space="preserve">Dr. Arthur Balestra Silveira Ayres</w:t>
      </w:r>
    </w:p>
    <w:p>
      <w:pPr>
        <w:spacing w:after="100"/>
      </w:pPr>
      <w:r>
        <w:rPr>
          <w:b/>
          <w:bCs/>
        </w:rPr>
        <w:t xml:space="preserve">Programa: </w:t>
      </w:r>
      <w:r>
        <w:t xml:space="preserve">Residência em Cirurgia Plástica – UNICAMP (R2, 2025–2028)</w:t>
      </w:r>
    </w:p>
    <w:p>
      <w:pPr>
        <w:spacing w:after="100"/>
      </w:pPr>
      <w:r>
        <w:rPr>
          <w:b/>
          <w:bCs/>
        </w:rPr>
        <w:t xml:space="preserve">Versão: </w:t>
      </w:r>
      <w:r>
        <w:t xml:space="preserve">v2.0</w:t>
      </w:r>
    </w:p>
    <w:p>
      <w:pPr>
        <w:spacing w:after="100"/>
      </w:pPr>
      <w:r>
        <w:rPr>
          <w:b/>
          <w:bCs/>
        </w:rPr>
        <w:t xml:space="preserve">Data: </w:t>
      </w:r>
      <w:r>
        <w:t xml:space="preserve">2026-04-02</w:t>
      </w:r>
    </w:p>
    <w:p>
      <w:pPr>
        <w:spacing w:after="80"/>
      </w:pPr>
    </w:p>
    <w:p>
      <w:pPr>
        <w:spacing w:after="100"/>
      </w:pPr>
      <w:r>
        <w:rPr>
          <w:b/>
          <w:bCs/>
        </w:rPr>
        <w:t xml:space="preserve">Referências-Base: </w:t>
      </w:r>
      <w:r>
        <w:rPr>
          <w:i/>
          <w:iCs/>
        </w:rPr>
        <w:t xml:space="preserve">Neligan's Plastic Surgery, 5ª Ed. (2023)  |  Grabb &amp; Smith's Plastic Surgery, 8ª Ed. (2020)</w:t>
      </w:r>
    </w:p>
    <w:p>
      <w:pPr>
        <w:spacing w:after="80"/>
      </w:pPr>
    </w:p>
    <w:p>
      <w:pPr>
        <w:spacing w:after="80"/>
      </w:pPr>
    </w:p>
    <w:p>
      <w:pPr>
        <w:spacing w:before="200" w:after="100"/>
      </w:pPr>
      <w:r>
        <w:rPr>
          <w:b/>
          <w:bCs/>
          <w:sz w:val="22"/>
          <w:szCs w:val="22"/>
        </w:rPr>
        <w:t xml:space="preserve">Histórico de Atualizações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val="clear"/>
          </w:tcPr>
          <w:p>
            <w:pPr>
              <w:jc w:val="center"/>
            </w:pPr>
            <w:r>
              <w:rPr>
                <w:b/>
                <w:bCs/>
                <w:color w:val="FFFFFF"/>
              </w:rPr>
              <w:t xml:space="preserve">Versão</w:t>
            </w:r>
          </w:p>
        </w:tc>
        <w:tc>
          <w:tcPr>
            <w:shd w:fill="2E75B6" w:val="clear"/>
          </w:tcPr>
          <w:p>
            <w:pPr>
              <w:jc w:val="center"/>
            </w:pPr>
            <w:r>
              <w:rPr>
                <w:b/>
                <w:bCs/>
                <w:color w:val="FFFFFF"/>
              </w:rPr>
              <w:t xml:space="preserve">Data</w:t>
            </w:r>
          </w:p>
        </w:tc>
        <w:tc>
          <w:tcPr>
            <w:shd w:fill="2E75B6" w:val="clear"/>
          </w:tcPr>
          <w:p>
            <w:pPr>
              <w:jc w:val="center"/>
            </w:pPr>
            <w:r>
              <w:rPr>
                <w:b/>
                <w:bCs/>
                <w:color w:val="FFFFFF"/>
              </w:rPr>
              <w:t xml:space="preserve">Descrição</w:t>
            </w:r>
          </w:p>
        </w:tc>
      </w:tr>
      <w:tr>
        <w:tc>
          <w:tcPr>
            <w:shd w:fill="FFFFFF" w:val="clear"/>
          </w:tcPr>
          <w:p>
            <w:pPr>
              <w:spacing w:before="40" w:after="40"/>
            </w:pPr>
            <w:r>
              <w:t xml:space="preserve">v1.0</w:t>
            </w:r>
          </w:p>
        </w:tc>
        <w:tc>
          <w:tcPr>
            <w:shd w:fill="FFFFFF" w:val="clear"/>
          </w:tcPr>
          <w:p>
            <w:pPr>
              <w:spacing w:before="40" w:after="40"/>
            </w:pPr>
            <w:r>
              <w:t xml:space="preserve">2026-03-28</w:t>
            </w:r>
          </w:p>
        </w:tc>
        <w:tc>
          <w:tcPr>
            <w:shd w:fill="FFFFFF" w:val="clear"/>
          </w:tcPr>
          <w:p>
            <w:pPr>
              <w:spacing w:before="40" w:after="40"/>
            </w:pPr>
            <w:r>
              <w:t xml:space="preserve">Criação do documento. Base: Neligan (2023) + Grabb &amp; Smith (2020). Incorporação inicial de artigos PRS/ASJ (2020–2025).</w:t>
            </w:r>
          </w:p>
        </w:tc>
      </w:tr>
      <w:tr>
        <w:tc>
          <w:tcPr>
            <w:shd w:fill="EBF3FB" w:val="clear"/>
          </w:tcPr>
          <w:p>
            <w:pPr>
              <w:spacing w:before="40" w:after="40"/>
            </w:pPr>
            <w:r>
              <w:t xml:space="preserve">v2.0</w:t>
            </w:r>
          </w:p>
        </w:tc>
        <w:tc>
          <w:tcPr>
            <w:shd w:fill="EBF3FB" w:val="clear"/>
          </w:tcPr>
          <w:p>
            <w:pPr>
              <w:spacing w:before="40" w:after="40"/>
            </w:pPr>
            <w:r>
              <w:t xml:space="preserve">2026-04-02</w:t>
            </w:r>
          </w:p>
        </w:tc>
        <w:tc>
          <w:tcPr>
            <w:shd w:fill="EBF3FB" w:val="clear"/>
          </w:tcPr>
          <w:p>
            <w:pPr>
              <w:spacing w:before="40" w:after="40"/>
            </w:pPr>
            <w:r>
              <w:t xml:space="preserve">Reescrita completa com densidade de capítulo de referência. Conteúdo expandido de TODOS os livros-texto: Neligan 5ed vol. 2 caps. 8–9, Grabb &amp; Smith 9ed caps. 34–35, Core Procedures 2ed cap. 3, Operative Dictations caps. 8–10. Anatomia, avaliação, técnicas e complicações completamente reescritas.</w:t>
            </w:r>
          </w:p>
        </w:tc>
      </w:tr>
    </w:tbl>
    <w:p>
      <w:r>
        <w:br w:type="page"/>
      </w:r>
    </w:p>
    <w:p>
      <w:pPr>
        <w:pStyle w:val="Heading1"/>
        <w:spacing w:before="400" w:after="120"/>
      </w:pPr>
      <w:r>
        <w:t xml:space="preserve">1. Introdução</w:t>
      </w:r>
    </w:p>
    <w:p>
      <w:pPr>
        <w:spacing w:after="100"/>
      </w:pPr>
      <w:r>
        <w:t xml:space="preserve">A blefaroplastia é a cirurgia de correção do excesso de pele, músculo e/ou gordura das pálpebras superiores e inferiores. É um dos procedimentos estéticos faciais mais frequentemente realizados mundialmente e apresenta uma das mais altas taxas de satisfação quando corretamente indicada. A indicação pode ser puramente estética (rejuvenescimento periocular), funcional (dermatocálase obstrutiva com restrição do campo visual superior) ou combinada. A blefaroplastia superior é o quarto procedimento estético mais frequente nos EUA, e a inferior vem ganhando progressiva importância com o desenvolvimento de técnicas menos invasivas.</w:t>
      </w:r>
      <w:r>
        <w:rPr>
          <w:i/>
          <w:iCs/>
          <w:color w:val="808080"/>
          <w:sz w:val="18"/>
          <w:szCs w:val="18"/>
        </w:rPr>
        <w:t xml:space="preserve"> (Neligan, 2023, vol. 2, caps. 8–9)</w:t>
      </w:r>
    </w:p>
    <w:p>
      <w:pPr>
        <w:spacing w:after="100"/>
      </w:pPr>
      <w:r>
        <w:t xml:space="preserve">O entendimento anatômico detalhado da região periocular e a avaliação pré-operatória minuciosa — incluindo testes de laxidez, avaliação de ptose e função lacrimal — são pré-requisitos indispensáveis para evitar complicações potencialmente devastadoras como a cegueira por hematoma retrobulbar, o ectrópio e o lagoftalmo.</w:t>
      </w:r>
      <w:r>
        <w:rPr>
          <w:i/>
          <w:iCs/>
          <w:color w:val="808080"/>
          <w:sz w:val="18"/>
          <w:szCs w:val="18"/>
        </w:rPr>
        <w:t xml:space="preserve"> (Grabb &amp; Smith, 2024, cap. 35)</w:t>
      </w:r>
    </w:p>
    <w:p>
      <w:pPr>
        <w:pStyle w:val="Heading1"/>
        <w:spacing w:before="400" w:after="120"/>
      </w:pPr>
      <w:r>
        <w:t xml:space="preserve">2. Anatomia Cirúrgica</w:t>
      </w:r>
    </w:p>
    <w:p>
      <w:pPr>
        <w:spacing w:after="100"/>
      </w:pPr>
      <w:r>
        <w:t xml:space="preserve">A região periocular é a área anatômica mais complexa da face. A blefaroplastia segura exige conhecimento tridimensional das camadas, estruturas de suporte e relações neurovasculares. A pálpebra é dividida em lamela anterior (pele e músculo orbicular) e lamela posterior (tarso e conjuntiva), com o septo orbital como limite entre os compartimentos pré-septal e orbitário.</w:t>
      </w:r>
      <w:r>
        <w:rPr>
          <w:i/>
          <w:iCs/>
          <w:color w:val="808080"/>
          <w:sz w:val="18"/>
          <w:szCs w:val="18"/>
        </w:rPr>
        <w:t xml:space="preserve"> (Neligan, 2023, vol. 2, cap. 8)</w:t>
      </w:r>
    </w:p>
    <w:p>
      <w:pPr>
        <w:pStyle w:val="Heading2"/>
        <w:spacing w:before="280" w:after="80"/>
      </w:pPr>
      <w:r>
        <w:t xml:space="preserve">2.1 Pele Palpebral</w:t>
      </w:r>
    </w:p>
    <w:p>
      <w:pPr>
        <w:spacing w:after="100"/>
      </w:pPr>
      <w:r>
        <w:t xml:space="preserve">A pele das pálpebras é a mais fina do corpo (~0,5 mm na pálpebra superior, comparada a 2–3 mm no restante da face). Não possui gordura subcutânea significativa, permitindo que alterações nas estruturas profundas (gordura, músculo) sejam facilmente visíveis. A pele pré-tarsal é firmemente aderida ao tarso por fibras do septo, do LPS (levator palpebrae superioris) e do orbicular pré-tarsal, formando a prega palpebral superior. A pele pré-septal é mais laxa e é a principal contribuinte da dermatocálase. A marcação cirúrgica deve preservar pelo menos 20 mm de pele entre a borda ciliar e a sobrancelha (margem de segurança contra lagoftalmo).</w:t>
      </w:r>
      <w:r>
        <w:rPr>
          <w:i/>
          <w:iCs/>
          <w:color w:val="808080"/>
          <w:sz w:val="18"/>
          <w:szCs w:val="18"/>
        </w:rPr>
        <w:t xml:space="preserve"> (Neligan, 2023, vol. 2, cap. 8; Grabb &amp; Smith, 2024, cap. 35)</w:t>
      </w:r>
    </w:p>
    <w:p>
      <w:pPr>
        <w:pStyle w:val="Heading2"/>
        <w:spacing w:before="280" w:after="80"/>
      </w:pPr>
      <w:r>
        <w:t xml:space="preserve">2.2 Músculo Orbicular do Olho</w:t>
      </w:r>
    </w:p>
    <w:p>
      <w:pPr>
        <w:spacing w:after="100"/>
      </w:pPr>
      <w:r>
        <w:t xml:space="preserve">O músculo orbicular oculi é dividido em três porções: pré-tarsal, pré-septal e orbital. As porções pré-tarsal e pré-septal são responsáveis pelo piscar involuntário (pré-tarsal) e pelo fechamento reflexo e voluntário dos olhos (pré-septal e orbital). A porção orbital estende-se sobre o rebordo orbitário e é responsável pelo fechamento forçado da pálpebra. A hipertrofia do orbicular pode causar 'squinch' — fullness muscular palpebral que simula excesso de pele.</w:t>
      </w:r>
      <w:r>
        <w:rPr>
          <w:i/>
          <w:iCs/>
          <w:color w:val="808080"/>
          <w:sz w:val="18"/>
          <w:szCs w:val="18"/>
        </w:rPr>
        <w:t xml:space="preserve"> (Neligan, 2023, vol. 2, cap. 8)</w:t>
      </w:r>
    </w:p>
    <w:p>
      <w:pPr>
        <w:spacing w:after="100"/>
      </w:pPr>
      <w:r>
        <w:t xml:space="preserve">A inervação motora do orbicular provém do nervo facial (VII par craniano), ramo temporal para a porção superior e ramo zigomático para a porção inferior. O ramo temporal cruza o arco zigomático na zona perigosa — 1 cm anteriormente ao tragus — e deve ser considerado em procedimentos combinados com lifting temporal. A lesão do ramo zigomático do nervo facial pode comprometer o fechamento palpebral inferior.</w:t>
      </w:r>
      <w:r>
        <w:rPr>
          <w:i/>
          <w:iCs/>
          <w:color w:val="808080"/>
          <w:sz w:val="18"/>
          <w:szCs w:val="18"/>
        </w:rPr>
        <w:t xml:space="preserve"> (Neligan, 2023, vol. 2, cap. 8; Core Procedures, 2020, cap. 3)</w:t>
      </w:r>
    </w:p>
    <w:p>
      <w:pPr>
        <w:pStyle w:val="Heading2"/>
        <w:spacing w:before="280" w:after="80"/>
      </w:pPr>
      <w:r>
        <w:t xml:space="preserve">2.3 Septo Orbital</w:t>
      </w:r>
    </w:p>
    <w:p>
      <w:pPr>
        <w:spacing w:after="100"/>
      </w:pPr>
      <w:r>
        <w:t xml:space="preserve">O septo orbital é uma membrana fibrosa que se origina do arcus marginalis (periósteo do rebordo orbitário) e se insere na aponeurose do LPS (na pálpebra superior) e na fáscia capsulopalpebral (na pálpebra inferior). É a barreira entre os compartimentos pré-septal e intraorbitário. Na pálpebra superior, o septo funde-se com a aponeurose do LPS 2–5 mm acima da borda superior do tarso. Essa relação é clinicamente crítica: dissecar além da fusão septo-aponeurose pode lesar a aponeurose do LPS e causar ptose iatrogênica.</w:t>
      </w:r>
      <w:r>
        <w:rPr>
          <w:i/>
          <w:iCs/>
          <w:color w:val="808080"/>
          <w:sz w:val="18"/>
          <w:szCs w:val="18"/>
        </w:rPr>
        <w:t xml:space="preserve"> (Neligan, 2023, vol. 2, cap. 8)</w:t>
      </w:r>
    </w:p>
    <w:p>
      <w:pPr>
        <w:spacing w:after="100"/>
      </w:pPr>
      <w:r>
        <w:t xml:space="preserve">Na pálpebra inferior, o septo orbital funde-se com a fáscia capsulopalpebral aproximadamente 5 mm abaixo da borda inferior do tarso. A abertura do septo é o passo que permite acessar a gordura orbitária. Em asiáticos, o septo funde-se com a aponeurose do LPS em posição mais inferior, permitindo que a gordura pré-aponeurótica desça anteriormente ao tarso — essa é a base anatômica da ausência de prega palpebral ('single eyelid').</w:t>
      </w:r>
      <w:r>
        <w:rPr>
          <w:i/>
          <w:iCs/>
          <w:color w:val="808080"/>
          <w:sz w:val="18"/>
          <w:szCs w:val="18"/>
        </w:rPr>
        <w:t xml:space="preserve"> (Neligan, 2023, vol. 2, cap. 8; Grabb &amp; Smith, 2024, cap. 35)</w:t>
      </w:r>
    </w:p>
    <w:p>
      <w:pPr>
        <w:pStyle w:val="Heading2"/>
        <w:spacing w:before="280" w:after="80"/>
      </w:pPr>
      <w:r>
        <w:t xml:space="preserve">2.4 Gordura Orbitária</w:t>
      </w:r>
    </w:p>
    <w:p>
      <w:pPr>
        <w:pStyle w:val="Heading3"/>
        <w:spacing w:before="200" w:after="60"/>
      </w:pPr>
      <w:r>
        <w:t xml:space="preserve">Pálpebra Superior — 2 Compartimentos</w:t>
      </w:r>
    </w:p>
    <w:p>
      <w:pPr>
        <w:spacing w:after="100"/>
      </w:pPr>
      <w:r>
        <w:t xml:space="preserve">A gordura palpebral superior apresenta dois compartimentos: medial (nasal) e central (pré-aponeurótico). O compartimento medial contém gordura mais pálida e firme, enquanto o central é mais amarelo e lobulado. O compartimento lateral NÃO contém gordura — a estrutura que ocupa essa posição é a glândula lacrimal, que pode prolapsar simulando gordura. A ressecção inadvertida da glândula lacrimal é uma complicação devastadora que causa síndrome de olho seco permanente e grave.</w:t>
      </w:r>
      <w:r>
        <w:rPr>
          <w:i/>
          <w:iCs/>
          <w:color w:val="808080"/>
          <w:sz w:val="18"/>
          <w:szCs w:val="18"/>
        </w:rPr>
        <w:t xml:space="preserve"> (Neligan, 2023, vol. 2, cap. 8; Core Procedures, 2020, cap. 3)</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375623" w:sz="6"/>
              <w:left w:val="single" w:color="375623" w:sz="18"/>
              <w:bottom w:val="single" w:color="375623" w:sz="6"/>
              <w:right w:val="single" w:color="375623" w:sz="6"/>
            </w:tcBorders>
            <w:shd w:fill="E2EFDA" w:val="clear"/>
            <w:tcMar>
              <w:top w:type="dxa" w:w="80"/>
              <w:left w:type="dxa" w:w="140"/>
              <w:bottom w:type="dxa" w:w="80"/>
              <w:right w:type="dxa" w:w="140"/>
            </w:tcMar>
          </w:tcPr>
          <w:p>
            <w:pPr>
              <w:spacing w:before="60" w:after="60"/>
            </w:pPr>
            <w:r>
              <w:rPr>
                <w:b/>
                <w:bCs/>
                <w:color w:val="375623"/>
                <w:sz w:val="20"/>
                <w:szCs w:val="20"/>
              </w:rPr>
              <w:t xml:space="preserve">DICA PRÁTICA — Dica cirúrgica: identificando gordura vs. glândula lacrimal</w:t>
            </w:r>
          </w:p>
          <w:p>
            <w:pPr>
              <w:spacing w:before="40" w:after="40"/>
            </w:pPr>
            <w:r>
              <w:t xml:space="preserve">A gordura pré-aponeurótica medial e central é amarela, lobulada e flui livremente quando exposta.</w:t>
            </w:r>
          </w:p>
          <w:p>
            <w:pPr>
              <w:spacing w:before="40" w:after="40"/>
            </w:pPr>
            <w:r>
              <w:t xml:space="preserve">A glândula lacrimal é rosa-acinzentada, firme, lobulada com textura glandular, e está SEMPRE no compartimento lateral, posterior ao rebordo orbitário lateral.</w:t>
            </w:r>
          </w:p>
          <w:p>
            <w:pPr>
              <w:spacing w:before="40" w:after="40"/>
            </w:pPr>
            <w:r>
              <w:t xml:space="preserve">Regra prática: qualquer estrutura lateralmente ao limbo temporal com aspecto glandular NÃO deve ser ressecada. Na dúvida, reposicionar — nunca ressecar.</w:t>
            </w:r>
          </w:p>
          <w:p>
            <w:pPr>
              <w:spacing w:before="40" w:after="60"/>
            </w:pPr>
            <w:r>
              <w:rPr>
                <w:i/>
                <w:iCs/>
                <w:color w:val="808080"/>
                <w:sz w:val="18"/>
                <w:szCs w:val="18"/>
              </w:rPr>
              <w:t xml:space="preserve">Neligan, 2023, vol. 2, cap. 8</w:t>
            </w:r>
          </w:p>
        </w:tc>
      </w:tr>
    </w:tbl>
    <w:p>
      <w:pPr>
        <w:pStyle w:val="Heading3"/>
        <w:spacing w:before="200" w:after="60"/>
      </w:pPr>
      <w:r>
        <w:t xml:space="preserve">Pálpebra Inferior — 3 Compartimentos</w:t>
      </w:r>
    </w:p>
    <w:p>
      <w:pPr>
        <w:spacing w:after="100"/>
      </w:pPr>
      <w:r>
        <w:t xml:space="preserve">A gordura palpebral inferior possui três compartimentos (medial, central e lateral), separados pelo músculo oblíquo inferior. O compartimento medial localiza-se medialmente ao oblíquo inferior e é o mais frequentemente herniado, causando a 'bolsa' nasojugal. O compartimento central está sobre o oblíquo inferior. O compartimento lateral pode estar associado à glândula lacrimal prolapsada. O músculo oblíquo inferior é a referência anatômica crítica: origina-se na fossa lacrimal, cruza inferiormente ao globo em sentido póstero-lateral, e insere-se na esclera posterior. A lesão do oblíquo inferior durante ressecção de gordura é causa de diplopia, particularmente em elevação e adução.</w:t>
      </w:r>
      <w:r>
        <w:rPr>
          <w:i/>
          <w:iCs/>
          <w:color w:val="808080"/>
          <w:sz w:val="18"/>
          <w:szCs w:val="18"/>
        </w:rPr>
        <w:t xml:space="preserve"> (Neligan, 2023, vol. 2, cap. 9; Grabb &amp; Smith, 2024, cap. 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val="clear"/>
          </w:tcPr>
          <w:p>
            <w:pPr>
              <w:jc w:val="center"/>
            </w:pPr>
            <w:r>
              <w:rPr>
                <w:b/>
                <w:bCs/>
                <w:color w:val="FFFFFF"/>
              </w:rPr>
              <w:t xml:space="preserve">Compartimento</w:t>
            </w:r>
          </w:p>
        </w:tc>
        <w:tc>
          <w:tcPr>
            <w:shd w:fill="2E75B6" w:val="clear"/>
          </w:tcPr>
          <w:p>
            <w:pPr>
              <w:jc w:val="center"/>
            </w:pPr>
            <w:r>
              <w:rPr>
                <w:b/>
                <w:bCs/>
                <w:color w:val="FFFFFF"/>
              </w:rPr>
              <w:t xml:space="preserve">Localização</w:t>
            </w:r>
          </w:p>
        </w:tc>
        <w:tc>
          <w:tcPr>
            <w:shd w:fill="2E75B6" w:val="clear"/>
          </w:tcPr>
          <w:p>
            <w:pPr>
              <w:jc w:val="center"/>
            </w:pPr>
            <w:r>
              <w:rPr>
                <w:b/>
                <w:bCs/>
                <w:color w:val="FFFFFF"/>
              </w:rPr>
              <w:t xml:space="preserve">Gordura</w:t>
            </w:r>
          </w:p>
        </w:tc>
        <w:tc>
          <w:tcPr>
            <w:shd w:fill="2E75B6" w:val="clear"/>
          </w:tcPr>
          <w:p>
            <w:pPr>
              <w:jc w:val="center"/>
            </w:pPr>
            <w:r>
              <w:rPr>
                <w:b/>
                <w:bCs/>
                <w:color w:val="FFFFFF"/>
              </w:rPr>
              <w:t xml:space="preserve">Risco Cirúrgico</w:t>
            </w:r>
          </w:p>
        </w:tc>
      </w:tr>
      <w:tr>
        <w:tc>
          <w:tcPr>
            <w:shd w:fill="FFFFFF" w:val="clear"/>
          </w:tcPr>
          <w:p>
            <w:pPr>
              <w:spacing w:before="40" w:after="40"/>
            </w:pPr>
            <w:r>
              <w:t xml:space="preserve">Medial (nasal)</w:t>
            </w:r>
          </w:p>
        </w:tc>
        <w:tc>
          <w:tcPr>
            <w:shd w:fill="FFFFFF" w:val="clear"/>
          </w:tcPr>
          <w:p>
            <w:pPr>
              <w:spacing w:before="40" w:after="40"/>
            </w:pPr>
            <w:r>
              <w:t xml:space="preserve">Medial ao m. oblíquo inferior</w:t>
            </w:r>
          </w:p>
        </w:tc>
        <w:tc>
          <w:tcPr>
            <w:shd w:fill="FFFFFF" w:val="clear"/>
          </w:tcPr>
          <w:p>
            <w:pPr>
              <w:spacing w:before="40" w:after="40"/>
            </w:pPr>
            <w:r>
              <w:t xml:space="preserve">Pálida, firme; é o mais proeminente</w:t>
            </w:r>
          </w:p>
        </w:tc>
        <w:tc>
          <w:tcPr>
            <w:shd w:fill="FFFFFF" w:val="clear"/>
          </w:tcPr>
          <w:p>
            <w:pPr>
              <w:spacing w:before="40" w:after="40"/>
            </w:pPr>
            <w:r>
              <w:t xml:space="preserve">ATENÇÃO: artéria angular medialmente; oblíquo inferior lateralmente</w:t>
            </w:r>
          </w:p>
        </w:tc>
      </w:tr>
      <w:tr>
        <w:tc>
          <w:tcPr>
            <w:shd w:fill="EBF3FB" w:val="clear"/>
          </w:tcPr>
          <w:p>
            <w:pPr>
              <w:spacing w:before="40" w:after="40"/>
            </w:pPr>
            <w:r>
              <w:t xml:space="preserve">Central</w:t>
            </w:r>
          </w:p>
        </w:tc>
        <w:tc>
          <w:tcPr>
            <w:shd w:fill="EBF3FB" w:val="clear"/>
          </w:tcPr>
          <w:p>
            <w:pPr>
              <w:spacing w:before="40" w:after="40"/>
            </w:pPr>
            <w:r>
              <w:t xml:space="preserve">Sobre o m. oblíquo inferior</w:t>
            </w:r>
          </w:p>
        </w:tc>
        <w:tc>
          <w:tcPr>
            <w:shd w:fill="EBF3FB" w:val="clear"/>
          </w:tcPr>
          <w:p>
            <w:pPr>
              <w:spacing w:before="40" w:after="40"/>
            </w:pPr>
            <w:r>
              <w:t xml:space="preserve">Amarela, lobulada</w:t>
            </w:r>
          </w:p>
        </w:tc>
        <w:tc>
          <w:tcPr>
            <w:shd w:fill="EBF3FB" w:val="clear"/>
          </w:tcPr>
          <w:p>
            <w:pPr>
              <w:spacing w:before="40" w:after="40"/>
            </w:pPr>
            <w:r>
              <w:t xml:space="preserve">Oblíquo inferior é o leito do compartimento — não lesionar</w:t>
            </w:r>
          </w:p>
        </w:tc>
      </w:tr>
      <w:tr>
        <w:tc>
          <w:tcPr>
            <w:shd w:fill="FFFFFF" w:val="clear"/>
          </w:tcPr>
          <w:p>
            <w:pPr>
              <w:spacing w:before="40" w:after="40"/>
            </w:pPr>
            <w:r>
              <w:t xml:space="preserve">Lateral</w:t>
            </w:r>
          </w:p>
        </w:tc>
        <w:tc>
          <w:tcPr>
            <w:shd w:fill="FFFFFF" w:val="clear"/>
          </w:tcPr>
          <w:p>
            <w:pPr>
              <w:spacing w:before="40" w:after="40"/>
            </w:pPr>
            <w:r>
              <w:t xml:space="preserve">Lateral ao m. oblíquo inferior</w:t>
            </w:r>
          </w:p>
        </w:tc>
        <w:tc>
          <w:tcPr>
            <w:shd w:fill="FFFFFF" w:val="clear"/>
          </w:tcPr>
          <w:p>
            <w:pPr>
              <w:spacing w:before="40" w:after="40"/>
            </w:pPr>
            <w:r>
              <w:t xml:space="preserve">Pode ser escasso</w:t>
            </w:r>
          </w:p>
        </w:tc>
        <w:tc>
          <w:tcPr>
            <w:shd w:fill="FFFFFF" w:val="clear"/>
          </w:tcPr>
          <w:p>
            <w:pPr>
              <w:spacing w:before="40" w:after="40"/>
            </w:pPr>
            <w:r>
              <w:t xml:space="preserve">Glândula lacrimal pode prolapsar simulando gordura</w:t>
            </w:r>
          </w:p>
        </w:tc>
      </w:tr>
    </w:tbl>
    <w:p>
      <w:pPr>
        <w:pStyle w:val="Heading2"/>
        <w:spacing w:before="280" w:after="80"/>
      </w:pPr>
      <w:r>
        <w:t xml:space="preserve">2.5 Aparelho Elevador da Pálpebra Superior</w:t>
      </w:r>
    </w:p>
    <w:p>
      <w:pPr>
        <w:spacing w:after="100"/>
      </w:pPr>
      <w:r>
        <w:t xml:space="preserve">O complexo elevador compreende o músculo LPS (levator palpebrae superioris) e o músculo de Müller. O LPS origina-se no ápice orbitário (asa menor do esfenoide), cursa anteriormente sob o teto orbitário, e sua porção muscular transiciona em aponeurose (a 'aponeurose do levator') na região do ligamento de Whitnall — um condensado fascial que atua como fulcro e suspensor. A aponeurose insere-se na face anterior do tarso e emite fibras através do orbicular pré-tarsal até a derme, formando a prega palpebral superior.</w:t>
      </w:r>
      <w:r>
        <w:rPr>
          <w:i/>
          <w:iCs/>
          <w:color w:val="808080"/>
          <w:sz w:val="18"/>
          <w:szCs w:val="18"/>
        </w:rPr>
        <w:t xml:space="preserve"> (Neligan, 2023, vol. 2, cap. 8)</w:t>
      </w:r>
    </w:p>
    <w:p>
      <w:pPr>
        <w:spacing w:after="100"/>
      </w:pPr>
      <w:r>
        <w:t xml:space="preserve">O músculo de Müller (tarsal superior) é um músculo liso com inervação simpática que se origina na face inferior do LPS e insere-se na borda superior do tarso. Contribui com 2 mm de elevação palpebral. Sua desnervação na síndrome de Horner resulta em ptose leve (1–2 mm). A 'Müllerectomy' (ressecção conjuntivo-mülleriana) é a base da correção de ptose leve (MRD1 3–4 mm) quando o teste da fenilefrina 2,5% é positivo (elevação ≥ 1,5 mm confirma tônus simpático residual).</w:t>
      </w:r>
      <w:r>
        <w:rPr>
          <w:i/>
          <w:iCs/>
          <w:color w:val="808080"/>
          <w:sz w:val="18"/>
          <w:szCs w:val="18"/>
        </w:rPr>
        <w:t xml:space="preserve"> (Neligan, 2023, vol. 2, cap. 8; Grabb &amp; Smith, 2024, cap. 35)</w:t>
      </w:r>
    </w:p>
    <w:p>
      <w:pPr>
        <w:pStyle w:val="Heading2"/>
        <w:spacing w:before="280" w:after="80"/>
      </w:pPr>
      <w:r>
        <w:t xml:space="preserve">2.6 Retratores da Pálpebra Inferior</w:t>
      </w:r>
    </w:p>
    <w:p>
      <w:pPr>
        <w:spacing w:after="100"/>
      </w:pPr>
      <w:r>
        <w:t xml:space="preserve">O análogo do LPS na pálpebra inferior é a fáscia capsulopalpebral (retratores da pálpebra inferior). Origina-se do músculo reto inferior, envolve o oblíquo inferior (formando o ligamento de Lockwood), e insere-se na borda inferior do tarso. A fáscia capsulopalpebral é frequentemente confundida com o septo orbital durante a dissecção, e sua lesão é uma causa de ectrópio por retração da lamela posterior.</w:t>
      </w:r>
      <w:r>
        <w:rPr>
          <w:i/>
          <w:iCs/>
          <w:color w:val="808080"/>
          <w:sz w:val="18"/>
          <w:szCs w:val="18"/>
        </w:rPr>
        <w:t xml:space="preserve"> (Neligan, 2023, vol. 2, cap. 9)</w:t>
      </w:r>
    </w:p>
    <w:p>
      <w:pPr>
        <w:pStyle w:val="Heading2"/>
        <w:spacing w:before="280" w:after="80"/>
      </w:pPr>
      <w:r>
        <w:t xml:space="preserve">2.7 Tarso</w:t>
      </w:r>
    </w:p>
    <w:p>
      <w:pPr>
        <w:spacing w:after="100"/>
      </w:pPr>
      <w:r>
        <w:t xml:space="preserve">O tarso é uma placa fibrosa densa (não cartilagem) que confere rigidez à pálpebra. O tarso superior mede 10–12 mm de altura; o inferior, 3,5–5 mm. O tarso contém as glândulas de Meibomius (glândulas tarsais), que secretam o componente lipídico do filme lacrimal. Sua disfunção (meibomite) causa evaporação excessiva e olho seco. Cirurgias sobre o tarso (suturas de eversão, enxertos) devem considerar a integridade dessas glândulas.</w:t>
      </w:r>
      <w:r>
        <w:rPr>
          <w:i/>
          <w:iCs/>
          <w:color w:val="808080"/>
          <w:sz w:val="18"/>
          <w:szCs w:val="18"/>
        </w:rPr>
        <w:t xml:space="preserve"> (Neligan, 2023, vol. 2, cap. 8; Grabb &amp; Smith, 2024, cap. 35)</w:t>
      </w:r>
    </w:p>
    <w:p>
      <w:pPr>
        <w:pStyle w:val="Heading2"/>
        <w:spacing w:before="280" w:after="80"/>
      </w:pPr>
      <w:r>
        <w:t xml:space="preserve">2.8 Ligamentos Cantais</w:t>
      </w:r>
    </w:p>
    <w:p>
      <w:pPr>
        <w:spacing w:after="100"/>
      </w:pPr>
      <w:r>
        <w:t xml:space="preserve">O ligamento cantal medial tem uma porção anterior (que se insere na crista lacrimal anterior) e uma posterior (crista lacrimal posterior). A porção posterior é a mais forte e mantém a posição medial da pálpebra. O ligamento cantal lateral insere-se no tubérculo de Whitnall, localizado 2–3 mm posterior ao rebordo orbitário lateral. Laxidez do canto lateral (medida pelo distraction test &gt; 6 mm ou snap-back test positivo) é a principal causa de ectrópio pós-blefaroplastia inferior e deve ser corrigida com cantopexia ou cantoplastia lateral no mesmo tempo cirúrgico.</w:t>
      </w:r>
      <w:r>
        <w:rPr>
          <w:i/>
          <w:iCs/>
          <w:color w:val="808080"/>
          <w:sz w:val="18"/>
          <w:szCs w:val="18"/>
        </w:rPr>
        <w:t xml:space="preserve"> (Neligan, 2023, vol. 2, cap. 9; Core Procedures, 2020, cap. 3)</w:t>
      </w:r>
    </w:p>
    <w:p>
      <w:pPr>
        <w:spacing w:after="100"/>
      </w:pPr>
      <w:r>
        <w:t xml:space="preserve">Posição normal do canto lateral: 2 mm acima do canto medial (vetor positivo). Canto lateral no mesmo nível ou abaixo do medial (vetor negativo) é fator de risco para ectrópio e demanda cantopexia profilática durante blefaroplastia inferior.</w:t>
      </w:r>
      <w:r>
        <w:rPr>
          <w:i/>
          <w:iCs/>
          <w:color w:val="808080"/>
          <w:sz w:val="18"/>
          <w:szCs w:val="18"/>
        </w:rPr>
        <w:t xml:space="preserve"> (Grabb &amp; Smith, 2024, cap. 35)</w:t>
      </w:r>
    </w:p>
    <w:p>
      <w:pPr>
        <w:pStyle w:val="Heading2"/>
        <w:spacing w:before="280" w:after="80"/>
      </w:pPr>
      <w:r>
        <w:t xml:space="preserve">2.9 Vascularização Palpebral</w:t>
      </w:r>
    </w:p>
    <w:p>
      <w:pPr>
        <w:spacing w:after="100"/>
      </w:pPr>
      <w:r>
        <w:t xml:space="preserve">O suprimento arterial da pálpebra provém de dois arcos: (1) arco marginal (2 mm da margem ciliar), formado por ramos da artéria oftálmica (medial) e da artéria lacrimal (lateral); e (2) arco periférico, localizado na borda superior do tarso, entre o LPS e o músculo de Müller. A artéria angular (ramo terminal da artéria facial) ascende ao lado do nariz e conecta-se com a artéria oftálmica — essa anastomose é uma via de comunicação entre as circulações interna e externa da carótida. A veia oftálmica superior drena para o seio cavernoso; infecções perioculares podem causar trombose do seio cavernoso por essa via.</w:t>
      </w:r>
      <w:r>
        <w:rPr>
          <w:i/>
          <w:iCs/>
          <w:color w:val="808080"/>
          <w:sz w:val="18"/>
          <w:szCs w:val="18"/>
        </w:rPr>
        <w:t xml:space="preserve"> (Neligan, 2023, vol. 2, cap. 8)</w:t>
      </w:r>
    </w:p>
    <w:p>
      <w:pPr>
        <w:pStyle w:val="Heading2"/>
        <w:spacing w:before="280" w:after="80"/>
      </w:pPr>
      <w:r>
        <w:t xml:space="preserve">2.10 Inervação</w:t>
      </w:r>
    </w:p>
    <w:p>
      <w:pPr>
        <w:spacing w:after="100"/>
      </w:pPr>
      <w:r>
        <w:t xml:space="preserve">A inervação sensitiva das pálpebras é fornecida pelo trigêmeo: pálpebra superior por V1 (ramos supraorbital, supratroclear, infratroclear e lacrimal); pálpebra inferior por V2 (ramo infraorbital). O nervo supraorbital sai pelo forame supraorbital (ou incisura), na junção do terço medial com os 2/3 laterais do rebordo orbitário superior, e inerva a fronte e o escalpo ipsilateral — é frequentemente bloqueado para anestesia da pálpebra superior.</w:t>
      </w:r>
      <w:r>
        <w:rPr>
          <w:i/>
          <w:iCs/>
          <w:color w:val="808080"/>
          <w:sz w:val="18"/>
          <w:szCs w:val="18"/>
        </w:rPr>
        <w:t xml:space="preserve"> (Neligan, 2023, vol. 2, cap. 8)</w:t>
      </w:r>
    </w:p>
    <w:p>
      <w:pPr>
        <w:spacing w:after="100"/>
      </w:pPr>
      <w:r>
        <w:t xml:space="preserve">Inervação motora: o LPS é inervado pelo ramo superior do III par craniano (oculomotor). O músculo de Müller recebe inervação simpática do gânglio cervical superior. O orbicular é inervado pelo VII par (facial) — ramos temporal (porção superior) e zigomático (porção inferior). O nervo frontal (V1), ao sair do forame supraorbital, pode ser lesado em acessos à região glabelar ou durante lifting frontal endoscópico.</w:t>
      </w:r>
      <w:r>
        <w:rPr>
          <w:i/>
          <w:iCs/>
          <w:color w:val="808080"/>
          <w:sz w:val="18"/>
          <w:szCs w:val="18"/>
        </w:rPr>
        <w:t xml:space="preserve"> (Neligan, 2023, vol. 2, cap. 8; Core Procedures, 2020, cap. 3)</w:t>
      </w:r>
    </w:p>
    <w:p>
      <w:pPr>
        <w:pStyle w:val="Heading2"/>
        <w:spacing w:before="280" w:after="80"/>
      </w:pPr>
      <w:r>
        <w:t xml:space="preserve">2.11 Anatomia do Sulco Palpebro-Malar e Tear Trough</w:t>
      </w:r>
    </w:p>
    <w:p>
      <w:pPr>
        <w:spacing w:after="100"/>
      </w:pPr>
      <w:r>
        <w:t xml:space="preserve">O 'tear trough' (sulco nasojugal) é uma depressão curvilínea que se estende do canto medial em direção inferolateral, delimitada superiormente pela transição entre a gordura orbitária e a origem do orbicular, e inferiormente pela eminência malar. O sulco palpebro-malar (lid-cheek junction) é a continuação lateral do tear trough. Essas estruturas tornam-se mais pronunciadas com o envelhecimento por: (1) herniação da gordura orbitária acima do sulco, (2) perda de volume malar abaixo, e (3) laxidez do septo orbital. A correção do tear trough pode incluir reposicionamento de gordura, preenchimento (ácido hialurônico) ou lipoenxertia.</w:t>
      </w:r>
      <w:r>
        <w:rPr>
          <w:i/>
          <w:iCs/>
          <w:color w:val="808080"/>
          <w:sz w:val="18"/>
          <w:szCs w:val="18"/>
        </w:rPr>
        <w:t xml:space="preserve"> (Neligan, 2023, vol. 2, cap. 9; Grabb &amp; Smith, 2024, cap. 35)</w:t>
      </w:r>
    </w:p>
    <w:p>
      <w:pPr>
        <w:pStyle w:val="Heading2"/>
        <w:spacing w:before="280" w:after="80"/>
      </w:pPr>
      <w:r>
        <w:t xml:space="preserve">2.12 Pálpebra Asiática — Particularidades Anatômicas</w:t>
      </w:r>
    </w:p>
    <w:p>
      <w:pPr>
        <w:spacing w:after="100"/>
      </w:pPr>
      <w:r>
        <w:t xml:space="preserve">A diferença fundamental entre a pálpebra ocidental e a asiática reside na inserção da aponeurose do LPS: nos ocidentais, fibras aponeuróticas atravessam o orbicular e se inserem na derme pré-tarsal, criando a prega. Em ~50% dos asiáticos, a aponeurose funde-se com o septo orbital em posição mais inferior (próximo à borda tarsal), e a gordura pré-aponeurótica desce anteriormente ao tarso — impedindo a formação da prega e causando fullness pré-tarsal. O epicanto é uma prega de pele semilunares que cobre parcialmente o canto medial, presente em graus variáveis. Esses elementos devem ser compreendidos para cirurgias de dupla pálpebra ('double eyelid surgery').</w:t>
      </w:r>
      <w:r>
        <w:rPr>
          <w:i/>
          <w:iCs/>
          <w:color w:val="808080"/>
          <w:sz w:val="18"/>
          <w:szCs w:val="18"/>
        </w:rPr>
        <w:t xml:space="preserve"> (Neligan, 2023, vol. 2, cap. 8; Grabb &amp; Smith, 2024, cap. 35)</w:t>
      </w:r>
    </w:p>
    <w:p>
      <w:pPr>
        <w:pStyle w:val="Heading1"/>
        <w:spacing w:before="400" w:after="120"/>
      </w:pPr>
      <w:r>
        <w:t xml:space="preserve">3. Avaliação Pré-operatória</w:t>
      </w:r>
    </w:p>
    <w:p>
      <w:pPr>
        <w:spacing w:after="100"/>
      </w:pPr>
      <w:r>
        <w:t xml:space="preserve">A avaliação pré-operatória é a etapa mais importante da blefaroplastia. Determina a indicação, previne complicações, e orienta a escolha técnica. Deve ser sistemática, incluindo exame oftalmológico básico, fotografias padronizadas, e discussão de expectativas. Uma consulta com oftalmologista é recomendada para pacientes com glaucoma, olho seco, cirurgia ocular prévia (LASIK, catarata) ou queixas visuais.</w:t>
      </w:r>
      <w:r>
        <w:rPr>
          <w:i/>
          <w:iCs/>
          <w:color w:val="808080"/>
          <w:sz w:val="18"/>
          <w:szCs w:val="18"/>
        </w:rPr>
        <w:t xml:space="preserve"> (Neligan, 2023, vol. 2, caps. 8–9; Grabb &amp; Smith, 2024, cap. 35)</w:t>
      </w:r>
    </w:p>
    <w:p>
      <w:pPr>
        <w:pStyle w:val="Heading2"/>
        <w:spacing w:before="280" w:after="80"/>
      </w:pPr>
      <w:r>
        <w:t xml:space="preserve">3.1 Exame Sistemático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val="clear"/>
          </w:tcPr>
          <w:p>
            <w:pPr>
              <w:jc w:val="center"/>
            </w:pPr>
            <w:r>
              <w:rPr>
                <w:b/>
                <w:bCs/>
                <w:color w:val="FFFFFF"/>
              </w:rPr>
              <w:t xml:space="preserve">Parâmetro</w:t>
            </w:r>
          </w:p>
        </w:tc>
        <w:tc>
          <w:tcPr>
            <w:shd w:fill="2E75B6" w:val="clear"/>
          </w:tcPr>
          <w:p>
            <w:pPr>
              <w:jc w:val="center"/>
            </w:pPr>
            <w:r>
              <w:rPr>
                <w:b/>
                <w:bCs/>
                <w:color w:val="FFFFFF"/>
              </w:rPr>
              <w:t xml:space="preserve">Normal</w:t>
            </w:r>
          </w:p>
        </w:tc>
        <w:tc>
          <w:tcPr>
            <w:shd w:fill="2E75B6" w:val="clear"/>
          </w:tcPr>
          <w:p>
            <w:pPr>
              <w:jc w:val="center"/>
            </w:pPr>
            <w:r>
              <w:rPr>
                <w:b/>
                <w:bCs/>
                <w:color w:val="FFFFFF"/>
              </w:rPr>
              <w:t xml:space="preserve">Significado Clínico</w:t>
            </w:r>
          </w:p>
        </w:tc>
      </w:tr>
      <w:tr>
        <w:tc>
          <w:tcPr>
            <w:shd w:fill="FFFFFF" w:val="clear"/>
          </w:tcPr>
          <w:p>
            <w:pPr>
              <w:spacing w:before="40" w:after="40"/>
            </w:pPr>
            <w:r>
              <w:t xml:space="preserve">MRD1 (margin-reflex distance 1)</w:t>
            </w:r>
          </w:p>
        </w:tc>
        <w:tc>
          <w:tcPr>
            <w:shd w:fill="FFFFFF" w:val="clear"/>
          </w:tcPr>
          <w:p>
            <w:pPr>
              <w:spacing w:before="40" w:after="40"/>
            </w:pPr>
            <w:r>
              <w:t xml:space="preserve">4–5 mm</w:t>
            </w:r>
          </w:p>
        </w:tc>
        <w:tc>
          <w:tcPr>
            <w:shd w:fill="FFFFFF" w:val="clear"/>
          </w:tcPr>
          <w:p>
            <w:pPr>
              <w:spacing w:before="40" w:after="40"/>
            </w:pPr>
            <w:r>
              <w:t xml:space="preserve">&lt; 2 mm = ptose; causa funcional (obstrução) e estética</w:t>
            </w:r>
          </w:p>
        </w:tc>
      </w:tr>
      <w:tr>
        <w:tc>
          <w:tcPr>
            <w:shd w:fill="EBF3FB" w:val="clear"/>
          </w:tcPr>
          <w:p>
            <w:pPr>
              <w:spacing w:before="40" w:after="40"/>
            </w:pPr>
            <w:r>
              <w:t xml:space="preserve">MRD2 (margin-reflex distance 2)</w:t>
            </w:r>
          </w:p>
        </w:tc>
        <w:tc>
          <w:tcPr>
            <w:shd w:fill="EBF3FB" w:val="clear"/>
          </w:tcPr>
          <w:p>
            <w:pPr>
              <w:spacing w:before="40" w:after="40"/>
            </w:pPr>
            <w:r>
              <w:t xml:space="preserve">5 mm</w:t>
            </w:r>
          </w:p>
        </w:tc>
        <w:tc>
          <w:tcPr>
            <w:shd w:fill="EBF3FB" w:val="clear"/>
          </w:tcPr>
          <w:p>
            <w:pPr>
              <w:spacing w:before="40" w:after="40"/>
            </w:pPr>
            <w:r>
              <w:t xml:space="preserve">Margem inferior a reflexo corneal; retração se &lt; 5 mm</w:t>
            </w:r>
          </w:p>
        </w:tc>
      </w:tr>
      <w:tr>
        <w:tc>
          <w:tcPr>
            <w:shd w:fill="FFFFFF" w:val="clear"/>
          </w:tcPr>
          <w:p>
            <w:pPr>
              <w:spacing w:before="40" w:after="40"/>
            </w:pPr>
            <w:r>
              <w:t xml:space="preserve">Fissura palpebral — largura</w:t>
            </w:r>
          </w:p>
        </w:tc>
        <w:tc>
          <w:tcPr>
            <w:shd w:fill="FFFFFF" w:val="clear"/>
          </w:tcPr>
          <w:p>
            <w:pPr>
              <w:spacing w:before="40" w:after="40"/>
            </w:pPr>
            <w:r>
              <w:t xml:space="preserve">28–32 mm</w:t>
            </w:r>
          </w:p>
        </w:tc>
        <w:tc>
          <w:tcPr>
            <w:shd w:fill="FFFFFF" w:val="clear"/>
          </w:tcPr>
          <w:p>
            <w:pPr>
              <w:spacing w:before="40" w:after="40"/>
            </w:pPr>
            <w:r>
              <w:t xml:space="preserve">Varia conforme etnia; assimetria indica patologia</w:t>
            </w:r>
          </w:p>
        </w:tc>
      </w:tr>
      <w:tr>
        <w:tc>
          <w:tcPr>
            <w:shd w:fill="EBF3FB" w:val="clear"/>
          </w:tcPr>
          <w:p>
            <w:pPr>
              <w:spacing w:before="40" w:after="40"/>
            </w:pPr>
            <w:r>
              <w:t xml:space="preserve">Fissura palpebral — altura</w:t>
            </w:r>
          </w:p>
        </w:tc>
        <w:tc>
          <w:tcPr>
            <w:shd w:fill="EBF3FB" w:val="clear"/>
          </w:tcPr>
          <w:p>
            <w:pPr>
              <w:spacing w:before="40" w:after="40"/>
            </w:pPr>
            <w:r>
              <w:t xml:space="preserve">10–12 mm</w:t>
            </w:r>
          </w:p>
        </w:tc>
        <w:tc>
          <w:tcPr>
            <w:shd w:fill="EBF3FB" w:val="clear"/>
          </w:tcPr>
          <w:p>
            <w:pPr>
              <w:spacing w:before="40" w:after="40"/>
            </w:pPr>
            <w:r>
              <w:t xml:space="preserve">MRD1 + MRD2; &lt; 8 mm sugere ptose ou blefaroespasmo</w:t>
            </w:r>
          </w:p>
        </w:tc>
      </w:tr>
      <w:tr>
        <w:tc>
          <w:tcPr>
            <w:shd w:fill="FFFFFF" w:val="clear"/>
          </w:tcPr>
          <w:p>
            <w:pPr>
              <w:spacing w:before="40" w:after="40"/>
            </w:pPr>
            <w:r>
              <w:t xml:space="preserve">Prega palpebral ♀</w:t>
            </w:r>
          </w:p>
        </w:tc>
        <w:tc>
          <w:tcPr>
            <w:shd w:fill="FFFFFF" w:val="clear"/>
          </w:tcPr>
          <w:p>
            <w:pPr>
              <w:spacing w:before="40" w:after="40"/>
            </w:pPr>
            <w:r>
              <w:t xml:space="preserve">8–10 mm acima da margem</w:t>
            </w:r>
          </w:p>
        </w:tc>
        <w:tc>
          <w:tcPr>
            <w:shd w:fill="FFFFFF" w:val="clear"/>
          </w:tcPr>
          <w:p>
            <w:pPr>
              <w:spacing w:before="40" w:after="40"/>
            </w:pPr>
            <w:r>
              <w:t xml:space="preserve">Ponto de marcação da incisão inferior</w:t>
            </w:r>
          </w:p>
        </w:tc>
      </w:tr>
      <w:tr>
        <w:tc>
          <w:tcPr>
            <w:shd w:fill="EBF3FB" w:val="clear"/>
          </w:tcPr>
          <w:p>
            <w:pPr>
              <w:spacing w:before="40" w:after="40"/>
            </w:pPr>
            <w:r>
              <w:t xml:space="preserve">Prega palpebral ♂</w:t>
            </w:r>
          </w:p>
        </w:tc>
        <w:tc>
          <w:tcPr>
            <w:shd w:fill="EBF3FB" w:val="clear"/>
          </w:tcPr>
          <w:p>
            <w:pPr>
              <w:spacing w:before="40" w:after="40"/>
            </w:pPr>
            <w:r>
              <w:t xml:space="preserve">7–8 mm acima da margem</w:t>
            </w:r>
          </w:p>
        </w:tc>
        <w:tc>
          <w:tcPr>
            <w:shd w:fill="EBF3FB" w:val="clear"/>
          </w:tcPr>
          <w:p>
            <w:pPr>
              <w:spacing w:before="40" w:after="40"/>
            </w:pPr>
            <w:r>
              <w:t xml:space="preserve">Marcação mais baixa evita aparência feminizada</w:t>
            </w:r>
          </w:p>
        </w:tc>
      </w:tr>
      <w:tr>
        <w:tc>
          <w:tcPr>
            <w:shd w:fill="FFFFFF" w:val="clear"/>
          </w:tcPr>
          <w:p>
            <w:pPr>
              <w:spacing w:before="40" w:after="40"/>
            </w:pPr>
            <w:r>
              <w:t xml:space="preserve">Distância sobrancelha-margem</w:t>
            </w:r>
          </w:p>
        </w:tc>
        <w:tc>
          <w:tcPr>
            <w:shd w:fill="FFFFFF" w:val="clear"/>
          </w:tcPr>
          <w:p>
            <w:pPr>
              <w:spacing w:before="40" w:after="40"/>
            </w:pPr>
            <w:r>
              <w:t xml:space="preserve">≥ 25 mm</w:t>
            </w:r>
          </w:p>
        </w:tc>
        <w:tc>
          <w:tcPr>
            <w:shd w:fill="FFFFFF" w:val="clear"/>
          </w:tcPr>
          <w:p>
            <w:pPr>
              <w:spacing w:before="40" w:after="40"/>
            </w:pPr>
            <w:r>
              <w:t xml:space="preserve">&lt; 25 mm sugere ptose de sobrancelha contribuindo (pseudo-dermatocálase)</w:t>
            </w:r>
          </w:p>
        </w:tc>
      </w:tr>
      <w:tr>
        <w:tc>
          <w:tcPr>
            <w:shd w:fill="EBF3FB" w:val="clear"/>
          </w:tcPr>
          <w:p>
            <w:pPr>
              <w:spacing w:before="40" w:after="40"/>
            </w:pPr>
            <w:r>
              <w:t xml:space="preserve">Teste de Schirmer</w:t>
            </w:r>
          </w:p>
        </w:tc>
        <w:tc>
          <w:tcPr>
            <w:shd w:fill="EBF3FB" w:val="clear"/>
          </w:tcPr>
          <w:p>
            <w:pPr>
              <w:spacing w:before="40" w:after="40"/>
            </w:pPr>
            <w:r>
              <w:t xml:space="preserve">≥ 10 mm / 5 min</w:t>
            </w:r>
          </w:p>
        </w:tc>
        <w:tc>
          <w:tcPr>
            <w:shd w:fill="EBF3FB" w:val="clear"/>
          </w:tcPr>
          <w:p>
            <w:pPr>
              <w:spacing w:before="40" w:after="40"/>
            </w:pPr>
            <w:r>
              <w:t xml:space="preserve">&lt; 5 mm = olho seco grave (contraindicação relativa)</w:t>
            </w:r>
          </w:p>
        </w:tc>
      </w:tr>
      <w:tr>
        <w:tc>
          <w:tcPr>
            <w:shd w:fill="FFFFFF" w:val="clear"/>
          </w:tcPr>
          <w:p>
            <w:pPr>
              <w:spacing w:before="40" w:after="40"/>
            </w:pPr>
            <w:r>
              <w:t xml:space="preserve">Snap-back test</w:t>
            </w:r>
          </w:p>
        </w:tc>
        <w:tc>
          <w:tcPr>
            <w:shd w:fill="FFFFFF" w:val="clear"/>
          </w:tcPr>
          <w:p>
            <w:pPr>
              <w:spacing w:before="40" w:after="40"/>
            </w:pPr>
            <w:r>
              <w:t xml:space="preserve">Retorno imediato</w:t>
            </w:r>
          </w:p>
        </w:tc>
        <w:tc>
          <w:tcPr>
            <w:shd w:fill="FFFFFF" w:val="clear"/>
          </w:tcPr>
          <w:p>
            <w:pPr>
              <w:spacing w:before="40" w:after="40"/>
            </w:pPr>
            <w:r>
              <w:t xml:space="preserve">Retorno lento (&gt; 1 s) indica laxidez horizontal → cantopexia</w:t>
            </w:r>
          </w:p>
        </w:tc>
      </w:tr>
      <w:tr>
        <w:tc>
          <w:tcPr>
            <w:shd w:fill="EBF3FB" w:val="clear"/>
          </w:tcPr>
          <w:p>
            <w:pPr>
              <w:spacing w:before="40" w:after="40"/>
            </w:pPr>
            <w:r>
              <w:t xml:space="preserve">Distraction test</w:t>
            </w:r>
          </w:p>
        </w:tc>
        <w:tc>
          <w:tcPr>
            <w:shd w:fill="EBF3FB" w:val="clear"/>
          </w:tcPr>
          <w:p>
            <w:pPr>
              <w:spacing w:before="40" w:after="40"/>
            </w:pPr>
            <w:r>
              <w:t xml:space="preserve">&lt; 6 mm</w:t>
            </w:r>
          </w:p>
        </w:tc>
        <w:tc>
          <w:tcPr>
            <w:shd w:fill="EBF3FB" w:val="clear"/>
          </w:tcPr>
          <w:p>
            <w:pPr>
              <w:spacing w:before="40" w:after="40"/>
            </w:pPr>
            <w:r>
              <w:t xml:space="preserve">≥ 6 mm = laxidez horizontal significativa → cantoplastia</w:t>
            </w:r>
          </w:p>
        </w:tc>
      </w:tr>
      <w:tr>
        <w:tc>
          <w:tcPr>
            <w:shd w:fill="FFFFFF" w:val="clear"/>
          </w:tcPr>
          <w:p>
            <w:pPr>
              <w:spacing w:before="40" w:after="40"/>
            </w:pPr>
            <w:r>
              <w:t xml:space="preserve">Exoftalmometria</w:t>
            </w:r>
          </w:p>
        </w:tc>
        <w:tc>
          <w:tcPr>
            <w:shd w:fill="FFFFFF" w:val="clear"/>
          </w:tcPr>
          <w:p>
            <w:pPr>
              <w:spacing w:before="40" w:after="40"/>
            </w:pPr>
            <w:r>
              <w:t xml:space="preserve">&lt; 20 mm</w:t>
            </w:r>
          </w:p>
        </w:tc>
        <w:tc>
          <w:tcPr>
            <w:shd w:fill="FFFFFF" w:val="clear"/>
          </w:tcPr>
          <w:p>
            <w:pPr>
              <w:spacing w:before="40" w:after="40"/>
            </w:pPr>
            <w:r>
              <w:t xml:space="preserve">&gt; 20 mm (proptose); risco de complicações → investigar</w:t>
            </w:r>
          </w:p>
        </w:tc>
      </w:tr>
      <w:tr>
        <w:tc>
          <w:tcPr>
            <w:shd w:fill="EBF3FB" w:val="clear"/>
          </w:tcPr>
          <w:p>
            <w:pPr>
              <w:spacing w:before="40" w:after="40"/>
            </w:pPr>
            <w:r>
              <w:t xml:space="preserve">Bell phenomenon</w:t>
            </w:r>
          </w:p>
        </w:tc>
        <w:tc>
          <w:tcPr>
            <w:shd w:fill="EBF3FB" w:val="clear"/>
          </w:tcPr>
          <w:p>
            <w:pPr>
              <w:spacing w:before="40" w:after="40"/>
            </w:pPr>
            <w:r>
              <w:t xml:space="preserve">Presente (uprolling)</w:t>
            </w:r>
          </w:p>
        </w:tc>
        <w:tc>
          <w:tcPr>
            <w:shd w:fill="EBF3FB" w:val="clear"/>
          </w:tcPr>
          <w:p>
            <w:pPr>
              <w:spacing w:before="40" w:after="40"/>
            </w:pPr>
            <w:r>
              <w:t xml:space="preserve">Ausente = risco grave de exposição corneal; cuidado redobrado</w:t>
            </w:r>
          </w:p>
        </w:tc>
      </w:tr>
      <w:tr>
        <w:tc>
          <w:tcPr>
            <w:shd w:fill="FFFFFF" w:val="clear"/>
          </w:tcPr>
          <w:p>
            <w:pPr>
              <w:spacing w:before="40" w:after="40"/>
            </w:pPr>
            <w:r>
              <w:t xml:space="preserve">Teste da fenilefrina 2,5%</w:t>
            </w:r>
          </w:p>
        </w:tc>
        <w:tc>
          <w:tcPr>
            <w:shd w:fill="FFFFFF" w:val="clear"/>
          </w:tcPr>
          <w:p>
            <w:pPr>
              <w:spacing w:before="40" w:after="40"/>
            </w:pPr>
            <w:r>
              <w:t xml:space="preserve">Avaliação de ptose</w:t>
            </w:r>
          </w:p>
        </w:tc>
        <w:tc>
          <w:tcPr>
            <w:shd w:fill="FFFFFF" w:val="clear"/>
          </w:tcPr>
          <w:p>
            <w:pPr>
              <w:spacing w:before="40" w:after="40"/>
            </w:pPr>
            <w:r>
              <w:t xml:space="preserve">Elevação ≥ 1,5 mm sugere tônus simpático residual (candidato a Müllerectomy)</w:t>
            </w:r>
          </w:p>
        </w:tc>
      </w:tr>
    </w:tbl>
    <w:p>
      <w:pPr>
        <w:pStyle w:val="Heading2"/>
        <w:spacing w:before="280" w:after="80"/>
      </w:pPr>
      <w:r>
        <w:t xml:space="preserve">3.2 Diagnóstico Diferencial da 'Pálpebra Pesada'</w:t>
      </w:r>
    </w:p>
    <w:p>
      <w:pPr>
        <w:spacing w:after="100"/>
      </w:pPr>
      <w:r>
        <w:t xml:space="preserve">Antes de indicar blefaroplastia, é essencial distinguir: (1) dermatocálase verdadeira (excesso de pele redundante); (2) ptose do supercílio (pseudo-dermatocálase — a sobrancelha caída empurra a pele para baixo; a correção é brow lift, não blefaroplastia); (3) ptose palpebral (queda da margem por insuficiência do LPS — a correção é ptoseplastia); (4) herniação de gordura (bolsas sem excesso de pele significativo — pode ser tratada com ressecção isolada de gordura por via transconjuntival). O erro mais comum é realizar blefaroplastia superior em paciente com ptose de sobrancelha, resultando em aparência pior e relação sobrancelha-margem inadequada.</w:t>
      </w:r>
      <w:r>
        <w:rPr>
          <w:i/>
          <w:iCs/>
          <w:color w:val="808080"/>
          <w:sz w:val="18"/>
          <w:szCs w:val="18"/>
        </w:rPr>
        <w:t xml:space="preserve"> (Neligan, 2023, vol. 2, cap. 8; Grabb &amp; Smith, 2024, cap. 35)</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375623" w:sz="6"/>
              <w:left w:val="single" w:color="375623" w:sz="18"/>
              <w:bottom w:val="single" w:color="375623" w:sz="6"/>
              <w:right w:val="single" w:color="375623" w:sz="6"/>
            </w:tcBorders>
            <w:shd w:fill="E2EFDA" w:val="clear"/>
            <w:tcMar>
              <w:top w:type="dxa" w:w="80"/>
              <w:left w:type="dxa" w:w="140"/>
              <w:bottom w:type="dxa" w:w="80"/>
              <w:right w:type="dxa" w:w="140"/>
            </w:tcMar>
          </w:tcPr>
          <w:p>
            <w:pPr>
              <w:spacing w:before="60" w:after="60"/>
            </w:pPr>
            <w:r>
              <w:rPr>
                <w:b/>
                <w:bCs/>
                <w:color w:val="375623"/>
                <w:sz w:val="20"/>
                <w:szCs w:val="20"/>
              </w:rPr>
              <w:t xml:space="preserve">DICA PRÁTICA — Dica clínica: teste da sobrancelha elevada</w:t>
            </w:r>
          </w:p>
          <w:p>
            <w:pPr>
              <w:spacing w:before="40" w:after="40"/>
            </w:pPr>
            <w:r>
              <w:t xml:space="preserve">Com o paciente sentado e relaxado, elevar manualmente as sobrancelhas à posição ideal e reavaliar a pálpebra.</w:t>
            </w:r>
          </w:p>
          <w:p>
            <w:pPr>
              <w:spacing w:before="40" w:after="40"/>
            </w:pPr>
            <w:r>
              <w:t xml:space="preserve">Se o excesso de pele desaparece com a elevação do supercílio → ptose de sobrancelha (indicar brow lift).</w:t>
            </w:r>
          </w:p>
          <w:p>
            <w:pPr>
              <w:spacing w:before="40" w:after="40"/>
            </w:pPr>
            <w:r>
              <w:t xml:space="preserve">Se o excesso de pele persiste mesmo com sobrancelha elevada → dermatocálase verdadeira (indicar blefaroplastia).</w:t>
            </w:r>
          </w:p>
          <w:p>
            <w:pPr>
              <w:spacing w:before="40" w:after="40"/>
            </w:pPr>
            <w:r>
              <w:t xml:space="preserve">Muitos pacientes necessitam procedimento combinado (brow lift + blefaroplastia).</w:t>
            </w:r>
          </w:p>
          <w:p>
            <w:pPr>
              <w:spacing w:before="40" w:after="60"/>
            </w:pPr>
            <w:r>
              <w:rPr>
                <w:i/>
                <w:iCs/>
                <w:color w:val="808080"/>
                <w:sz w:val="18"/>
                <w:szCs w:val="18"/>
              </w:rPr>
              <w:t xml:space="preserve">Neligan, 2023, vol. 2, cap. 8</w:t>
            </w:r>
          </w:p>
        </w:tc>
      </w:tr>
    </w:tbl>
    <w:p>
      <w:pPr>
        <w:pStyle w:val="Heading2"/>
        <w:spacing w:before="280" w:after="80"/>
      </w:pPr>
      <w:r>
        <w:t xml:space="preserve">3.3 Avaliação de Ptose</w:t>
      </w:r>
    </w:p>
    <w:p>
      <w:pPr>
        <w:spacing w:after="100"/>
      </w:pPr>
      <w:r>
        <w:t xml:space="preserve">A ptose (MRD1 &lt; 2 mm) deve ser avaliada em todos os candidatos a blefaroplastia. Classificação: ptose leve (MRD1 2–3 mm), moderada (MRD1 0–1 mm) e grave (MRD1 &lt; 0 mm, margem abaixo do centro pupilar). A função do LPS é medida pela excursão do levator (da infraversão máxima à supraversão máxima bloqueando o frontal): ≥ 12 mm = boa (aponeurótica), 5–11 mm = moderada, &lt; 5 mm = pobre (miogênica).</w:t>
      </w:r>
      <w:r>
        <w:rPr>
          <w:i/>
          <w:iCs/>
          <w:color w:val="808080"/>
          <w:sz w:val="18"/>
          <w:szCs w:val="18"/>
        </w:rPr>
        <w:t xml:space="preserve"> (Neligan, 2023, vol. 2, cap. 8; Core Procedures, 2020, cap. 3)</w:t>
      </w:r>
    </w:p>
    <w:p>
      <w:pPr>
        <w:spacing w:after="100"/>
      </w:pPr>
      <w:r>
        <w:t xml:space="preserve">Lei de Hering: correção de ptose unilateral pode desmascarar ptose contralateral latente. Mecanismo: quando um levator está fraco, o estímulo simpático para elevação é bilateral — o lado normal recebe drive excessivo (retração compensatória). Ao corrigir o lado ptótico, o drive bilateral diminui e o lado 'normal' cai. SEMPRE testar ocluindo o olho ptótico e observando o contralateral por 2 minutos. Se cair, planejar correção bilateral.</w:t>
      </w:r>
      <w:r>
        <w:rPr>
          <w:i/>
          <w:iCs/>
          <w:color w:val="808080"/>
          <w:sz w:val="18"/>
          <w:szCs w:val="18"/>
        </w:rPr>
        <w:t xml:space="preserve"> (Neligan, 2023, vol. 2, cap. 8; Grabb &amp; Smith, 2024, cap. 35)</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2E75B6" w:sz="6"/>
              <w:left w:val="single" w:color="2E75B6" w:sz="18"/>
              <w:bottom w:val="single" w:color="2E75B6" w:sz="6"/>
              <w:right w:val="single" w:color="2E75B6" w:sz="6"/>
            </w:tcBorders>
            <w:shd w:fill="D9E1F2" w:val="clear"/>
            <w:tcMar>
              <w:top w:type="dxa" w:w="80"/>
              <w:left w:type="dxa" w:w="140"/>
              <w:bottom w:type="dxa" w:w="80"/>
              <w:right w:type="dxa" w:w="140"/>
            </w:tcMar>
          </w:tcPr>
          <w:p>
            <w:pPr>
              <w:spacing w:before="60" w:after="60"/>
            </w:pPr>
            <w:r>
              <w:rPr>
                <w:b/>
                <w:bCs/>
                <w:color w:val="2E75B6"/>
                <w:sz w:val="20"/>
                <w:szCs w:val="20"/>
              </w:rPr>
              <w:t xml:space="preserve">NOVA EVIDÊNCIA — Correção estética de ptose leve — balanceando a lei de Hering</w:t>
            </w:r>
          </w:p>
          <w:p>
            <w:pPr>
              <w:spacing w:before="40" w:after="40"/>
            </w:pPr>
            <w:r>
              <w:t xml:space="preserve">Li X et al. (2025): análise de 68 pacientes com ptose leve unilateral. Estratégia de correção graduada com avaliação pré-operatória da lei de Hering reduz a incidência de ptose contralateral desmascarada de 22% para 7%.</w:t>
            </w:r>
          </w:p>
          <w:p>
            <w:pPr>
              <w:spacing w:before="40" w:after="40"/>
            </w:pPr>
            <w:r>
              <w:t xml:space="preserve">Protocolo: ocluir o olho ptótico por 2 min, medir MRD1 contralateral. Se queda &gt; 1 mm → planejar correção bilateral escalonada.</w:t>
            </w:r>
          </w:p>
          <w:p>
            <w:pPr>
              <w:spacing w:before="40" w:after="60"/>
            </w:pPr>
            <w:r>
              <w:rPr>
                <w:i/>
                <w:iCs/>
                <w:color w:val="808080"/>
                <w:sz w:val="18"/>
                <w:szCs w:val="18"/>
              </w:rPr>
              <w:t xml:space="preserve">Li X et al. Plast Reconstr Surg 2026;157(1):38e–48e. DOI: 10.1097/PRS.0000000000012230</w:t>
            </w:r>
          </w:p>
        </w:tc>
      </w:tr>
    </w:tbl>
    <w:p>
      <w:pPr>
        <w:pStyle w:val="Heading2"/>
        <w:spacing w:before="280" w:after="80"/>
      </w:pPr>
      <w:r>
        <w:t xml:space="preserve">3.4 Vetor Orbitário (Negative Vector)</w:t>
      </w:r>
    </w:p>
    <w:p>
      <w:pPr>
        <w:spacing w:after="100"/>
      </w:pPr>
      <w:r>
        <w:t xml:space="preserve">O 'vetor orbitário' descreve a relação anteroposterior entre a borda orbitária inferior e a córnea. Vetor positivo: o rebordo infraorbitário é anterior à córnea (proteção natural). Vetor neutro: alinhados. Vetor negativo: a córnea é anterior ao rebordo (o globo é mais proeminente que a borda óssea). Pacientes com vetor negativo têm maior risco de ectrópio, scleral show e complicações em blefaroplastia inferior. A avaliação é feita em perfil: uma linha reta da córnea ao ponto mais proeminente da bochecha. Se o globo ultrapassa essa linha, é vetor negativo.</w:t>
      </w:r>
      <w:r>
        <w:rPr>
          <w:i/>
          <w:iCs/>
          <w:color w:val="808080"/>
          <w:sz w:val="18"/>
          <w:szCs w:val="18"/>
        </w:rPr>
        <w:t xml:space="preserve"> (Neligan, 2023, vol. 2, cap. 9; Grabb &amp; Smith, 2024, cap. 35)</w:t>
      </w:r>
    </w:p>
    <w:p>
      <w:pPr>
        <w:pStyle w:val="Heading1"/>
        <w:spacing w:before="400" w:after="120"/>
      </w:pPr>
      <w:r>
        <w:t xml:space="preserve">4. Técnicas Cirúrgicas</w:t>
      </w:r>
    </w:p>
    <w:p>
      <w:pPr>
        <w:pStyle w:val="Heading2"/>
        <w:spacing w:before="280" w:after="80"/>
      </w:pPr>
      <w:r>
        <w:t xml:space="preserve">4.1 Blefaroplastia Superior</w:t>
      </w:r>
    </w:p>
    <w:p>
      <w:pPr>
        <w:pStyle w:val="Heading3"/>
        <w:spacing w:before="200" w:after="60"/>
      </w:pPr>
      <w:r>
        <w:t xml:space="preserve">Marcação</w:t>
      </w:r>
    </w:p>
    <w:p>
      <w:pPr>
        <w:spacing w:after="100"/>
      </w:pPr>
      <w:r>
        <w:t xml:space="preserve">Paciente sentado, olhos abertos, em repouso, sem contração do frontal. A marca inferior segue a prega palpebral natural (ou onde se deseja criá-la): 8–10 mm da margem ciliar em mulheres, 7–8 mm em homens. Medialmente, a marca começa acima ou lateral ao ponto lacrimal (não ultrapassar medialmente — risco de web cicatricial epicantal). Lateralmente, estende-se até o canto lateral ou ligeiramente além, angulando superiormente para seguir um sulco natural ('crow's foot').</w:t>
      </w:r>
      <w:r>
        <w:rPr>
          <w:i/>
          <w:iCs/>
          <w:color w:val="808080"/>
          <w:sz w:val="18"/>
          <w:szCs w:val="18"/>
        </w:rPr>
        <w:t xml:space="preserve"> (Neligan, 2023, vol. 2, cap. 8; Operative Dictations, 2017, cap. 8)</w:t>
      </w:r>
    </w:p>
    <w:p>
      <w:pPr>
        <w:spacing w:after="100"/>
      </w:pPr>
      <w:r>
        <w:t xml:space="preserve">A marca superior é determinada pelo pinch test: a pele é pinçada com pinça e a marca é colocada onde o orbicular subjacente começa a ser visível. A regra de segurança é manter ≥ 20 mm entre a margem ciliar e a borda inferior da sobrancelha após a ressecção. Se &lt; 20 mm → considerar que parte do excesso é contribuição da ptose de sobrancelha, e o paciente necessita brow lift associado.</w:t>
      </w:r>
      <w:r>
        <w:rPr>
          <w:i/>
          <w:iCs/>
          <w:color w:val="808080"/>
          <w:sz w:val="18"/>
          <w:szCs w:val="18"/>
        </w:rPr>
        <w:t xml:space="preserve"> (Neligan, 2023, vol. 2, cap. 8; Core Procedures, 2020, cap. 3)</w:t>
      </w:r>
    </w:p>
    <w:p>
      <w:pPr>
        <w:pStyle w:val="Heading3"/>
        <w:spacing w:before="200" w:after="60"/>
      </w:pPr>
      <w:r>
        <w:t xml:space="preserve">Técnica Operatória</w:t>
      </w:r>
    </w:p>
    <w:p>
      <w:pPr>
        <w:spacing w:after="100"/>
      </w:pPr>
      <w:r>
        <w:t xml:space="preserve">Anestesia: infiltração local com lidocaína 2% + epinefrina 1:100.000. Aguardar 7–10 min para hemostasia. Incisão com lâmina 15 ou bisturi de radiofrequência (eletrocautério monopolar pode causar necrose cutânea se não usado com cuidado). Excisão da faixa de pele com ou sem faixa de orbicular pré-septal. A ressecção de músculo melhora a definição da prega mas aumenta edema inicial.</w:t>
      </w:r>
      <w:r>
        <w:rPr>
          <w:i/>
          <w:iCs/>
          <w:color w:val="808080"/>
          <w:sz w:val="18"/>
          <w:szCs w:val="18"/>
        </w:rPr>
        <w:t xml:space="preserve"> (Neligan, 2023, vol. 2, cap. 8; Operative Dictations, 2017, cap. 8)</w:t>
      </w:r>
    </w:p>
    <w:p>
      <w:pPr>
        <w:spacing w:after="100"/>
      </w:pPr>
      <w:r>
        <w:t xml:space="preserve">Se há herniação de gordura: abrir o septo orbital com tesoura de Westcott. Identificar a gordura pré-aponeurótica medial (pálida) e central (amarela). Exercer pressão gentil sobre o globo para prolapsar a gordura. Ressecção conservadora com cautério bipolar para hemostasia. NUNCA tracionar gordura — risco de hemorragia retrobulbar por avulsão de vasos profundos. A gordura é cauterizada e seccionada, e o coto retrai-se espontaneamente para a órbita.</w:t>
      </w:r>
      <w:r>
        <w:rPr>
          <w:i/>
          <w:iCs/>
          <w:color w:val="808080"/>
          <w:sz w:val="18"/>
          <w:szCs w:val="18"/>
        </w:rPr>
        <w:t xml:space="preserve"> (Neligan, 2023, vol. 2, cap. 8; Core Procedures, 2020, cap. 3)</w:t>
      </w:r>
    </w:p>
    <w:p>
      <w:pPr>
        <w:spacing w:after="100"/>
      </w:pPr>
      <w:r>
        <w:t xml:space="preserve">Fechamento: sutura contínua ou pontos separados com nylon 6-0 ou prolene 6-0. Retirada de sutura em 5–7 dias. Não há consenso sobre a necessidade de curativo compressivo, mas compressas geladas nas primeiras 48 h reduzem edema e equimose.</w:t>
      </w:r>
      <w:r>
        <w:rPr>
          <w:i/>
          <w:iCs/>
          <w:color w:val="808080"/>
          <w:sz w:val="18"/>
          <w:szCs w:val="18"/>
        </w:rPr>
        <w:t xml:space="preserve"> (Operative Dictations, 2017, cap. 8)</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2E75B6" w:sz="6"/>
              <w:left w:val="single" w:color="2E75B6" w:sz="18"/>
              <w:bottom w:val="single" w:color="2E75B6" w:sz="6"/>
              <w:right w:val="single" w:color="2E75B6" w:sz="6"/>
            </w:tcBorders>
            <w:shd w:fill="D9E1F2" w:val="clear"/>
            <w:tcMar>
              <w:top w:type="dxa" w:w="80"/>
              <w:left w:type="dxa" w:w="140"/>
              <w:bottom w:type="dxa" w:w="80"/>
              <w:right w:type="dxa" w:w="140"/>
            </w:tcMar>
          </w:tcPr>
          <w:p>
            <w:pPr>
              <w:spacing w:before="60" w:after="60"/>
            </w:pPr>
            <w:r>
              <w:rPr>
                <w:b/>
                <w:bCs/>
                <w:color w:val="2E75B6"/>
                <w:sz w:val="20"/>
                <w:szCs w:val="20"/>
              </w:rPr>
              <w:t xml:space="preserve">NOVA EVIDÊNCIA — Prática atual em blefaroplastia — análise de 15 anos de dados do ABPS</w:t>
            </w:r>
          </w:p>
          <w:p>
            <w:pPr>
              <w:spacing w:before="40" w:after="40"/>
            </w:pPr>
            <w:r>
              <w:t xml:space="preserve">Revisão de 15 anos de dados de certificação do American Board of Plastic Surgery (Stein et al., 2025): blefaroplastia superior aumentou 42% em volume.</w:t>
            </w:r>
          </w:p>
          <w:p>
            <w:pPr>
              <w:spacing w:before="40" w:after="40"/>
            </w:pPr>
            <w:r>
              <w:t xml:space="preserve">Lower blepharoplasty transconjuntival superou a transcutânea em frequência.</w:t>
            </w:r>
          </w:p>
          <w:p>
            <w:pPr>
              <w:spacing w:before="40" w:after="40"/>
            </w:pPr>
            <w:r>
              <w:t xml:space="preserve">Cantopexia lateral passou a ser realizada em 68% das blefaroplastias inferiores, refletindo mudança de paradigma em relação à laxidez horizontal.</w:t>
            </w:r>
          </w:p>
          <w:p>
            <w:pPr>
              <w:spacing w:before="40" w:after="60"/>
            </w:pPr>
            <w:r>
              <w:rPr>
                <w:i/>
                <w:iCs/>
                <w:color w:val="808080"/>
                <w:sz w:val="18"/>
                <w:szCs w:val="18"/>
              </w:rPr>
              <w:t xml:space="preserve">Stein MJ et al. Plast Reconstr Surg 2025;155(5):895–901. DOI: 10.1097/PRS.0000000000011843</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2E75B6" w:sz="6"/>
              <w:left w:val="single" w:color="2E75B6" w:sz="18"/>
              <w:bottom w:val="single" w:color="2E75B6" w:sz="6"/>
              <w:right w:val="single" w:color="2E75B6" w:sz="6"/>
            </w:tcBorders>
            <w:shd w:fill="D9E1F2" w:val="clear"/>
            <w:tcMar>
              <w:top w:type="dxa" w:w="80"/>
              <w:left w:type="dxa" w:w="140"/>
              <w:bottom w:type="dxa" w:w="80"/>
              <w:right w:type="dxa" w:w="140"/>
            </w:tcMar>
          </w:tcPr>
          <w:p>
            <w:pPr>
              <w:spacing w:before="60" w:after="60"/>
            </w:pPr>
            <w:r>
              <w:rPr>
                <w:b/>
                <w:bCs/>
                <w:color w:val="2E75B6"/>
                <w:sz w:val="20"/>
                <w:szCs w:val="20"/>
              </w:rPr>
              <w:t xml:space="preserve">NOVA EVIDÊNCIA — Correção de retração palpebral superior pós-blefaroplastia com AlloDerm</w:t>
            </w:r>
          </w:p>
          <w:p>
            <w:pPr>
              <w:spacing w:before="40" w:after="40"/>
            </w:pPr>
            <w:r>
              <w:t xml:space="preserve">Park NS et al. (2025): técnica de alongamento precoce da aponeurose do LPS com AlloDerm para correção de retração palpebral após blefaroplastia cosmética.</w:t>
            </w:r>
          </w:p>
          <w:p>
            <w:pPr>
              <w:spacing w:before="40" w:after="40"/>
            </w:pPr>
            <w:r>
              <w:t xml:space="preserve">Série de 12 pacientes: MRD1 melhorou de 5,8 mm para 4,1 mm em 6 meses.</w:t>
            </w:r>
          </w:p>
          <w:p>
            <w:pPr>
              <w:spacing w:before="40" w:after="40"/>
            </w:pPr>
            <w:r>
              <w:t xml:space="preserve">Indicação: retração detectada no PO imediato ou primeiras semanas (intervenção precoce tem melhor resultado).</w:t>
            </w:r>
          </w:p>
          <w:p>
            <w:pPr>
              <w:spacing w:before="40" w:after="60"/>
            </w:pPr>
            <w:r>
              <w:rPr>
                <w:i/>
                <w:iCs/>
                <w:color w:val="808080"/>
                <w:sz w:val="18"/>
                <w:szCs w:val="18"/>
              </w:rPr>
              <w:t xml:space="preserve">Park NS et al. Plast Reconstr Surg 2025;156(2):189e–193e. DOI: 10.1097/PRS.0000000000011980</w:t>
            </w:r>
          </w:p>
        </w:tc>
      </w:tr>
    </w:tbl>
    <w:p>
      <w:pPr>
        <w:pStyle w:val="Heading2"/>
        <w:spacing w:before="280" w:after="80"/>
      </w:pPr>
      <w:r>
        <w:t xml:space="preserve">4.2 Blefaroplastia Inferior — Via Transconjuntival</w:t>
      </w:r>
    </w:p>
    <w:p>
      <w:pPr>
        <w:spacing w:after="100"/>
      </w:pPr>
      <w:r>
        <w:t xml:space="preserve">A via transconjuntival é a preferida quando o excesso de pele é mínimo e a queixa principal é bolsa de gordura. Vantagens: sem cicatriz cutânea, menor risco de ectrópio, e acesso direto à gordura intraorbitária. Pode ser pré-septal ou pós-septal (retroseptal).</w:t>
      </w:r>
      <w:r>
        <w:rPr>
          <w:i/>
          <w:iCs/>
          <w:color w:val="808080"/>
          <w:sz w:val="18"/>
          <w:szCs w:val="18"/>
        </w:rPr>
        <w:t xml:space="preserve"> (Neligan, 2023, vol. 2, cap. 9)</w:t>
      </w:r>
    </w:p>
    <w:p>
      <w:pPr>
        <w:spacing w:after="100"/>
      </w:pPr>
      <w:r>
        <w:t xml:space="preserve">Técnica pré-septal: incisão conjuntival inferior ao tarso → dissecção pré-septal (entre o orbicular e o septo) → abertura do septo → acesso aos compartimentos de gordura. Técnica retroseptal (pós-septal): incisão conjuntival → entrada direta através do septo para a gordura → evita dissecção pré-septal. A técnica retroseptal é mais direta e rápida, mas oferece menos exposição para reposicionamento de gordura.</w:t>
      </w:r>
      <w:r>
        <w:rPr>
          <w:i/>
          <w:iCs/>
          <w:color w:val="808080"/>
          <w:sz w:val="18"/>
          <w:szCs w:val="18"/>
        </w:rPr>
        <w:t xml:space="preserve"> (Neligan, 2023, vol. 2, cap. 9; Operative Dictations, 2017, cap. 9)</w:t>
      </w:r>
    </w:p>
    <w:p>
      <w:pPr>
        <w:spacing w:after="100"/>
      </w:pPr>
      <w:r>
        <w:t xml:space="preserve">O reposicionamento de gordura (fat transposition) é a técnica mais atual para correção do tear trough: a gordura medial herniada é liberada de sua cápsula, mantendo seu pedículo vascular, e suturada ao periósteo do rebordo infraorbitário em posição inferior ao arcus marginalis. Isso preenche o tear trough sem necessidade de material aloplástico ou autólogo adicional e evita o hollowing tardio da ressecção.</w:t>
      </w:r>
      <w:r>
        <w:rPr>
          <w:i/>
          <w:iCs/>
          <w:color w:val="808080"/>
          <w:sz w:val="18"/>
          <w:szCs w:val="18"/>
        </w:rPr>
        <w:t xml:space="preserve"> (Neligan, 2023, vol. 2, cap. 9; Grabb &amp; Smith, 2024, cap. 35)</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C00000" w:sz="6"/>
              <w:left w:val="single" w:color="C00000" w:sz="18"/>
              <w:bottom w:val="single" w:color="C00000" w:sz="6"/>
              <w:right w:val="single" w:color="C00000" w:sz="6"/>
            </w:tcBorders>
            <w:shd w:fill="FCE4D6" w:val="clear"/>
            <w:tcMar>
              <w:top w:type="dxa" w:w="80"/>
              <w:left w:type="dxa" w:w="140"/>
              <w:bottom w:type="dxa" w:w="80"/>
              <w:right w:type="dxa" w:w="140"/>
            </w:tcMar>
          </w:tcPr>
          <w:p>
            <w:pPr>
              <w:spacing w:before="60" w:after="60"/>
            </w:pPr>
            <w:r>
              <w:rPr>
                <w:b/>
                <w:bCs/>
                <w:color w:val="C00000"/>
                <w:sz w:val="20"/>
                <w:szCs w:val="20"/>
              </w:rPr>
              <w:t xml:space="preserve">MUDANÇA DE PARADIGMA — Mudança de paradigma: reposicionamento de gordura &gt; ressecção</w:t>
            </w:r>
          </w:p>
          <w:p>
            <w:pPr>
              <w:spacing w:before="40" w:after="40"/>
            </w:pPr>
            <w:r>
              <w:t xml:space="preserve">Chen J et al. (2025): reposicionamento de gordura com excisão profunda (deep fat) na blefaroplastia inferior transcutânea.</w:t>
            </w:r>
          </w:p>
          <w:p>
            <w:pPr>
              <w:spacing w:before="40" w:after="40"/>
            </w:pPr>
            <w:r>
              <w:t xml:space="preserve">Comparação com ressecção isolada: melhor contorno do sulco nasojugal e menor risco de hollowing tardio.</w:t>
            </w:r>
          </w:p>
          <w:p>
            <w:pPr>
              <w:spacing w:before="40" w:after="40"/>
            </w:pPr>
            <w:r>
              <w:t xml:space="preserve">Recomendação atual: preferir reposicionamento (transpor gordura para o tear trough). Ressecção somente quando o volume é genuinamente excessivo e o tear trough é mínimo.</w:t>
            </w:r>
          </w:p>
          <w:p>
            <w:pPr>
              <w:spacing w:before="40" w:after="60"/>
            </w:pPr>
            <w:r>
              <w:rPr>
                <w:i/>
                <w:iCs/>
                <w:color w:val="808080"/>
                <w:sz w:val="18"/>
                <w:szCs w:val="18"/>
              </w:rPr>
              <w:t xml:space="preserve">Chen J et al. Plast Reconstr Surg 2026;157(4):622–631. DOI: 10.1097/PRS.0000000000012416</w:t>
            </w:r>
          </w:p>
        </w:tc>
      </w:tr>
    </w:tbl>
    <w:p>
      <w:pPr>
        <w:pStyle w:val="Heading2"/>
        <w:spacing w:before="280" w:after="80"/>
      </w:pPr>
      <w:r>
        <w:t xml:space="preserve">4.3 Blefaroplastia Inferior — Via Transcutânea (Subciliar)</w:t>
      </w:r>
    </w:p>
    <w:p>
      <w:pPr>
        <w:spacing w:after="100"/>
      </w:pPr>
      <w:r>
        <w:t xml:space="preserve">Indicada quando há excesso de pele significativo, laxidez do orbicular, e necessidade de acesso a gordura e pele simultaneamente. Incisão 2 mm abaixo da linha ciliar (subciliar) ou diretamente na prega subciliar. Dissecção pode ser: (1) skin flap (disseca pele sobre o orbicular), (2) skin-muscle flap (disseca pele e orbicular como retalho único), ou (3) step-incision (disseca pele separada e orbicular em nível diferente para prevenir aderência cicatricial).</w:t>
      </w:r>
      <w:r>
        <w:rPr>
          <w:i/>
          <w:iCs/>
          <w:color w:val="808080"/>
          <w:sz w:val="18"/>
          <w:szCs w:val="18"/>
        </w:rPr>
        <w:t xml:space="preserve"> (Neligan, 2023, vol. 2, cap. 9; Operative Dictations, 2017, cap. 10)</w:t>
      </w:r>
    </w:p>
    <w:p>
      <w:pPr>
        <w:spacing w:after="100"/>
      </w:pPr>
      <w:r>
        <w:t xml:space="preserve">A via transcutânea oferece excelente acesso ao septo, gordura e pele, mas tem maior risco de retração da pálpebra inferior e ectrópio. Por essa razão, a cantopexia ou cantoplastia lateral deve ser SEMPRE considerada quando se usa essa via, particularmente em pacientes com laxidez horizontal (snap-back test lento ou distraction &gt; 6 mm) ou vetor negativo.</w:t>
      </w:r>
      <w:r>
        <w:rPr>
          <w:i/>
          <w:iCs/>
          <w:color w:val="808080"/>
          <w:sz w:val="18"/>
          <w:szCs w:val="18"/>
        </w:rPr>
        <w:t xml:space="preserve"> (Neligan, 2023, vol. 2, cap. 9; Grabb &amp; Smith, 2024, cap. 35)</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2E75B6" w:sz="6"/>
              <w:left w:val="single" w:color="2E75B6" w:sz="18"/>
              <w:bottom w:val="single" w:color="2E75B6" w:sz="6"/>
              <w:right w:val="single" w:color="2E75B6" w:sz="6"/>
            </w:tcBorders>
            <w:shd w:fill="D9E1F2" w:val="clear"/>
            <w:tcMar>
              <w:top w:type="dxa" w:w="80"/>
              <w:left w:type="dxa" w:w="140"/>
              <w:bottom w:type="dxa" w:w="80"/>
              <w:right w:type="dxa" w:w="140"/>
            </w:tcMar>
          </w:tcPr>
          <w:p>
            <w:pPr>
              <w:spacing w:before="60" w:after="60"/>
            </w:pPr>
            <w:r>
              <w:rPr>
                <w:b/>
                <w:bCs/>
                <w:color w:val="2E75B6"/>
                <w:sz w:val="20"/>
                <w:szCs w:val="20"/>
              </w:rPr>
              <w:t xml:space="preserve">NOVA EVIDÊNCIA — Incisão na fáscia capsulopalpebral subtarsal — novo paradigma para blefaroplastia inferior</w:t>
            </w:r>
          </w:p>
          <w:p>
            <w:pPr>
              <w:spacing w:before="40" w:after="40"/>
            </w:pPr>
            <w:r>
              <w:t xml:space="preserve">Nomoto e Ogawa (2025): incisão na fáscia capsulopalpebral no nível subtarsal (vs. nível septal tradicional) na via transcutânea.</w:t>
            </w:r>
          </w:p>
          <w:p>
            <w:pPr>
              <w:spacing w:before="40" w:after="40"/>
            </w:pPr>
            <w:r>
              <w:t xml:space="preserve">Série de 74 casos: ZERO ectrópio em 18 meses de seguimento.</w:t>
            </w:r>
          </w:p>
          <w:p>
            <w:pPr>
              <w:spacing w:before="40" w:after="40"/>
            </w:pPr>
            <w:r>
              <w:t xml:space="preserve">Mecanismo: incisão subtarsal preserva a tensão do septo e da fáscia capsulopalpebral, reduzindo a tração vertical sobre a pálpebra.</w:t>
            </w:r>
          </w:p>
          <w:p>
            <w:pPr>
              <w:spacing w:before="40" w:after="40"/>
            </w:pPr>
            <w:r>
              <w:t xml:space="preserve">Pode reduzir a necessidade de cantopexia concomitante em pacientes selecionados.</w:t>
            </w:r>
          </w:p>
          <w:p>
            <w:pPr>
              <w:spacing w:before="40" w:after="60"/>
            </w:pPr>
            <w:r>
              <w:rPr>
                <w:i/>
                <w:iCs/>
                <w:color w:val="808080"/>
                <w:sz w:val="18"/>
                <w:szCs w:val="18"/>
              </w:rPr>
              <w:t xml:space="preserve">Nomoto S, Ogawa R. Plast Reconstr Surg 2026;157(4):486e–495e. DOI: 10.1097/PRS.0000000000012429</w:t>
            </w:r>
          </w:p>
        </w:tc>
      </w:tr>
    </w:tbl>
    <w:p>
      <w:pPr>
        <w:pStyle w:val="Heading2"/>
        <w:spacing w:before="280" w:after="80"/>
      </w:pPr>
      <w:r>
        <w:t xml:space="preserve">4.4 Cantopexia e Cantoplastia Lateral</w:t>
      </w:r>
    </w:p>
    <w:p>
      <w:pPr>
        <w:spacing w:after="100"/>
      </w:pPr>
      <w:r>
        <w:t xml:space="preserve">A cantopexia lateral consiste em re-suspender o tendão cantal lateral ao periósteo do rebordo orbitário lateral, sem seccionar o tendão. É indicada em laxidez leve a moderada (distraction 4–6 mm, snap-back lento mas completo). A cantoplastia lateral envolve secção completa do tendão cantal lateral inferior, seguida de re-inserção ao periósteo do tubérculo de Whitnall (2–3 mm posterior ao rebordo, na face interna da parede orbitária lateral). É indicada em laxidez moderada a grave (distraction &gt; 6 mm, snap-back incompleto). A fixação é feita com sutura não-absorvível (nylon 5-0 ou 4-0) ao periósteo. O ponto de fixação deve estar 2 mm acima da posição original do canto para compensar o relaxamento pós-operatório.</w:t>
      </w:r>
      <w:r>
        <w:rPr>
          <w:i/>
          <w:iCs/>
          <w:color w:val="808080"/>
          <w:sz w:val="18"/>
          <w:szCs w:val="18"/>
        </w:rPr>
        <w:t xml:space="preserve"> (Neligan, 2023, vol. 2, cap. 9; Core Procedures, 2020, cap. 3)</w:t>
      </w:r>
    </w:p>
    <w:p>
      <w:pPr>
        <w:pStyle w:val="Heading2"/>
        <w:spacing w:before="280" w:after="80"/>
      </w:pPr>
      <w:r>
        <w:t xml:space="preserve">4.5 Pinch Blepharoplasty (Skin Pinch)</w:t>
      </w:r>
    </w:p>
    <w:p>
      <w:pPr>
        <w:spacing w:after="100"/>
      </w:pPr>
      <w:r>
        <w:t xml:space="preserve">Técnica minimamente invasiva para excesso de pele leve na pálpebra inferior. Consiste em pinçar e exciser uma faixa de pele imediatamente abaixo da linha ciliar (2–3 mm), sem dissecar planos profundos. Pode ser combinada com blefaroplastia transconjuntival para tratar bolsas de gordura associadas. Vantagem: não viola o septo orbital nem o orbicular, minimizando risco de ectrópio.</w:t>
      </w:r>
      <w:r>
        <w:rPr>
          <w:i/>
          <w:iCs/>
          <w:color w:val="808080"/>
          <w:sz w:val="18"/>
          <w:szCs w:val="18"/>
        </w:rPr>
        <w:t xml:space="preserve"> (Neligan, 2023, vol. 2, cap. 9)</w:t>
      </w:r>
    </w:p>
    <w:p>
      <w:pPr>
        <w:pStyle w:val="Heading2"/>
        <w:spacing w:before="280" w:after="80"/>
      </w:pPr>
      <w:r>
        <w:t xml:space="preserve">4.6 Dupla Pálpebra — População Asiática (Double Eyelid Surgery)</w:t>
      </w:r>
    </w:p>
    <w:p>
      <w:pPr>
        <w:spacing w:after="100"/>
      </w:pPr>
      <w:r>
        <w:t xml:space="preserve">É a cirurgia estética mais realizada mundialmente em volume absoluto. O objetivo é criar uma prega palpebral superior em pacientes com 'single eyelid' ou aprofundar uma prega existente rasa. Existem duas abordagens fundamentais:</w:t>
      </w:r>
      <w:r>
        <w:rPr>
          <w:i/>
          <w:iCs/>
          <w:color w:val="808080"/>
          <w:sz w:val="18"/>
          <w:szCs w:val="18"/>
        </w:rPr>
        <w:t xml:space="preserve"> (Neligan, 2023, vol. 2, cap. 8)</w:t>
      </w:r>
    </w:p>
    <w:p>
      <w:pPr>
        <w:spacing w:after="100"/>
      </w:pPr>
      <w:r>
        <w:t xml:space="preserve">Método de sutura (non-incisional): suturas são passadas através da pele, orbicular, aponeurose do LPS e conjuntiva para criar aderência. Vantagens: reversibilidade, menor edema, recuperação rápida. Desvantagens: menor permanência (15–30% de recorrência em longo prazo), não trata excesso de gordura ou pele.</w:t>
      </w:r>
      <w:r>
        <w:rPr>
          <w:i/>
          <w:iCs/>
          <w:color w:val="808080"/>
          <w:sz w:val="18"/>
          <w:szCs w:val="18"/>
        </w:rPr>
        <w:t xml:space="preserve"> (Neligan, 2023, vol. 2, cap. 8)</w:t>
      </w:r>
    </w:p>
    <w:p>
      <w:pPr>
        <w:spacing w:after="100"/>
      </w:pPr>
      <w:r>
        <w:t xml:space="preserve">Método de incisão (incisional): incisão cutânea com excisão de orbicular e gordura, seguida de fixação da derme ao tarso/aponeurose. Vantagens: resultado mais permanente, permite remoção de gordura pré-aponeurótica e orbicular. Desvantagens: cicatriz, edema prolongado, técnica mais complexa.</w:t>
      </w:r>
      <w:r>
        <w:rPr>
          <w:i/>
          <w:iCs/>
          <w:color w:val="808080"/>
          <w:sz w:val="18"/>
          <w:szCs w:val="18"/>
        </w:rPr>
        <w:t xml:space="preserve"> (Neligan, 2023, vol. 2, cap. 8; Grabb &amp; Smith, 2024, cap. 35)</w:t>
      </w:r>
    </w:p>
    <w:p>
      <w:pPr>
        <w:spacing w:after="100"/>
      </w:pPr>
      <w:r>
        <w:t xml:space="preserve">A altura da prega deve ser individualizada. Caucasianos: 8–10 mm. Asiáticos: 6–8 mm (pregas mais altas parecem 'ocidentalizadas' e são frequentemente rejeitadas). Em pacientes com epicanto, este pode ser corrigido simultaneamente com epicantoplastia medial.</w:t>
      </w:r>
      <w:r>
        <w:rPr>
          <w:i/>
          <w:iCs/>
          <w:color w:val="808080"/>
          <w:sz w:val="18"/>
          <w:szCs w:val="18"/>
        </w:rPr>
        <w:t xml:space="preserve"> (Neligan, 2023, vol. 2, cap. 8)</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2E75B6" w:sz="6"/>
              <w:left w:val="single" w:color="2E75B6" w:sz="18"/>
              <w:bottom w:val="single" w:color="2E75B6" w:sz="6"/>
              <w:right w:val="single" w:color="2E75B6" w:sz="6"/>
            </w:tcBorders>
            <w:shd w:fill="D9E1F2" w:val="clear"/>
            <w:tcMar>
              <w:top w:type="dxa" w:w="80"/>
              <w:left w:type="dxa" w:w="140"/>
              <w:bottom w:type="dxa" w:w="80"/>
              <w:right w:type="dxa" w:w="140"/>
            </w:tcMar>
          </w:tcPr>
          <w:p>
            <w:pPr>
              <w:spacing w:before="60" w:after="60"/>
            </w:pPr>
            <w:r>
              <w:rPr>
                <w:b/>
                <w:bCs/>
                <w:color w:val="2E75B6"/>
                <w:sz w:val="20"/>
                <w:szCs w:val="20"/>
              </w:rPr>
              <w:t xml:space="preserve">NOVA EVIDÊNCIA — Dupla pálpebra — técnica conservadora com ajuste de altura da prega</w:t>
            </w:r>
          </w:p>
          <w:p>
            <w:pPr>
              <w:spacing w:before="40" w:after="40"/>
            </w:pPr>
            <w:r>
              <w:t xml:space="preserve">Yu AY et al. (2025): técnica conservadora baseada em estudos anatômicos in vivo.</w:t>
            </w:r>
          </w:p>
          <w:p>
            <w:pPr>
              <w:spacing w:before="40" w:after="40"/>
            </w:pPr>
            <w:r>
              <w:t xml:space="preserve">Altura da prega individualizável por análise direta da pretarsal fullness intraoperatória.</w:t>
            </w:r>
          </w:p>
          <w:p>
            <w:pPr>
              <w:spacing w:before="40" w:after="40"/>
            </w:pPr>
            <w:r>
              <w:t xml:space="preserve">Série de 180 pacientes: 97% satisfeitos; 3,3% revisão por assimetria.</w:t>
            </w:r>
          </w:p>
          <w:p>
            <w:pPr>
              <w:spacing w:before="40" w:after="40"/>
            </w:pPr>
            <w:r>
              <w:t xml:space="preserve">O conceito-chave: a altura ideal da prega não é uma medida fixa, mas sim ajustada conforme a espessura do tecido pré-tarsal de cada paciente.</w:t>
            </w:r>
          </w:p>
          <w:p>
            <w:pPr>
              <w:spacing w:before="40" w:after="60"/>
            </w:pPr>
            <w:r>
              <w:rPr>
                <w:i/>
                <w:iCs/>
                <w:color w:val="808080"/>
                <w:sz w:val="18"/>
                <w:szCs w:val="18"/>
              </w:rPr>
              <w:t xml:space="preserve">Yu AY et al. Plast Reconstr Surg 2025;156(1):29–40. DOI: 10.1097/PRS.0000000000011948</w:t>
            </w:r>
          </w:p>
        </w:tc>
      </w:tr>
    </w:tbl>
    <w:p>
      <w:pPr>
        <w:pStyle w:val="Heading2"/>
        <w:spacing w:before="280" w:after="80"/>
      </w:pPr>
      <w:r>
        <w:t xml:space="preserve">4.7 Correção de Ptose Associada à Blefaroplastia</w:t>
      </w:r>
    </w:p>
    <w:p>
      <w:pPr>
        <w:spacing w:after="100"/>
      </w:pPr>
      <w:r>
        <w:t xml:space="preserve">A ptose não tratada em conjunto com a blefaroplastia resulta em insatisfação — o paciente relata que 'o olho continua caído'. Opções conforme grau de ptose e função do LPS:</w:t>
      </w:r>
      <w:r>
        <w:rPr>
          <w:i/>
          <w:iCs/>
          <w:color w:val="808080"/>
          <w:sz w:val="18"/>
          <w:szCs w:val="18"/>
        </w:rPr>
        <w:t xml:space="preserve"> (Neligan, 2023, vol. 2, cap. 8; Grabb &amp; Smith, 2024, cap. 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val="clear"/>
          </w:tcPr>
          <w:p>
            <w:pPr>
              <w:jc w:val="center"/>
            </w:pPr>
            <w:r>
              <w:rPr>
                <w:b/>
                <w:bCs/>
                <w:color w:val="FFFFFF"/>
              </w:rPr>
              <w:t xml:space="preserve">Tipo de Ptose</w:t>
            </w:r>
          </w:p>
        </w:tc>
        <w:tc>
          <w:tcPr>
            <w:shd w:fill="2E75B6" w:val="clear"/>
          </w:tcPr>
          <w:p>
            <w:pPr>
              <w:jc w:val="center"/>
            </w:pPr>
            <w:r>
              <w:rPr>
                <w:b/>
                <w:bCs/>
                <w:color w:val="FFFFFF"/>
              </w:rPr>
              <w:t xml:space="preserve">Função LPS</w:t>
            </w:r>
          </w:p>
        </w:tc>
        <w:tc>
          <w:tcPr>
            <w:shd w:fill="2E75B6" w:val="clear"/>
          </w:tcPr>
          <w:p>
            <w:pPr>
              <w:jc w:val="center"/>
            </w:pPr>
            <w:r>
              <w:rPr>
                <w:b/>
                <w:bCs/>
                <w:color w:val="FFFFFF"/>
              </w:rPr>
              <w:t xml:space="preserve">Técnica de Correção</w:t>
            </w:r>
          </w:p>
        </w:tc>
      </w:tr>
      <w:tr>
        <w:tc>
          <w:tcPr>
            <w:shd w:fill="FFFFFF" w:val="clear"/>
          </w:tcPr>
          <w:p>
            <w:pPr>
              <w:spacing w:before="40" w:after="40"/>
            </w:pPr>
            <w:r>
              <w:t xml:space="preserve">Leve (MRD1 2–3 mm), fenilefrina +</w:t>
            </w:r>
          </w:p>
        </w:tc>
        <w:tc>
          <w:tcPr>
            <w:shd w:fill="FFFFFF" w:val="clear"/>
          </w:tcPr>
          <w:p>
            <w:pPr>
              <w:spacing w:before="40" w:after="40"/>
            </w:pPr>
            <w:r>
              <w:t xml:space="preserve">Boa (≥ 12 mm)</w:t>
            </w:r>
          </w:p>
        </w:tc>
        <w:tc>
          <w:tcPr>
            <w:shd w:fill="FFFFFF" w:val="clear"/>
          </w:tcPr>
          <w:p>
            <w:pPr>
              <w:spacing w:before="40" w:after="40"/>
            </w:pPr>
            <w:r>
              <w:t xml:space="preserve">Müllerectomy (ressecção conjuntivo-mülleriana)</w:t>
            </w:r>
          </w:p>
        </w:tc>
      </w:tr>
      <w:tr>
        <w:tc>
          <w:tcPr>
            <w:shd w:fill="EBF3FB" w:val="clear"/>
          </w:tcPr>
          <w:p>
            <w:pPr>
              <w:spacing w:before="40" w:after="40"/>
            </w:pPr>
            <w:r>
              <w:t xml:space="preserve">Leve a moderada (MRD1 1–3 mm)</w:t>
            </w:r>
          </w:p>
        </w:tc>
        <w:tc>
          <w:tcPr>
            <w:shd w:fill="EBF3FB" w:val="clear"/>
          </w:tcPr>
          <w:p>
            <w:pPr>
              <w:spacing w:before="40" w:after="40"/>
            </w:pPr>
            <w:r>
              <w:t xml:space="preserve">Boa (≥ 12 mm)</w:t>
            </w:r>
          </w:p>
        </w:tc>
        <w:tc>
          <w:tcPr>
            <w:shd w:fill="EBF3FB" w:val="clear"/>
          </w:tcPr>
          <w:p>
            <w:pPr>
              <w:spacing w:before="40" w:after="40"/>
            </w:pPr>
            <w:r>
              <w:t xml:space="preserve">Avanço da aponeurose do LPS (via anterior)</w:t>
            </w:r>
          </w:p>
        </w:tc>
      </w:tr>
      <w:tr>
        <w:tc>
          <w:tcPr>
            <w:shd w:fill="FFFFFF" w:val="clear"/>
          </w:tcPr>
          <w:p>
            <w:pPr>
              <w:spacing w:before="40" w:after="40"/>
            </w:pPr>
            <w:r>
              <w:t xml:space="preserve">Moderada a grave (MRD1 ≤ 1 mm)</w:t>
            </w:r>
          </w:p>
        </w:tc>
        <w:tc>
          <w:tcPr>
            <w:shd w:fill="FFFFFF" w:val="clear"/>
          </w:tcPr>
          <w:p>
            <w:pPr>
              <w:spacing w:before="40" w:after="40"/>
            </w:pPr>
            <w:r>
              <w:t xml:space="preserve">Moderada (5–11 mm)</w:t>
            </w:r>
          </w:p>
        </w:tc>
        <w:tc>
          <w:tcPr>
            <w:shd w:fill="FFFFFF" w:val="clear"/>
          </w:tcPr>
          <w:p>
            <w:pPr>
              <w:spacing w:before="40" w:after="40"/>
            </w:pPr>
            <w:r>
              <w:t xml:space="preserve">Ressecção do LPS (Fasanella-Servat ou avanço extenso)</w:t>
            </w:r>
          </w:p>
        </w:tc>
      </w:tr>
      <w:tr>
        <w:tc>
          <w:tcPr>
            <w:shd w:fill="EBF3FB" w:val="clear"/>
          </w:tcPr>
          <w:p>
            <w:pPr>
              <w:spacing w:before="40" w:after="40"/>
            </w:pPr>
            <w:r>
              <w:t xml:space="preserve">Grave (MRD1 &lt; 0 mm)</w:t>
            </w:r>
          </w:p>
        </w:tc>
        <w:tc>
          <w:tcPr>
            <w:shd w:fill="EBF3FB" w:val="clear"/>
          </w:tcPr>
          <w:p>
            <w:pPr>
              <w:spacing w:before="40" w:after="40"/>
            </w:pPr>
            <w:r>
              <w:t xml:space="preserve">Pobre (&lt; 5 mm)</w:t>
            </w:r>
          </w:p>
        </w:tc>
        <w:tc>
          <w:tcPr>
            <w:shd w:fill="EBF3FB" w:val="clear"/>
          </w:tcPr>
          <w:p>
            <w:pPr>
              <w:spacing w:before="40" w:after="40"/>
            </w:pPr>
            <w:r>
              <w:t xml:space="preserve">Suspensão frontal (frontalis sling) com fáscia lata ou material sintético</w:t>
            </w:r>
          </w:p>
        </w:tc>
      </w:tr>
      <w:tr>
        <w:tc>
          <w:tcPr>
            <w:shd w:fill="FFFFFF" w:val="clear"/>
          </w:tcPr>
          <w:p>
            <w:pPr>
              <w:spacing w:before="40" w:after="40"/>
            </w:pPr>
            <w:r>
              <w:t xml:space="preserve">Congênita</w:t>
            </w:r>
          </w:p>
        </w:tc>
        <w:tc>
          <w:tcPr>
            <w:shd w:fill="FFFFFF" w:val="clear"/>
          </w:tcPr>
          <w:p>
            <w:pPr>
              <w:spacing w:before="40" w:after="40"/>
            </w:pPr>
            <w:r>
              <w:t xml:space="preserve">Variável</w:t>
            </w:r>
          </w:p>
        </w:tc>
        <w:tc>
          <w:tcPr>
            <w:shd w:fill="FFFFFF" w:val="clear"/>
          </w:tcPr>
          <w:p>
            <w:pPr>
              <w:spacing w:before="40" w:after="40"/>
            </w:pPr>
            <w:r>
              <w:t xml:space="preserve">Suspensão frontal se LPS &lt; 5 mm; ressecção se ≥ 5 mm</w:t>
            </w:r>
          </w:p>
        </w:tc>
      </w:tr>
    </w:tbl>
    <w:p>
      <w:pPr>
        <w:pStyle w:val="Heading1"/>
        <w:spacing w:before="400" w:after="120"/>
      </w:pPr>
      <w:r>
        <w:t xml:space="preserve">5. Resultados Funcionais e Estéticos</w:t>
      </w:r>
    </w:p>
    <w:p>
      <w:pPr>
        <w:spacing w:after="100"/>
      </w:pPr>
      <w:r>
        <w:t xml:space="preserve">A blefaroplastia superior para dermatocálase funcional demonstra melhora objetiva do campo visual superior em mais de 80% dos casos. A satisfação estética excede 90% na maioria das séries publicadas. O principal preditor de insatisfação é a presença de ptose não diagnosticada pré-operatoriamente e a persistência de ptose de sobrancelha não tratada.</w:t>
      </w:r>
      <w:r>
        <w:rPr>
          <w:i/>
          <w:iCs/>
          <w:color w:val="808080"/>
          <w:sz w:val="18"/>
          <w:szCs w:val="18"/>
        </w:rPr>
        <w:t xml:space="preserve"> (Neligan, 2023, vol. 2, cap. 8; Core Procedures, 2020, cap. 3)</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2E75B6" w:sz="6"/>
              <w:left w:val="single" w:color="2E75B6" w:sz="18"/>
              <w:bottom w:val="single" w:color="2E75B6" w:sz="6"/>
              <w:right w:val="single" w:color="2E75B6" w:sz="6"/>
            </w:tcBorders>
            <w:shd w:fill="D9E1F2" w:val="clear"/>
            <w:tcMar>
              <w:top w:type="dxa" w:w="80"/>
              <w:left w:type="dxa" w:w="140"/>
              <w:bottom w:type="dxa" w:w="80"/>
              <w:right w:type="dxa" w:w="140"/>
            </w:tcMar>
          </w:tcPr>
          <w:p>
            <w:pPr>
              <w:spacing w:before="60" w:after="60"/>
            </w:pPr>
            <w:r>
              <w:rPr>
                <w:b/>
                <w:bCs/>
                <w:color w:val="2E75B6"/>
                <w:sz w:val="20"/>
                <w:szCs w:val="20"/>
              </w:rPr>
              <w:t xml:space="preserve">NOVA EVIDÊNCIA — Meta-análise: resultados funcionais e estéticos após blefaroplastia superior</w:t>
            </w:r>
          </w:p>
          <w:p>
            <w:pPr>
              <w:spacing w:before="40" w:after="40"/>
            </w:pPr>
            <w:r>
              <w:t xml:space="preserve">Todorov D et al. (2025): revisão sistemática e meta-análise de 12 ECRs (n = 1.847).</w:t>
            </w:r>
          </w:p>
          <w:p>
            <w:pPr>
              <w:spacing w:before="40" w:after="40"/>
            </w:pPr>
            <w:r>
              <w:t xml:space="preserve">Blefaroplastia superior melhora campo visual em 84% dos casos com dermatocálase funcional.</w:t>
            </w:r>
          </w:p>
          <w:p>
            <w:pPr>
              <w:spacing w:before="40" w:after="40"/>
            </w:pPr>
            <w:r>
              <w:t xml:space="preserve">Satisfação estética: 91%. Complicação mais frequente: olho seco transitório (18%).</w:t>
            </w:r>
          </w:p>
          <w:p>
            <w:pPr>
              <w:spacing w:before="40" w:after="40"/>
            </w:pPr>
            <w:r>
              <w:t xml:space="preserve">A melhora funcional é mensurável por campimetria e sustentada em seguimento médio de 24 meses.</w:t>
            </w:r>
          </w:p>
          <w:p>
            <w:pPr>
              <w:spacing w:before="40" w:after="60"/>
            </w:pPr>
            <w:r>
              <w:rPr>
                <w:i/>
                <w:iCs/>
                <w:color w:val="808080"/>
                <w:sz w:val="18"/>
                <w:szCs w:val="18"/>
              </w:rPr>
              <w:t xml:space="preserve">Todorov D et al. Aesthet Surg J 2025;45(6):554–562. DOI: 10.1093/asj/sjaf022</w:t>
            </w:r>
          </w:p>
        </w:tc>
      </w:tr>
    </w:tbl>
    <w:p>
      <w:pPr>
        <w:pStyle w:val="Heading1"/>
        <w:spacing w:before="400" w:after="120"/>
      </w:pPr>
      <w:r>
        <w:t xml:space="preserve">6. Complicações</w:t>
      </w:r>
    </w:p>
    <w:p>
      <w:pPr>
        <w:spacing w:after="100"/>
      </w:pPr>
      <w:r>
        <w:t xml:space="preserve">As complicações da blefaroplastia variam de menores (equimose, edema) a catastróficas (cegueira). A prevenção começa na avaliação pré-operatória rigorosa e na técnica meticulosa intraoperatória, particularmente na hemostasia.</w:t>
      </w:r>
      <w:r>
        <w:rPr>
          <w:i/>
          <w:iCs/>
          <w:color w:val="808080"/>
          <w:sz w:val="18"/>
          <w:szCs w:val="18"/>
        </w:rPr>
        <w:t xml:space="preserve"> (Neligan, 2023, vol. 2, caps. 8–9; Grabb &amp; Smith, 2024, cap. 35)</w:t>
      </w:r>
    </w:p>
    <w:p>
      <w:pPr>
        <w:pStyle w:val="Heading2"/>
        <w:spacing w:before="280" w:after="80"/>
      </w:pPr>
      <w:r>
        <w:t xml:space="preserve">6.1 Hematoma Retrobulbar — Emergência</w:t>
      </w:r>
    </w:p>
    <w:p>
      <w:pPr>
        <w:spacing w:after="100"/>
      </w:pPr>
      <w:r>
        <w:t xml:space="preserve">O hematoma retrobulbar é a complicação mais temida da blefaroplastia (incidência 0,04–0,05%). Geralmente ocorre nas primeiras 3–24 horas pós-operatórias, embora possa surgir intraoperatoriamente. Causas: sangramento arterial (artérias etmoidais ou ramos orbitários) ou venoso (veia oftálmica) com pressão compartmental intra-orbitária → isquemia do nervo óptico e retina. A pressão intra-orbitária crescente comprime a artéria central da retina — isquemia retiniana irreversível em 60–100 minutos.</w:t>
      </w:r>
      <w:r>
        <w:rPr>
          <w:i/>
          <w:iCs/>
          <w:color w:val="808080"/>
          <w:sz w:val="18"/>
          <w:szCs w:val="18"/>
        </w:rPr>
        <w:t xml:space="preserve"> (Neligan, 2023, vol. 2, cap. 8; Grabb &amp; Smith, 2024, cap. 35)</w:t>
      </w:r>
    </w:p>
    <w:p>
      <w:pPr>
        <w:spacing w:after="100"/>
      </w:pPr>
      <w:r>
        <w:t xml:space="preserve">Sinais: dor retro-orbitária progressiva e intensa, proptose, pupila dilatada fixa (midríase), perda visual, tensão palpebral. Conduta IMEDIATA (não esperar exames de imagem): (1) Remover suturas IMEDIATAMENTE; (2) Drenar o hematoma; (3) Se a pressão não alivia → CANTOTOMIA + CANTÓLISE LATERAL à beira do leito; (4) Manitol 20% IV 1–2 g/kg; (5) Acetazolamida 500 mg IV; (6) Timolol 0,5% tópico; (7) Dexametasona 8 mg IV. A cantólise lateral (secção do ramo inferior do tendão cantal lateral) permite expansão do conteúdo orbitário para fora do cone muscular, aliviando a pressão. É um procedimento salvamento que pode ser realizado à beira do leito com anestesia local.</w:t>
      </w:r>
      <w:r>
        <w:rPr>
          <w:i/>
          <w:iCs/>
          <w:color w:val="808080"/>
          <w:sz w:val="18"/>
          <w:szCs w:val="18"/>
        </w:rPr>
        <w:t xml:space="preserve"> (Neligan, 2023, vol. 2, cap. 8; Core Procedures, 2020, cap. 3)</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375623" w:sz="6"/>
              <w:left w:val="single" w:color="375623" w:sz="18"/>
              <w:bottom w:val="single" w:color="375623" w:sz="6"/>
              <w:right w:val="single" w:color="375623" w:sz="6"/>
            </w:tcBorders>
            <w:shd w:fill="E2EFDA" w:val="clear"/>
            <w:tcMar>
              <w:top w:type="dxa" w:w="80"/>
              <w:left w:type="dxa" w:w="140"/>
              <w:bottom w:type="dxa" w:w="80"/>
              <w:right w:type="dxa" w:w="140"/>
            </w:tcMar>
          </w:tcPr>
          <w:p>
            <w:pPr>
              <w:spacing w:before="60" w:after="60"/>
            </w:pPr>
            <w:r>
              <w:rPr>
                <w:b/>
                <w:bCs/>
                <w:color w:val="375623"/>
                <w:sz w:val="20"/>
                <w:szCs w:val="20"/>
              </w:rPr>
              <w:t xml:space="preserve">DICA PRÁTICA — Protocolo de cantotomia + cantólise lateral de emergência</w:t>
            </w:r>
          </w:p>
          <w:p>
            <w:pPr>
              <w:spacing w:before="40" w:after="40"/>
            </w:pPr>
            <w:r>
              <w:t xml:space="preserve">1. Infiltrar com lidocaína + epinefrina no canto lateral.</w:t>
            </w:r>
          </w:p>
          <w:p>
            <w:pPr>
              <w:spacing w:before="40" w:after="40"/>
            </w:pPr>
            <w:r>
              <w:t xml:space="preserve">2. Crush: pinçar o canto lateral por 1–2 min com hemostática (reduz sangramento).</w:t>
            </w:r>
          </w:p>
          <w:p>
            <w:pPr>
              <w:spacing w:before="40" w:after="40"/>
            </w:pPr>
            <w:r>
              <w:t xml:space="preserve">3. Cantotomia: incisão horizontal do canto lateral até o rebordo orbitário lateral (~1 cm).</w:t>
            </w:r>
          </w:p>
          <w:p>
            <w:pPr>
              <w:spacing w:before="40" w:after="40"/>
            </w:pPr>
            <w:r>
              <w:t xml:space="preserve">4. Cantólise: identificar o ramo inferior do tendão cantal lateral (sentir como banda tensa com tesoura) → seccionar por completo.</w:t>
            </w:r>
          </w:p>
          <w:p>
            <w:pPr>
              <w:spacing w:before="40" w:after="40"/>
            </w:pPr>
            <w:r>
              <w:t xml:space="preserve">5. Confirmar descompressão: redução da proptose, melhora da pupila.</w:t>
            </w:r>
          </w:p>
          <w:p>
            <w:pPr>
              <w:spacing w:before="40" w:after="40"/>
            </w:pPr>
            <w:r>
              <w:t xml:space="preserve">6. Se insuficiente: seccionar também o ramo superior (cantólise superior).</w:t>
            </w:r>
          </w:p>
          <w:p>
            <w:pPr>
              <w:spacing w:before="40" w:after="40"/>
            </w:pPr>
            <w:r>
              <w:t xml:space="preserve">7. Encaminhar URGENTE para oftalmologia.</w:t>
            </w:r>
          </w:p>
          <w:p>
            <w:pPr>
              <w:spacing w:before="40" w:after="40"/>
            </w:pPr>
            <w:r>
              <w:t xml:space="preserve">Este procedimento deve ser dominado por todo cirurgião plástico que realiza blefaroplastia.</w:t>
            </w:r>
          </w:p>
          <w:p>
            <w:pPr>
              <w:spacing w:before="40" w:after="60"/>
            </w:pPr>
            <w:r>
              <w:rPr>
                <w:i/>
                <w:iCs/>
                <w:color w:val="808080"/>
                <w:sz w:val="18"/>
                <w:szCs w:val="18"/>
              </w:rPr>
              <w:t xml:space="preserve">Neligan, 2023, vol. 2, cap. 8</w:t>
            </w:r>
          </w:p>
        </w:tc>
      </w:tr>
    </w:tbl>
    <w:p>
      <w:pPr>
        <w:pStyle w:val="Heading2"/>
        <w:spacing w:before="280" w:after="80"/>
      </w:pPr>
      <w:r>
        <w:t xml:space="preserve">6.2 Outras Complicações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E75B6" w:val="clear"/>
          </w:tcPr>
          <w:p>
            <w:pPr>
              <w:jc w:val="center"/>
            </w:pPr>
            <w:r>
              <w:rPr>
                <w:b/>
                <w:bCs/>
                <w:color w:val="FFFFFF"/>
              </w:rPr>
              <w:t xml:space="preserve">Complicação</w:t>
            </w:r>
          </w:p>
        </w:tc>
        <w:tc>
          <w:tcPr>
            <w:shd w:fill="2E75B6" w:val="clear"/>
          </w:tcPr>
          <w:p>
            <w:pPr>
              <w:jc w:val="center"/>
            </w:pPr>
            <w:r>
              <w:rPr>
                <w:b/>
                <w:bCs/>
                <w:color w:val="FFFFFF"/>
              </w:rPr>
              <w:t xml:space="preserve">Incidência</w:t>
            </w:r>
          </w:p>
        </w:tc>
        <w:tc>
          <w:tcPr>
            <w:shd w:fill="2E75B6" w:val="clear"/>
          </w:tcPr>
          <w:p>
            <w:pPr>
              <w:jc w:val="center"/>
            </w:pPr>
            <w:r>
              <w:rPr>
                <w:b/>
                <w:bCs/>
                <w:color w:val="FFFFFF"/>
              </w:rPr>
              <w:t xml:space="preserve">Mecanismo</w:t>
            </w:r>
          </w:p>
        </w:tc>
        <w:tc>
          <w:tcPr>
            <w:shd w:fill="2E75B6" w:val="clear"/>
          </w:tcPr>
          <w:p>
            <w:pPr>
              <w:jc w:val="center"/>
            </w:pPr>
            <w:r>
              <w:rPr>
                <w:b/>
                <w:bCs/>
                <w:color w:val="FFFFFF"/>
              </w:rPr>
              <w:t xml:space="preserve">Conduta</w:t>
            </w:r>
          </w:p>
        </w:tc>
      </w:tr>
      <w:tr>
        <w:tc>
          <w:tcPr>
            <w:shd w:fill="FFFFFF" w:val="clear"/>
          </w:tcPr>
          <w:p>
            <w:pPr>
              <w:spacing w:before="40" w:after="40"/>
            </w:pPr>
            <w:r>
              <w:t xml:space="preserve">Lagoftalmo</w:t>
            </w:r>
          </w:p>
        </w:tc>
        <w:tc>
          <w:tcPr>
            <w:shd w:fill="FFFFFF" w:val="clear"/>
          </w:tcPr>
          <w:p>
            <w:pPr>
              <w:spacing w:before="40" w:after="40"/>
            </w:pPr>
            <w:r>
              <w:t xml:space="preserve">Transitório: comum; permanente: raro</w:t>
            </w:r>
          </w:p>
        </w:tc>
        <w:tc>
          <w:tcPr>
            <w:shd w:fill="FFFFFF" w:val="clear"/>
          </w:tcPr>
          <w:p>
            <w:pPr>
              <w:spacing w:before="40" w:after="40"/>
            </w:pPr>
            <w:r>
              <w:t xml:space="preserve">Ressecção excessiva de pele superior; edema pós-operatório</w:t>
            </w:r>
          </w:p>
        </w:tc>
        <w:tc>
          <w:tcPr>
            <w:shd w:fill="FFFFFF" w:val="clear"/>
          </w:tcPr>
          <w:p>
            <w:pPr>
              <w:spacing w:before="40" w:after="40"/>
            </w:pPr>
            <w:r>
              <w:t xml:space="preserve">Leve/transitório: lubrificante + pomada noturna. Grave/permanente: enxerto de pele total (full-thickness skin graft do supraclavicular ou retroauricular)</w:t>
            </w:r>
          </w:p>
        </w:tc>
      </w:tr>
      <w:tr>
        <w:tc>
          <w:tcPr>
            <w:shd w:fill="EBF3FB" w:val="clear"/>
          </w:tcPr>
          <w:p>
            <w:pPr>
              <w:spacing w:before="40" w:after="40"/>
            </w:pPr>
            <w:r>
              <w:t xml:space="preserve">Ectrópio</w:t>
            </w:r>
          </w:p>
        </w:tc>
        <w:tc>
          <w:tcPr>
            <w:shd w:fill="EBF3FB" w:val="clear"/>
          </w:tcPr>
          <w:p>
            <w:pPr>
              <w:spacing w:before="40" w:after="40"/>
            </w:pPr>
            <w:r>
              <w:t xml:space="preserve">1–2% (transcutânea)</w:t>
            </w:r>
          </w:p>
        </w:tc>
        <w:tc>
          <w:tcPr>
            <w:shd w:fill="EBF3FB" w:val="clear"/>
          </w:tcPr>
          <w:p>
            <w:pPr>
              <w:spacing w:before="40" w:after="40"/>
            </w:pPr>
            <w:r>
              <w:t xml:space="preserve">Retração cicatricial da lamela anterior/média; laxidez não corrigida</w:t>
            </w:r>
          </w:p>
        </w:tc>
        <w:tc>
          <w:tcPr>
            <w:shd w:fill="EBF3FB" w:val="clear"/>
          </w:tcPr>
          <w:p>
            <w:pPr>
              <w:spacing w:before="40" w:after="40"/>
            </w:pPr>
            <w:r>
              <w:t xml:space="preserve">Grau leve: massagem + steri-strip + colírio. Moderado/grave: cantoplastia lateral ± enxerto espaçador de lamela posterior (AlloDerm, Hard palate, auricular cartilage)</w:t>
            </w:r>
          </w:p>
        </w:tc>
      </w:tr>
      <w:tr>
        <w:tc>
          <w:tcPr>
            <w:shd w:fill="FFFFFF" w:val="clear"/>
          </w:tcPr>
          <w:p>
            <w:pPr>
              <w:spacing w:before="40" w:after="40"/>
            </w:pPr>
            <w:r>
              <w:t xml:space="preserve">Ptose iatrogênica</w:t>
            </w:r>
          </w:p>
        </w:tc>
        <w:tc>
          <w:tcPr>
            <w:shd w:fill="FFFFFF" w:val="clear"/>
          </w:tcPr>
          <w:p>
            <w:pPr>
              <w:spacing w:before="40" w:after="40"/>
            </w:pPr>
            <w:r>
              <w:t xml:space="preserve">0,5–1%</w:t>
            </w:r>
          </w:p>
        </w:tc>
        <w:tc>
          <w:tcPr>
            <w:shd w:fill="FFFFFF" w:val="clear"/>
          </w:tcPr>
          <w:p>
            <w:pPr>
              <w:spacing w:before="40" w:after="40"/>
            </w:pPr>
            <w:r>
              <w:t xml:space="preserve">Lesão da aponeurose do LPS durante dissecção; edema do LPS</w:t>
            </w:r>
          </w:p>
        </w:tc>
        <w:tc>
          <w:tcPr>
            <w:shd w:fill="FFFFFF" w:val="clear"/>
          </w:tcPr>
          <w:p>
            <w:pPr>
              <w:spacing w:before="40" w:after="40"/>
            </w:pPr>
            <w:r>
              <w:t xml:space="preserve">Se PO imediato e edema: observar 3–6 meses. Se persistir: ptoseplastia (avanço do LPS)</w:t>
            </w:r>
          </w:p>
        </w:tc>
      </w:tr>
      <w:tr>
        <w:tc>
          <w:tcPr>
            <w:shd w:fill="EBF3FB" w:val="clear"/>
          </w:tcPr>
          <w:p>
            <w:pPr>
              <w:spacing w:before="40" w:after="40"/>
            </w:pPr>
            <w:r>
              <w:t xml:space="preserve">Diplopia</w:t>
            </w:r>
          </w:p>
        </w:tc>
        <w:tc>
          <w:tcPr>
            <w:shd w:fill="EBF3FB" w:val="clear"/>
          </w:tcPr>
          <w:p>
            <w:pPr>
              <w:spacing w:before="40" w:after="40"/>
            </w:pPr>
            <w:r>
              <w:t xml:space="preserve">Raro (&lt; 0,1%)</w:t>
            </w:r>
          </w:p>
        </w:tc>
        <w:tc>
          <w:tcPr>
            <w:shd w:fill="EBF3FB" w:val="clear"/>
          </w:tcPr>
          <w:p>
            <w:pPr>
              <w:spacing w:before="40" w:after="40"/>
            </w:pPr>
            <w:r>
              <w:t xml:space="preserve">Lesão do m. oblíquo inferior (entre compartimentos medial e central) durante ressecção de gordura</w:t>
            </w:r>
          </w:p>
        </w:tc>
        <w:tc>
          <w:tcPr>
            <w:shd w:fill="EBF3FB" w:val="clear"/>
          </w:tcPr>
          <w:p>
            <w:pPr>
              <w:spacing w:before="40" w:after="40"/>
            </w:pPr>
            <w:r>
              <w:t xml:space="preserve">Encaminhar oftalmologia. Exploração cirúrgica urgente se secção completa. Se parcial: observar — frequentemente resolve</w:t>
            </w:r>
          </w:p>
        </w:tc>
      </w:tr>
      <w:tr>
        <w:tc>
          <w:tcPr>
            <w:shd w:fill="FFFFFF" w:val="clear"/>
          </w:tcPr>
          <w:p>
            <w:pPr>
              <w:spacing w:before="40" w:after="40"/>
            </w:pPr>
            <w:r>
              <w:t xml:space="preserve">Olho seco</w:t>
            </w:r>
          </w:p>
        </w:tc>
        <w:tc>
          <w:tcPr>
            <w:shd w:fill="FFFFFF" w:val="clear"/>
          </w:tcPr>
          <w:p>
            <w:pPr>
              <w:spacing w:before="40" w:after="40"/>
            </w:pPr>
            <w:r>
              <w:t xml:space="preserve">Transitório: 18%; permanente: raro</w:t>
            </w:r>
          </w:p>
        </w:tc>
        <w:tc>
          <w:tcPr>
            <w:shd w:fill="FFFFFF" w:val="clear"/>
          </w:tcPr>
          <w:p>
            <w:pPr>
              <w:spacing w:before="40" w:after="40"/>
            </w:pPr>
            <w:r>
              <w:t xml:space="preserve">Lagoftalmo; perda de lubrificação do filme lacrimal; glândula lacrimal lesada</w:t>
            </w:r>
          </w:p>
        </w:tc>
        <w:tc>
          <w:tcPr>
            <w:shd w:fill="FFFFFF" w:val="clear"/>
          </w:tcPr>
          <w:p>
            <w:pPr>
              <w:spacing w:before="40" w:after="40"/>
            </w:pPr>
            <w:r>
              <w:t xml:space="preserve">Colírio lubrificante frequente; gel noturno; plug lacrimal de colágeno/silicone; câmara úmida se grave</w:t>
            </w:r>
          </w:p>
        </w:tc>
      </w:tr>
      <w:tr>
        <w:tc>
          <w:tcPr>
            <w:shd w:fill="EBF3FB" w:val="clear"/>
          </w:tcPr>
          <w:p>
            <w:pPr>
              <w:spacing w:before="40" w:after="40"/>
            </w:pPr>
            <w:r>
              <w:t xml:space="preserve">Hollowing / Esqueletização</w:t>
            </w:r>
          </w:p>
        </w:tc>
        <w:tc>
          <w:tcPr>
            <w:shd w:fill="EBF3FB" w:val="clear"/>
          </w:tcPr>
          <w:p>
            <w:pPr>
              <w:spacing w:before="40" w:after="40"/>
            </w:pPr>
            <w:r>
              <w:t xml:space="preserve">5–10%</w:t>
            </w:r>
          </w:p>
        </w:tc>
        <w:tc>
          <w:tcPr>
            <w:shd w:fill="EBF3FB" w:val="clear"/>
          </w:tcPr>
          <w:p>
            <w:pPr>
              <w:spacing w:before="40" w:after="40"/>
            </w:pPr>
            <w:r>
              <w:t xml:space="preserve">Ressecção excessiva de gordura</w:t>
            </w:r>
          </w:p>
        </w:tc>
        <w:tc>
          <w:tcPr>
            <w:shd w:fill="EBF3FB" w:val="clear"/>
          </w:tcPr>
          <w:p>
            <w:pPr>
              <w:spacing w:before="40" w:after="40"/>
            </w:pPr>
            <w:r>
              <w:t xml:space="preserve">Preenchimento com AH (ácido hialurônico) ou lipoenxertia. Conceito atual: prefira transpor, não ressecar</w:t>
            </w:r>
          </w:p>
        </w:tc>
      </w:tr>
      <w:tr>
        <w:tc>
          <w:tcPr>
            <w:shd w:fill="FFFFFF" w:val="clear"/>
          </w:tcPr>
          <w:p>
            <w:pPr>
              <w:spacing w:before="40" w:after="40"/>
            </w:pPr>
            <w:r>
              <w:t xml:space="preserve">Quemose</w:t>
            </w:r>
          </w:p>
        </w:tc>
        <w:tc>
          <w:tcPr>
            <w:shd w:fill="FFFFFF" w:val="clear"/>
          </w:tcPr>
          <w:p>
            <w:pPr>
              <w:spacing w:before="40" w:after="40"/>
            </w:pPr>
            <w:r>
              <w:t xml:space="preserve">5–15%</w:t>
            </w:r>
          </w:p>
        </w:tc>
        <w:tc>
          <w:tcPr>
            <w:shd w:fill="FFFFFF" w:val="clear"/>
          </w:tcPr>
          <w:p>
            <w:pPr>
              <w:spacing w:before="40" w:after="40"/>
            </w:pPr>
            <w:r>
              <w:t xml:space="preserve">Edema conjuntival pós-operatório</w:t>
            </w:r>
          </w:p>
        </w:tc>
        <w:tc>
          <w:tcPr>
            <w:shd w:fill="FFFFFF" w:val="clear"/>
          </w:tcPr>
          <w:p>
            <w:pPr>
              <w:spacing w:before="40" w:after="40"/>
            </w:pPr>
            <w:r>
              <w:t xml:space="preserve">Colírio lubrificante; resolução em 1–4 semanas; dexametasona tópica se severa</w:t>
            </w:r>
          </w:p>
        </w:tc>
      </w:tr>
      <w:tr>
        <w:tc>
          <w:tcPr>
            <w:shd w:fill="EBF3FB" w:val="clear"/>
          </w:tcPr>
          <w:p>
            <w:pPr>
              <w:spacing w:before="40" w:after="40"/>
            </w:pPr>
            <w:r>
              <w:t xml:space="preserve">Assimetria</w:t>
            </w:r>
          </w:p>
        </w:tc>
        <w:tc>
          <w:tcPr>
            <w:shd w:fill="EBF3FB" w:val="clear"/>
          </w:tcPr>
          <w:p>
            <w:pPr>
              <w:spacing w:before="40" w:after="40"/>
            </w:pPr>
            <w:r>
              <w:t xml:space="preserve">5–10%</w:t>
            </w:r>
          </w:p>
        </w:tc>
        <w:tc>
          <w:tcPr>
            <w:shd w:fill="EBF3FB" w:val="clear"/>
          </w:tcPr>
          <w:p>
            <w:pPr>
              <w:spacing w:before="40" w:after="40"/>
            </w:pPr>
            <w:r>
              <w:t xml:space="preserve">Ressecção assimétrica de pele/gordura; ptose não diagnosticada</w:t>
            </w:r>
          </w:p>
        </w:tc>
        <w:tc>
          <w:tcPr>
            <w:shd w:fill="EBF3FB" w:val="clear"/>
          </w:tcPr>
          <w:p>
            <w:pPr>
              <w:spacing w:before="40" w:after="40"/>
            </w:pPr>
            <w:r>
              <w:t xml:space="preserve">Revisão ≥ 6 meses</w:t>
            </w:r>
          </w:p>
        </w:tc>
      </w:tr>
      <w:tr>
        <w:tc>
          <w:tcPr>
            <w:shd w:fill="FFFFFF" w:val="clear"/>
          </w:tcPr>
          <w:p>
            <w:pPr>
              <w:spacing w:before="40" w:after="40"/>
            </w:pPr>
            <w:r>
              <w:t xml:space="preserve">Cicatriz hipertrófica / Web epicantal</w:t>
            </w:r>
          </w:p>
        </w:tc>
        <w:tc>
          <w:tcPr>
            <w:shd w:fill="FFFFFF" w:val="clear"/>
          </w:tcPr>
          <w:p>
            <w:pPr>
              <w:spacing w:before="40" w:after="40"/>
            </w:pPr>
            <w:r>
              <w:t xml:space="preserve">Raro</w:t>
            </w:r>
          </w:p>
        </w:tc>
        <w:tc>
          <w:tcPr>
            <w:shd w:fill="FFFFFF" w:val="clear"/>
          </w:tcPr>
          <w:p>
            <w:pPr>
              <w:spacing w:before="40" w:after="40"/>
            </w:pPr>
            <w:r>
              <w:t xml:space="preserve">Extensão medial excessiva da incisão</w:t>
            </w:r>
          </w:p>
        </w:tc>
        <w:tc>
          <w:tcPr>
            <w:shd w:fill="FFFFFF" w:val="clear"/>
          </w:tcPr>
          <w:p>
            <w:pPr>
              <w:spacing w:before="40" w:after="40"/>
            </w:pPr>
            <w:r>
              <w:t xml:space="preserve">Z-plastia; revisão cicatricial</w:t>
            </w:r>
          </w:p>
        </w:tc>
      </w:tr>
      <w:tr>
        <w:tc>
          <w:tcPr>
            <w:shd w:fill="EBF3FB" w:val="clear"/>
          </w:tcPr>
          <w:p>
            <w:pPr>
              <w:spacing w:before="40" w:after="40"/>
            </w:pPr>
            <w:r>
              <w:t xml:space="preserve">Milia (cistos de inclusão)</w:t>
            </w:r>
          </w:p>
        </w:tc>
        <w:tc>
          <w:tcPr>
            <w:shd w:fill="EBF3FB" w:val="clear"/>
          </w:tcPr>
          <w:p>
            <w:pPr>
              <w:spacing w:before="40" w:after="40"/>
            </w:pPr>
            <w:r>
              <w:t xml:space="preserve">5–10%</w:t>
            </w:r>
          </w:p>
        </w:tc>
        <w:tc>
          <w:tcPr>
            <w:shd w:fill="EBF3FB" w:val="clear"/>
          </w:tcPr>
          <w:p>
            <w:pPr>
              <w:spacing w:before="40" w:after="40"/>
            </w:pPr>
            <w:r>
              <w:t xml:space="preserve">Inclusão epidérmica na sutura</w:t>
            </w:r>
          </w:p>
        </w:tc>
        <w:tc>
          <w:tcPr>
            <w:shd w:fill="EBF3FB" w:val="clear"/>
          </w:tcPr>
          <w:p>
            <w:pPr>
              <w:spacing w:before="40" w:after="40"/>
            </w:pPr>
            <w:r>
              <w:t xml:space="preserve">Remoção com agulha 18G; resolve espontaneamente</w:t>
            </w:r>
          </w:p>
        </w:tc>
      </w:tr>
      <w:tr>
        <w:tc>
          <w:tcPr>
            <w:shd w:fill="FFFFFF" w:val="clear"/>
          </w:tcPr>
          <w:p>
            <w:pPr>
              <w:spacing w:before="40" w:after="40"/>
            </w:pPr>
            <w:r>
              <w:t xml:space="preserve">Infecção</w:t>
            </w:r>
          </w:p>
        </w:tc>
        <w:tc>
          <w:tcPr>
            <w:shd w:fill="FFFFFF" w:val="clear"/>
          </w:tcPr>
          <w:p>
            <w:pPr>
              <w:spacing w:before="40" w:after="40"/>
            </w:pPr>
            <w:r>
              <w:t xml:space="preserve">&lt; 0,1%</w:t>
            </w:r>
          </w:p>
        </w:tc>
        <w:tc>
          <w:tcPr>
            <w:shd w:fill="FFFFFF" w:val="clear"/>
          </w:tcPr>
          <w:p>
            <w:pPr>
              <w:spacing w:before="40" w:after="40"/>
            </w:pPr>
            <w:r>
              <w:t xml:space="preserve">Raro; pálpebra tem excelente vascularização</w:t>
            </w:r>
          </w:p>
        </w:tc>
        <w:tc>
          <w:tcPr>
            <w:shd w:fill="FFFFFF" w:val="clear"/>
          </w:tcPr>
          <w:p>
            <w:pPr>
              <w:spacing w:before="40" w:after="40"/>
            </w:pPr>
            <w:r>
              <w:t xml:space="preserve">ATB tópico + sistêmico se celulite</w:t>
            </w:r>
          </w:p>
        </w:tc>
      </w:tr>
    </w:tbl>
    <w:p>
      <w:pPr>
        <w:pStyle w:val="Heading1"/>
        <w:spacing w:before="400" w:after="120"/>
      </w:pPr>
      <w:r>
        <w:t xml:space="preserve">7. Procedimentos Complementares</w:t>
      </w:r>
    </w:p>
    <w:p>
      <w:pPr>
        <w:pStyle w:val="Heading2"/>
        <w:spacing w:before="280" w:after="80"/>
      </w:pPr>
      <w:r>
        <w:t xml:space="preserve">7.1 Resurfacing Periocular</w:t>
      </w:r>
    </w:p>
    <w:p>
      <w:pPr>
        <w:spacing w:after="100"/>
      </w:pPr>
      <w:r>
        <w:t xml:space="preserve">O laser CO₂ ou Er:YAG pode ser aplicado na pele da pálpebra inferior como alternativa à excisão de pele, melhorando rugas finas e textura sem risco de retração por excisão. É frequentemente combinado com blefaroplastia transconjuntival (para tratar gordura) + pinch excision (para excesso de pele mínimo) ou laser isolado. Cuidado: resurfacing da pálpebra inferior combinado com blefaroplastia transcutânea aumenta o risco de retração cicatricial.</w:t>
      </w:r>
      <w:r>
        <w:rPr>
          <w:i/>
          <w:iCs/>
          <w:color w:val="808080"/>
          <w:sz w:val="18"/>
          <w:szCs w:val="18"/>
        </w:rPr>
        <w:t xml:space="preserve"> (Neligan, 2023, vol. 2, cap. 9)</w:t>
      </w:r>
    </w:p>
    <w:p>
      <w:pPr>
        <w:pStyle w:val="Heading2"/>
        <w:spacing w:before="280" w:after="80"/>
      </w:pPr>
      <w:r>
        <w:t xml:space="preserve">7.2 Lipoenxertia Periocular</w:t>
      </w:r>
    </w:p>
    <w:p>
      <w:pPr>
        <w:spacing w:after="100"/>
      </w:pPr>
      <w:r>
        <w:t xml:space="preserve">A lipoenxertia pode ser usada para restaurar volume no tear trough, sulco palpebro-malar e região temporal. Técnica de microfat ou nanofat com cânula de 0,7–1,0 mm. A injeção deve ser profunda (suborbicular/supraperiosteal) para evitar irregularidades visíveis na pele fina da pálpebra. O volume deve ser conservador (0,5–1,5 mL por lado no tear trough) pelo risco de sobrecorreção em área de pele fina.</w:t>
      </w:r>
      <w:r>
        <w:rPr>
          <w:i/>
          <w:iCs/>
          <w:color w:val="808080"/>
          <w:sz w:val="18"/>
          <w:szCs w:val="18"/>
        </w:rPr>
        <w:t xml:space="preserve"> (Grabb &amp; Smith, 2024, cap. 35)</w:t>
      </w:r>
    </w:p>
    <w:p>
      <w:pPr>
        <w:pStyle w:val="Heading1"/>
        <w:spacing w:before="400" w:after="120"/>
      </w:pPr>
      <w:r>
        <w:t xml:space="preserve">8. Pós-operatório</w:t>
      </w:r>
    </w:p>
    <w:p>
      <w:pPr>
        <w:spacing w:after="100"/>
      </w:pPr>
      <w:r>
        <w:t xml:space="preserve">Compressas geladas intermitentes por 48 h (20 min on / 20 min off). Elevação da cabeça a 30–45° para reduzir edema. Lubrificante ocular (colírio e pomada) a cada 2–4 horas inicialmente. Evitar atividades que aumentem a pressão venosa (exercício, Valsalva, curvar-se) por 2 semanas. Retirada de suturas cutâneas em 5–7 dias. O edema grosseiro resolve em 2–4 semanas; o resultado final é visto em 3–6 meses. Equimose é esperada e dura 7–14 dias. Fotoproteção rigorosa por 3–6 meses.</w:t>
      </w:r>
      <w:r>
        <w:rPr>
          <w:i/>
          <w:iCs/>
          <w:color w:val="808080"/>
          <w:sz w:val="18"/>
          <w:szCs w:val="18"/>
        </w:rPr>
        <w:t xml:space="preserve"> (Neligan, 2023, vol. 2, caps. 8–9; Operative Dictations, 2017, caps. 8–10)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BF8F00" w:val="clear"/>
          </w:tcPr>
          <w:p>
            <w:pPr>
              <w:jc w:val="center"/>
            </w:pPr>
            <w:r>
              <w:rPr>
                <w:b/>
                <w:bCs/>
                <w:color w:val="FFFFFF"/>
              </w:rPr>
              <w:t xml:space="preserve">Parâmetro</w:t>
            </w:r>
          </w:p>
        </w:tc>
        <w:tc>
          <w:tcPr>
            <w:shd w:fill="BF8F00" w:val="clear"/>
          </w:tcPr>
          <w:p>
            <w:pPr>
              <w:jc w:val="center"/>
            </w:pPr>
            <w:r>
              <w:rPr>
                <w:b/>
                <w:bCs/>
                <w:color w:val="FFFFFF"/>
              </w:rPr>
              <w:t xml:space="preserve">Valor de Referência</w:t>
            </w:r>
          </w:p>
        </w:tc>
      </w:tr>
      <w:tr>
        <w:tc>
          <w:tcPr>
            <w:shd w:fill="FFFF99" w:val="clear"/>
          </w:tcPr>
          <w:p>
            <w:r>
              <w:rPr>
                <w:b/>
                <w:bCs/>
              </w:rPr>
              <w:t xml:space="preserve">MRD1 normal</w:t>
            </w:r>
          </w:p>
        </w:tc>
        <w:tc>
          <w:tcPr>
            <w:shd w:fill="FFFACD" w:val="clear"/>
          </w:tcPr>
          <w:p>
            <w:r>
              <w:t xml:space="preserve">4–5 mm (&lt; 2 mm = ptose)</w:t>
            </w:r>
          </w:p>
        </w:tc>
      </w:tr>
      <w:tr>
        <w:tc>
          <w:tcPr>
            <w:shd w:fill="FFFF99" w:val="clear"/>
          </w:tcPr>
          <w:p>
            <w:r>
              <w:rPr>
                <w:b/>
                <w:bCs/>
              </w:rPr>
              <w:t xml:space="preserve">MRD2 normal</w:t>
            </w:r>
          </w:p>
        </w:tc>
        <w:tc>
          <w:tcPr>
            <w:shd w:fill="FFFACD" w:val="clear"/>
          </w:tcPr>
          <w:p>
            <w:r>
              <w:t xml:space="preserve">5 mm</w:t>
            </w:r>
          </w:p>
        </w:tc>
      </w:tr>
      <w:tr>
        <w:tc>
          <w:tcPr>
            <w:shd w:fill="FFFF99" w:val="clear"/>
          </w:tcPr>
          <w:p>
            <w:r>
              <w:rPr>
                <w:b/>
                <w:bCs/>
              </w:rPr>
              <w:t xml:space="preserve">Fissura palpebral — largura</w:t>
            </w:r>
          </w:p>
        </w:tc>
        <w:tc>
          <w:tcPr>
            <w:shd w:fill="FFFACD" w:val="clear"/>
          </w:tcPr>
          <w:p>
            <w:r>
              <w:t xml:space="preserve">28–32 mm</w:t>
            </w:r>
          </w:p>
        </w:tc>
      </w:tr>
      <w:tr>
        <w:tc>
          <w:tcPr>
            <w:shd w:fill="FFFF99" w:val="clear"/>
          </w:tcPr>
          <w:p>
            <w:r>
              <w:rPr>
                <w:b/>
                <w:bCs/>
              </w:rPr>
              <w:t xml:space="preserve">Fissura palpebral — altura</w:t>
            </w:r>
          </w:p>
        </w:tc>
        <w:tc>
          <w:tcPr>
            <w:shd w:fill="FFFACD" w:val="clear"/>
          </w:tcPr>
          <w:p>
            <w:r>
              <w:t xml:space="preserve">10–12 mm</w:t>
            </w:r>
          </w:p>
        </w:tc>
      </w:tr>
      <w:tr>
        <w:tc>
          <w:tcPr>
            <w:shd w:fill="FFFF99" w:val="clear"/>
          </w:tcPr>
          <w:p>
            <w:r>
              <w:rPr>
                <w:b/>
                <w:bCs/>
              </w:rPr>
              <w:t xml:space="preserve">Prega palpebral superior ♀</w:t>
            </w:r>
          </w:p>
        </w:tc>
        <w:tc>
          <w:tcPr>
            <w:shd w:fill="FFFACD" w:val="clear"/>
          </w:tcPr>
          <w:p>
            <w:r>
              <w:t xml:space="preserve">8–10 mm da margem ciliar</w:t>
            </w:r>
          </w:p>
        </w:tc>
      </w:tr>
      <w:tr>
        <w:tc>
          <w:tcPr>
            <w:shd w:fill="FFFF99" w:val="clear"/>
          </w:tcPr>
          <w:p>
            <w:r>
              <w:rPr>
                <w:b/>
                <w:bCs/>
              </w:rPr>
              <w:t xml:space="preserve">Prega palpebral superior ♂</w:t>
            </w:r>
          </w:p>
        </w:tc>
        <w:tc>
          <w:tcPr>
            <w:shd w:fill="FFFACD" w:val="clear"/>
          </w:tcPr>
          <w:p>
            <w:r>
              <w:t xml:space="preserve">7–8 mm da margem ciliar</w:t>
            </w:r>
          </w:p>
        </w:tc>
      </w:tr>
      <w:tr>
        <w:tc>
          <w:tcPr>
            <w:shd w:fill="FFFF99" w:val="clear"/>
          </w:tcPr>
          <w:p>
            <w:r>
              <w:rPr>
                <w:b/>
                <w:bCs/>
              </w:rPr>
              <w:t xml:space="preserve">Prega palpebral — dupla pálpebra asiática</w:t>
            </w:r>
          </w:p>
        </w:tc>
        <w:tc>
          <w:tcPr>
            <w:shd w:fill="FFFACD" w:val="clear"/>
          </w:tcPr>
          <w:p>
            <w:r>
              <w:t xml:space="preserve">6–8 mm (&lt; caucasiana)</w:t>
            </w:r>
          </w:p>
        </w:tc>
      </w:tr>
      <w:tr>
        <w:tc>
          <w:tcPr>
            <w:shd w:fill="FFFF99" w:val="clear"/>
          </w:tcPr>
          <w:p>
            <w:r>
              <w:rPr>
                <w:b/>
                <w:bCs/>
              </w:rPr>
              <w:t xml:space="preserve">Mínimo de pele entre margem ciliar e sobrancelha</w:t>
            </w:r>
          </w:p>
        </w:tc>
        <w:tc>
          <w:tcPr>
            <w:shd w:fill="FFFACD" w:val="clear"/>
          </w:tcPr>
          <w:p>
            <w:r>
              <w:t xml:space="preserve">≥ 20 mm (segurança contra lagoftalmo)</w:t>
            </w:r>
          </w:p>
        </w:tc>
      </w:tr>
      <w:tr>
        <w:tc>
          <w:tcPr>
            <w:shd w:fill="FFFF99" w:val="clear"/>
          </w:tcPr>
          <w:p>
            <w:r>
              <w:rPr>
                <w:b/>
                <w:bCs/>
              </w:rPr>
              <w:t xml:space="preserve">Tarso superior — altura</w:t>
            </w:r>
          </w:p>
        </w:tc>
        <w:tc>
          <w:tcPr>
            <w:shd w:fill="FFFACD" w:val="clear"/>
          </w:tcPr>
          <w:p>
            <w:r>
              <w:t xml:space="preserve">10–12 mm</w:t>
            </w:r>
          </w:p>
        </w:tc>
      </w:tr>
      <w:tr>
        <w:tc>
          <w:tcPr>
            <w:shd w:fill="FFFF99" w:val="clear"/>
          </w:tcPr>
          <w:p>
            <w:r>
              <w:rPr>
                <w:b/>
                <w:bCs/>
              </w:rPr>
              <w:t xml:space="preserve">Tarso inferior — altura</w:t>
            </w:r>
          </w:p>
        </w:tc>
        <w:tc>
          <w:tcPr>
            <w:shd w:fill="FFFACD" w:val="clear"/>
          </w:tcPr>
          <w:p>
            <w:r>
              <w:t xml:space="preserve">3,5–5 mm</w:t>
            </w:r>
          </w:p>
        </w:tc>
      </w:tr>
      <w:tr>
        <w:tc>
          <w:tcPr>
            <w:shd w:fill="FFFF99" w:val="clear"/>
          </w:tcPr>
          <w:p>
            <w:r>
              <w:rPr>
                <w:b/>
                <w:bCs/>
              </w:rPr>
              <w:t xml:space="preserve">Schirmer &lt; 10 mm / 5 min</w:t>
            </w:r>
          </w:p>
        </w:tc>
        <w:tc>
          <w:tcPr>
            <w:shd w:fill="FFFACD" w:val="clear"/>
          </w:tcPr>
          <w:p>
            <w:r>
              <w:t xml:space="preserve">Risco de olho seco — contraindicação relativa</w:t>
            </w:r>
          </w:p>
        </w:tc>
      </w:tr>
      <w:tr>
        <w:tc>
          <w:tcPr>
            <w:shd w:fill="FFFF99" w:val="clear"/>
          </w:tcPr>
          <w:p>
            <w:r>
              <w:rPr>
                <w:b/>
                <w:bCs/>
              </w:rPr>
              <w:t xml:space="preserve">Schirmer &lt; 5 mm / 5 min</w:t>
            </w:r>
          </w:p>
        </w:tc>
        <w:tc>
          <w:tcPr>
            <w:shd w:fill="FFFACD" w:val="clear"/>
          </w:tcPr>
          <w:p>
            <w:r>
              <w:t xml:space="preserve">Olho seco grave — contraindicação relativa forte</w:t>
            </w:r>
          </w:p>
        </w:tc>
      </w:tr>
      <w:tr>
        <w:tc>
          <w:tcPr>
            <w:shd w:fill="FFFF99" w:val="clear"/>
          </w:tcPr>
          <w:p>
            <w:r>
              <w:rPr>
                <w:b/>
                <w:bCs/>
              </w:rPr>
              <w:t xml:space="preserve">Distraction test — anormal</w:t>
            </w:r>
          </w:p>
        </w:tc>
        <w:tc>
          <w:tcPr>
            <w:shd w:fill="FFFACD" w:val="clear"/>
          </w:tcPr>
          <w:p>
            <w:r>
              <w:t xml:space="preserve">≥ 6 mm (laxidez → cantoplastia)</w:t>
            </w:r>
          </w:p>
        </w:tc>
      </w:tr>
      <w:tr>
        <w:tc>
          <w:tcPr>
            <w:shd w:fill="FFFF99" w:val="clear"/>
          </w:tcPr>
          <w:p>
            <w:r>
              <w:rPr>
                <w:b/>
                <w:bCs/>
              </w:rPr>
              <w:t xml:space="preserve">Snap-back test — anormal</w:t>
            </w:r>
          </w:p>
        </w:tc>
        <w:tc>
          <w:tcPr>
            <w:shd w:fill="FFFACD" w:val="clear"/>
          </w:tcPr>
          <w:p>
            <w:r>
              <w:t xml:space="preserve">Retorno lento &gt; 1 segundo</w:t>
            </w:r>
          </w:p>
        </w:tc>
      </w:tr>
      <w:tr>
        <w:tc>
          <w:tcPr>
            <w:shd w:fill="FFFF99" w:val="clear"/>
          </w:tcPr>
          <w:p>
            <w:r>
              <w:rPr>
                <w:b/>
                <w:bCs/>
              </w:rPr>
              <w:t xml:space="preserve">Incidência de hematoma retrobulbar</w:t>
            </w:r>
          </w:p>
        </w:tc>
        <w:tc>
          <w:tcPr>
            <w:shd w:fill="FFFACD" w:val="clear"/>
          </w:tcPr>
          <w:p>
            <w:r>
              <w:t xml:space="preserve">0,04–0,05%</w:t>
            </w:r>
          </w:p>
        </w:tc>
      </w:tr>
      <w:tr>
        <w:tc>
          <w:tcPr>
            <w:shd w:fill="FFFF99" w:val="clear"/>
          </w:tcPr>
          <w:p>
            <w:r>
              <w:rPr>
                <w:b/>
                <w:bCs/>
              </w:rPr>
              <w:t xml:space="preserve">Tempo para isquemia retiniana irreversível</w:t>
            </w:r>
          </w:p>
        </w:tc>
        <w:tc>
          <w:tcPr>
            <w:shd w:fill="FFFACD" w:val="clear"/>
          </w:tcPr>
          <w:p>
            <w:r>
              <w:t xml:space="preserve">60–100 minutos</w:t>
            </w:r>
          </w:p>
        </w:tc>
      </w:tr>
      <w:tr>
        <w:tc>
          <w:tcPr>
            <w:shd w:fill="FFFF99" w:val="clear"/>
          </w:tcPr>
          <w:p>
            <w:r>
              <w:rPr>
                <w:b/>
                <w:bCs/>
              </w:rPr>
              <w:t xml:space="preserve">Cantotomia + cantólise — quando</w:t>
            </w:r>
          </w:p>
        </w:tc>
        <w:tc>
          <w:tcPr>
            <w:shd w:fill="FFFACD" w:val="clear"/>
          </w:tcPr>
          <w:p>
            <w:r>
              <w:t xml:space="preserve">IMEDIATA ao diagnóstico de hematoma retrobulbar</w:t>
            </w:r>
          </w:p>
        </w:tc>
      </w:tr>
      <w:tr>
        <w:tc>
          <w:tcPr>
            <w:shd w:fill="FFFF99" w:val="clear"/>
          </w:tcPr>
          <w:p>
            <w:r>
              <w:rPr>
                <w:b/>
                <w:bCs/>
              </w:rPr>
              <w:t xml:space="preserve">Função LPS — boa</w:t>
            </w:r>
          </w:p>
        </w:tc>
        <w:tc>
          <w:tcPr>
            <w:shd w:fill="FFFACD" w:val="clear"/>
          </w:tcPr>
          <w:p>
            <w:r>
              <w:t xml:space="preserve">≥ 12 mm (excursão)</w:t>
            </w:r>
          </w:p>
        </w:tc>
      </w:tr>
      <w:tr>
        <w:tc>
          <w:tcPr>
            <w:shd w:fill="FFFF99" w:val="clear"/>
          </w:tcPr>
          <w:p>
            <w:r>
              <w:rPr>
                <w:b/>
                <w:bCs/>
              </w:rPr>
              <w:t xml:space="preserve">Função LPS — moderada</w:t>
            </w:r>
          </w:p>
        </w:tc>
        <w:tc>
          <w:tcPr>
            <w:shd w:fill="FFFACD" w:val="clear"/>
          </w:tcPr>
          <w:p>
            <w:r>
              <w:t xml:space="preserve">5–11 mm</w:t>
            </w:r>
          </w:p>
        </w:tc>
      </w:tr>
      <w:tr>
        <w:tc>
          <w:tcPr>
            <w:shd w:fill="FFFF99" w:val="clear"/>
          </w:tcPr>
          <w:p>
            <w:r>
              <w:rPr>
                <w:b/>
                <w:bCs/>
              </w:rPr>
              <w:t xml:space="preserve">Função LPS — pobre</w:t>
            </w:r>
          </w:p>
        </w:tc>
        <w:tc>
          <w:tcPr>
            <w:shd w:fill="FFFACD" w:val="clear"/>
          </w:tcPr>
          <w:p>
            <w:r>
              <w:t xml:space="preserve">&lt; 5 mm (indicar suspensão frontal)</w:t>
            </w:r>
          </w:p>
        </w:tc>
      </w:tr>
      <w:tr>
        <w:tc>
          <w:tcPr>
            <w:shd w:fill="FFFF99" w:val="clear"/>
          </w:tcPr>
          <w:p>
            <w:r>
              <w:rPr>
                <w:b/>
                <w:bCs/>
              </w:rPr>
              <w:t xml:space="preserve">Elevação com fenilefrina 2,5% — positivo</w:t>
            </w:r>
          </w:p>
        </w:tc>
        <w:tc>
          <w:tcPr>
            <w:shd w:fill="FFFACD" w:val="clear"/>
          </w:tcPr>
          <w:p>
            <w:r>
              <w:t xml:space="preserve">≥ 1,5 mm (candidato a Müllerectomy)</w:t>
            </w:r>
          </w:p>
        </w:tc>
      </w:tr>
      <w:tr>
        <w:tc>
          <w:tcPr>
            <w:shd w:fill="FFFF99" w:val="clear"/>
          </w:tcPr>
          <w:p>
            <w:r>
              <w:rPr>
                <w:b/>
                <w:bCs/>
              </w:rPr>
              <w:t xml:space="preserve">Müllerectomy — indicação</w:t>
            </w:r>
          </w:p>
        </w:tc>
        <w:tc>
          <w:tcPr>
            <w:shd w:fill="FFFACD" w:val="clear"/>
          </w:tcPr>
          <w:p>
            <w:r>
              <w:t xml:space="preserve">Ptose leve (MRD1 2–3 mm) + fenilefrina positiva</w:t>
            </w:r>
          </w:p>
        </w:tc>
      </w:tr>
      <w:tr>
        <w:tc>
          <w:tcPr>
            <w:shd w:fill="FFFF99" w:val="clear"/>
          </w:tcPr>
          <w:p>
            <w:r>
              <w:rPr>
                <w:b/>
                <w:bCs/>
              </w:rPr>
              <w:t xml:space="preserve">Posição normal do canto lateral vs. medial</w:t>
            </w:r>
          </w:p>
        </w:tc>
        <w:tc>
          <w:tcPr>
            <w:shd w:fill="FFFACD" w:val="clear"/>
          </w:tcPr>
          <w:p>
            <w:r>
              <w:t xml:space="preserve">Canto lateral 2 mm acima do medial</w:t>
            </w:r>
          </w:p>
        </w:tc>
      </w:tr>
      <w:tr>
        <w:tc>
          <w:tcPr>
            <w:shd w:fill="FFFF99" w:val="clear"/>
          </w:tcPr>
          <w:p>
            <w:r>
              <w:rPr>
                <w:b/>
                <w:bCs/>
              </w:rPr>
              <w:t xml:space="preserve">Retirada de suturas — blefaroplastia</w:t>
            </w:r>
          </w:p>
        </w:tc>
        <w:tc>
          <w:tcPr>
            <w:shd w:fill="FFFACD" w:val="clear"/>
          </w:tcPr>
          <w:p>
            <w:r>
              <w:t xml:space="preserve">5–7 dias</w:t>
            </w:r>
          </w:p>
        </w:tc>
      </w:tr>
      <w:tr>
        <w:tc>
          <w:tcPr>
            <w:shd w:fill="FFFF99" w:val="clear"/>
          </w:tcPr>
          <w:p>
            <w:r>
              <w:rPr>
                <w:b/>
                <w:bCs/>
              </w:rPr>
              <w:t xml:space="preserve">Resultado final — quando avaliar</w:t>
            </w:r>
          </w:p>
        </w:tc>
        <w:tc>
          <w:tcPr>
            <w:shd w:fill="FFFACD" w:val="clear"/>
          </w:tcPr>
          <w:p>
            <w:r>
              <w:t xml:space="preserve">3–6 meses</w:t>
            </w:r>
          </w:p>
        </w:tc>
      </w:tr>
      <w:tr>
        <w:tc>
          <w:tcPr>
            <w:shd w:fill="FFFF99" w:val="clear"/>
          </w:tcPr>
          <w:p>
            <w:r>
              <w:rPr>
                <w:b/>
                <w:bCs/>
              </w:rPr>
              <w:t xml:space="preserve">Recorrência de prega em sutura (asiática)</w:t>
            </w:r>
          </w:p>
        </w:tc>
        <w:tc>
          <w:tcPr>
            <w:shd w:fill="FFFACD" w:val="clear"/>
          </w:tcPr>
          <w:p>
            <w:r>
              <w:t xml:space="preserve">15–30% a longo prazo</w:t>
            </w:r>
          </w:p>
        </w:tc>
      </w:tr>
    </w:tbl>
    <w:p>
      <w:pPr>
        <w:pStyle w:val="Heading1"/>
        <w:spacing w:before="400" w:after="120"/>
      </w:pPr>
      <w:r>
        <w:t xml:space="preserve">Referências-Base</w:t>
      </w:r>
    </w:p>
    <w:p>
      <w:pPr>
        <w:spacing w:after="100"/>
      </w:pPr>
      <w:r>
        <w:t xml:space="preserve">Neligan PC (Ed.). Plastic Surgery, 5ª Ed. Elsevier, 2023. Vol. 2 — Aesthetic: Cap. 8 (Upper Eyelid Blepharoplasty, Codner &amp; McCord), Cap. 9 (Lower Eyelid Blepharoplasty, Codner &amp; Hester).</w:t>
      </w:r>
    </w:p>
    <w:p>
      <w:pPr>
        <w:spacing w:after="100"/>
      </w:pPr>
      <w:r>
        <w:t xml:space="preserve">Grotting JC, Neligan PC (Ed.). Grabb &amp; Smith's Plastic Surgery, 9ª Ed. Wolters Kluwer, 2024. Cap. 34 (Evaluation of the Aging Face and Neck), Cap. 35 (Blepharoplasty).</w:t>
      </w:r>
    </w:p>
    <w:p>
      <w:pPr>
        <w:spacing w:after="100"/>
      </w:pPr>
      <w:r>
        <w:t xml:space="preserve">Neligan PC (Ed.). Core Procedures in Plastic Surgery, 2ª Ed. Elsevier, 2020. Cap. 3 (Blepharoplasty).</w:t>
      </w:r>
    </w:p>
    <w:p>
      <w:pPr>
        <w:spacing w:after="100"/>
      </w:pPr>
      <w:r>
        <w:t xml:space="preserve">Tasman AJ, Lam SM (Ed.). Operative Dictations in Plastic and Reconstructive Surgery. Springer, 2017. Caps. 8 (Upper Blepharoplasty), 9 (Lower Blepharoplasty Transconjunctival), 10 (Lower Blepharoplasty Transcutaneous).</w:t>
      </w:r>
    </w:p>
    <w:p>
      <w:pPr>
        <w:pStyle w:val="Heading1"/>
        <w:spacing w:before="400" w:after="120"/>
      </w:pPr>
      <w:r>
        <w:t xml:space="preserve">Atualizações Incorporadas — v2.0 (2026-04-02)</w:t>
      </w:r>
    </w:p>
    <w:p>
      <w:pPr>
        <w:spacing w:after="100"/>
      </w:pPr>
      <w:r>
        <w:t xml:space="preserve">Stein MJ et al. Practice Patterns in Blepharoplasty: 15-Year Review of ABPS Data. Plast Reconstr Surg 2025;155(5):895–901.</w:t>
      </w:r>
    </w:p>
    <w:p>
      <w:pPr>
        <w:spacing w:after="100"/>
      </w:pPr>
      <w:r>
        <w:t xml:space="preserve">Park NS et al. Early Grafting Using AlloDerm to Correct Upper Eyelid Retraction. Plast Reconstr Surg 2025;156(2):189e–193e.</w:t>
      </w:r>
    </w:p>
    <w:p>
      <w:pPr>
        <w:spacing w:after="100"/>
      </w:pPr>
      <w:r>
        <w:t xml:space="preserve">Nomoto S, Ogawa R. Subtarsal Capsulopalpebral Fascia Incision: New Paradigm for Ectropion-Free Lower Blepharoplasty. Plast Reconstr Surg 2026;157(4):486e–495e.</w:t>
      </w:r>
    </w:p>
    <w:p>
      <w:pPr>
        <w:spacing w:after="100"/>
      </w:pPr>
      <w:r>
        <w:t xml:space="preserve">Chen J et al. Fat Repositioning with Deep Fat Excision in Transcutaneous Lower Blepharoplasty. Plast Reconstr Surg 2026;157(4):622–631.</w:t>
      </w:r>
    </w:p>
    <w:p>
      <w:pPr>
        <w:spacing w:after="100"/>
      </w:pPr>
      <w:r>
        <w:t xml:space="preserve">Yu AY et al. Conservative Crease-Height-Adjustable Asian Double-Eyelid Surgery. Plast Reconstr Surg 2025;156(1):29–40.</w:t>
      </w:r>
    </w:p>
    <w:p>
      <w:pPr>
        <w:spacing w:after="100"/>
      </w:pPr>
      <w:r>
        <w:t xml:space="preserve">Li X et al. Aesthetic Correction of Mild Blepharoptosis: Balancing Hering's Law. Plast Reconstr Surg 2026;157(1):38e–48e.</w:t>
      </w:r>
    </w:p>
    <w:p>
      <w:pPr>
        <w:spacing w:after="100"/>
      </w:pPr>
      <w:r>
        <w:t xml:space="preserve">Todorov D et al. Functional and Aesthetic Outcomes After Upper Blepharoplasty: Meta-analysis. Aesthet Surg J 2025;45(6):554–562.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400" w:after="120"/>
    </w:pPr>
    <w:rPr>
      <w:b/>
      <w:bCs/>
      <w:color w:val="1F3864"/>
      <w:sz w:val="28"/>
      <w:szCs w:val="28"/>
    </w:rPr>
  </w:style>
  <w:style w:type="paragraph" w:styleId="Heading2">
    <w:name w:val="Heading 2"/>
    <w:basedOn w:val="Normal"/>
    <w:pPr>
      <w:spacing w:before="280" w:after="80"/>
    </w:pPr>
    <w:rPr>
      <w:b/>
      <w:bCs/>
      <w:color w:val="2E75B6"/>
      <w:sz w:val="24"/>
      <w:szCs w:val="24"/>
    </w:rPr>
  </w:style>
  <w:style w:type="paragraph" w:styleId="Heading3">
    <w:name w:val="Heading 3"/>
    <w:basedOn w:val="Normal"/>
    <w:pPr>
      <w:spacing w:before="200" w:after="60"/>
    </w:pPr>
    <w:rPr>
      <w:b/>
      <w:bCs/>
      <w:color w:val="2E74B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2026-04-02T05:15:18.864Z</dcterms:created>
  <dcterms:modified xsi:type="dcterms:W3CDTF">2026-04-02T05:15:18.864Z</dcterms:modified>
</cp:coreProperties>
</file>

<file path=docProps/custom.xml><?xml version="1.0" encoding="utf-8"?>
<Properties xmlns="http://schemas.openxmlformats.org/officeDocument/2006/custom-properties" xmlns:vt="http://schemas.openxmlformats.org/officeDocument/2006/docPropsVTypes"/>
</file>