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4500"/>
        <w:gridCol w:w="4526"/>
      </w:tblGrid>
      <w:tr>
        <w:tc>
          <w:tcPr>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60" w:after="60"/>
            </w:pPr>
            <w:r>
              <w:rPr>
                <w:rFonts w:ascii="Arial" w:cs="Arial" w:eastAsia="Arial" w:hAnsi="Arial"/>
                <w:b/>
                <w:bCs/>
                <w:color w:val="1A56A0"/>
                <w:sz w:val="26"/>
                <w:szCs w:val="26"/>
              </w:rPr>
              <w:t xml:space="preserve">Arthur MÔ</w:t>
            </w:r>
          </w:p>
          <w:p>
            <w:pPr>
              <w:spacing w:before="60" w:after="60"/>
            </w:pPr>
            <w:r>
              <w:rPr>
                <w:rFonts w:ascii="Arial" w:cs="Arial" w:eastAsia="Arial" w:hAnsi="Arial"/>
                <w:color w:val="555555"/>
                <w:sz w:val="20"/>
                <w:szCs w:val="20"/>
              </w:rPr>
              <w:t xml:space="preserve">Ingénieur Data &amp; IA - Freelance</w:t>
            </w:r>
          </w:p>
          <w:p>
            <w:pPr>
              <w:spacing w:before="0" w:after="0"/>
            </w:pPr>
            <w:r>
              <w:rPr>
                <w:sz w:val="20"/>
                <w:szCs w:val="20"/>
              </w:rPr>
              <w:t xml:space="preserve"> </w:t>
            </w:r>
          </w:p>
          <w:p>
            <w:pPr>
              <w:spacing w:before="60" w:after="60"/>
            </w:pPr>
            <w:r>
              <w:rPr>
                <w:rFonts w:ascii="Arial" w:cs="Arial" w:eastAsia="Arial" w:hAnsi="Arial"/>
                <w:color w:val="222222"/>
                <w:sz w:val="20"/>
                <w:szCs w:val="20"/>
              </w:rPr>
              <w:t xml:space="preserve">arthur.mo.perso@gmail.com</w:t>
            </w:r>
          </w:p>
        </w:tc>
        <w:tc>
          <w:tcPr>
            <w:tcBorders>
              <w:top w:val="none" w:color="FFFFFF" w:sz="0"/>
              <w:left w:val="none" w:color="FFFFFF" w:sz="0"/>
              <w:bottom w:val="none" w:color="FFFFFF" w:sz="0"/>
              <w:right w:val="none" w:color="FFFFFF" w:sz="0"/>
            </w:tcBorders>
            <w:tcMar>
              <w:top w:type="dxa" w:w="0"/>
              <w:left w:type="dxa" w:w="200"/>
              <w:bottom w:type="dxa" w:w="0"/>
              <w:right w:type="dxa" w:w="0"/>
            </w:tcMar>
          </w:tcPr>
          <w:tbl>
            <w:tblPr>
              <w:tblW w:type="dxa" w:w="4326"/>
              <w:tblBorders>
                <w:top w:val="single" w:color="auto" w:sz="4"/>
                <w:left w:val="single" w:color="auto" w:sz="4"/>
                <w:bottom w:val="single" w:color="auto" w:sz="4"/>
                <w:right w:val="single" w:color="auto" w:sz="4"/>
                <w:insideH w:val="single" w:color="auto" w:sz="4"/>
                <w:insideV w:val="single" w:color="auto" w:sz="4"/>
              </w:tblBorders>
            </w:tblPr>
            <w:tblGrid>
              <w:gridCol w:w="2000"/>
              <w:gridCol w:w="2326"/>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b/>
                      <w:bCs/>
                      <w:color w:val="555555"/>
                      <w:sz w:val="19"/>
                      <w:szCs w:val="19"/>
                    </w:rPr>
                    <w:t xml:space="preserve">Devis N°</w:t>
                  </w:r>
                </w:p>
              </w:tc>
              <w:tc>
                <w:tcPr>
                  <w:tcW w:type="dxa" w:w="2326"/>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222222"/>
                      <w:sz w:val="19"/>
                      <w:szCs w:val="19"/>
                    </w:rPr>
                    <w:t xml:space="preserve">2026-002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9"/>
                      <w:szCs w:val="19"/>
                    </w:rPr>
                    <w:t xml:space="preserve">Date</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20 février 2026</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b/>
                      <w:bCs/>
                      <w:color w:val="555555"/>
                      <w:sz w:val="19"/>
                      <w:szCs w:val="19"/>
                    </w:rPr>
                    <w:t xml:space="preserve">Validité</w:t>
                  </w:r>
                </w:p>
              </w:tc>
              <w:tc>
                <w:tcPr>
                  <w:tcW w:type="dxa" w:w="2326"/>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222222"/>
                      <w:sz w:val="19"/>
                      <w:szCs w:val="19"/>
                    </w:rPr>
                    <w:t xml:space="preserve">30 jours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9"/>
                      <w:szCs w:val="19"/>
                    </w:rPr>
                    <w:t xml:space="preserve">Client</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Karoly Spy</w:t>
                  </w:r>
                </w:p>
              </w:tc>
            </w:tr>
          </w:tbl>
          <w:p/>
        </w:tc>
      </w:tr>
    </w:tbl>
    <w:p>
      <w:pPr>
        <w:spacing w:before="0" w:after="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026"/>
      </w:tblGrid>
      <w:tr>
        <w:tc>
          <w:tcPr>
            <w:tcBorders>
              <w:top w:val="single" w:color="1A56A0" w:sz="1"/>
              <w:left w:val="single" w:color="1A56A0" w:sz="8"/>
              <w:bottom w:val="single" w:color="1A56A0" w:sz="1"/>
              <w:right w:val="single" w:color="1A56A0" w:sz="1"/>
            </w:tcBorders>
            <w:shd w:fill="EEF4FB" w:val="clear"/>
            <w:tcMar>
              <w:top w:type="dxa" w:w="100"/>
              <w:left w:type="dxa" w:w="200"/>
              <w:bottom w:type="dxa" w:w="100"/>
              <w:right w:type="dxa" w:w="200"/>
            </w:tcMar>
          </w:tcPr>
          <w:p>
            <w:pPr>
              <w:spacing w:before="60" w:after="60"/>
            </w:pPr>
            <w:r>
              <w:rPr>
                <w:rFonts w:ascii="Arial" w:cs="Arial" w:eastAsia="Arial" w:hAnsi="Arial"/>
                <w:b/>
                <w:bCs/>
                <w:color w:val="1A56A0"/>
                <w:sz w:val="22"/>
                <w:szCs w:val="22"/>
              </w:rPr>
              <w:t xml:space="preserve">Objet : </w:t>
            </w:r>
            <w:r>
              <w:rPr>
                <w:rFonts w:ascii="Arial" w:cs="Arial" w:eastAsia="Arial" w:hAnsi="Arial"/>
                <w:color w:val="222222"/>
                <w:sz w:val="22"/>
                <w:szCs w:val="22"/>
              </w:rPr>
              <w:t xml:space="preserve">Développement de la plateforme web Projet KS Endurance Training - Espace coach &amp; athlètes, Race Analysis, Comparaison de courses, Cartographie</w:t>
            </w:r>
          </w:p>
        </w:tc>
      </w:tr>
    </w:tbl>
    <w:p>
      <w:pPr>
        <w:spacing w:before="0" w:after="0"/>
      </w:pPr>
      <w:r>
        <w:rPr>
          <w:sz w:val="20"/>
          <w:szCs w:val="20"/>
        </w:rPr>
        <w:t xml:space="preserve"> </w:t>
      </w:r>
    </w:p>
    <w:p>
      <w:pPr>
        <w:pBdr>
          <w:bottom w:val="single" w:color="1A56A0" w:sz="4" w:space="4"/>
        </w:pBdr>
        <w:spacing w:before="280" w:after="100"/>
      </w:pPr>
      <w:r>
        <w:rPr>
          <w:rFonts w:ascii="Arial" w:cs="Arial" w:eastAsia="Arial" w:hAnsi="Arial"/>
          <w:b/>
          <w:bCs/>
          <w:color w:val="1A56A0"/>
          <w:sz w:val="22"/>
          <w:szCs w:val="22"/>
        </w:rPr>
        <w:t xml:space="preserve">CONTEXTE</w:t>
      </w:r>
    </w:p>
    <w:p>
      <w:pPr>
        <w:spacing w:before="60" w:after="60"/>
      </w:pPr>
      <w:r>
        <w:rPr>
          <w:rFonts w:ascii="Arial" w:cs="Arial" w:eastAsia="Arial" w:hAnsi="Arial"/>
          <w:color w:val="222222"/>
          <w:sz w:val="22"/>
          <w:szCs w:val="22"/>
        </w:rPr>
        <w:t xml:space="preserve">Ce devis fait suite à la livraison de la Phase 1 de Projet KS Endurance Training (ingestion automatique Nolio, calcul des métriques physiologiques, tableau de bord Retool) et à la validation de la feuille de route des Phases 2 &amp; 3 présentée dans le brief du 20 février 2026.</w:t>
      </w:r>
    </w:p>
    <w:p>
      <w:pPr>
        <w:spacing w:before="0" w:after="0"/>
      </w:pPr>
      <w:r>
        <w:rPr>
          <w:sz w:val="20"/>
          <w:szCs w:val="20"/>
        </w:rPr>
        <w:t xml:space="preserve"> </w:t>
      </w:r>
    </w:p>
    <w:p>
      <w:pPr>
        <w:spacing w:before="60" w:after="60"/>
      </w:pPr>
      <w:r>
        <w:rPr>
          <w:rFonts w:ascii="Arial" w:cs="Arial" w:eastAsia="Arial" w:hAnsi="Arial"/>
          <w:color w:val="222222"/>
          <w:sz w:val="22"/>
          <w:szCs w:val="22"/>
        </w:rPr>
        <w:t xml:space="preserve">Le périmètre a évolué par rapport à l'estimation initiale : la vision arrêtée ensemble porte désormais sur une plateforme web complète avec espace coach, espace athlète, et des modules d'analyse avancée des compétitions. Le devis est structuré en deux lots livrables indépendamment.</w:t>
      </w:r>
    </w:p>
    <w:p>
      <w:pPr>
        <w:spacing w:before="0" w:after="0"/>
      </w:pPr>
      <w:r>
        <w:rPr>
          <w:sz w:val="20"/>
          <w:szCs w:val="20"/>
        </w:rPr>
        <w:t xml:space="preserve"> </w:t>
      </w:r>
    </w:p>
    <w:p>
      <w:pPr>
        <w:pBdr>
          <w:bottom w:val="single" w:color="1A56A0" w:sz="4" w:space="4"/>
        </w:pBdr>
        <w:spacing w:before="280" w:after="100"/>
      </w:pPr>
      <w:r>
        <w:rPr>
          <w:rFonts w:ascii="Arial" w:cs="Arial" w:eastAsia="Arial" w:hAnsi="Arial"/>
          <w:b/>
          <w:bCs/>
          <w:color w:val="1A56A0"/>
          <w:sz w:val="22"/>
          <w:szCs w:val="22"/>
        </w:rPr>
        <w:t xml:space="preserve">DÉTAIL DES PRESTATIONS</w:t>
      </w:r>
    </w:p>
    <w:p>
      <w:pPr>
        <w:spacing w:before="0" w:after="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4400"/>
        <w:gridCol w:w="800"/>
        <w:gridCol w:w="1400"/>
        <w:gridCol w:w="2426"/>
      </w:tblGrid>
      <w:tr>
        <w:tc>
          <w:tcPr>
            <w:tcW w:type="dxa" w:w="4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Désignation</w:t>
            </w:r>
          </w:p>
        </w:tc>
        <w:tc>
          <w:tcPr>
            <w:tcW w:type="dxa" w:w="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Qté (h)</w:t>
            </w:r>
          </w:p>
        </w:tc>
        <w:tc>
          <w:tcPr>
            <w:tcW w:type="dxa" w:w="1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Prix unitaire</w:t>
            </w:r>
          </w:p>
        </w:tc>
        <w:tc>
          <w:tcPr>
            <w:tcW w:type="dxa" w:w="2426"/>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w:t>
            </w:r>
          </w:p>
        </w:tc>
      </w:tr>
      <w:tr>
        <w:tc>
          <w:tcPr>
            <w:gridSpan w:val="5"/>
            <w:tcBorders>
              <w:top w:val="single" w:color="1A56A0" w:sz="1"/>
              <w:left w:val="single" w:color="1A56A0" w:sz="1"/>
              <w:bottom w:val="single" w:color="1A56A0" w:sz="1"/>
              <w:right w:val="single" w:color="1A56A0" w:sz="1"/>
            </w:tcBorders>
            <w:shd w:fill="D6E4F5" w:val="clear"/>
            <w:tcMar>
              <w:top w:type="dxa" w:w="80"/>
              <w:left w:type="dxa" w:w="140"/>
              <w:bottom w:type="dxa" w:w="80"/>
              <w:right w:type="dxa" w:w="140"/>
            </w:tcMar>
          </w:tcPr>
          <w:p>
            <w:r>
              <w:rPr>
                <w:rFonts w:ascii="Arial" w:cs="Arial" w:eastAsia="Arial" w:hAnsi="Arial"/>
                <w:b/>
                <w:bCs/>
                <w:color w:val="1A56A0"/>
                <w:sz w:val="20"/>
                <w:szCs w:val="20"/>
              </w:rPr>
              <w:t xml:space="preserve">LOT 1 - MVP Plateforme (Modules 1, 2 &amp; 3)</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22222"/>
                <w:sz w:val="19"/>
                <w:szCs w:val="19"/>
              </w:rPr>
              <w:t xml:space="preserve">Dashboard coach : migration Retool → web app, heatmap de charge, détection manuelle d'intervalles (fallback Nolio), gestion des utilisateurs (invitations, groupes, suppressions), bouton Reprocess</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800 €</w:t>
            </w:r>
          </w:p>
        </w:tc>
      </w:tr>
      <w:tr>
        <w:tc>
          <w:tcPr>
            <w:tcW w:type="dxa" w:w="44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tcPr>
          <w:p>
            <w:r>
              <w:rPr>
                <w:rFonts w:ascii="Arial" w:cs="Arial" w:eastAsia="Arial" w:hAnsi="Arial"/>
                <w:color w:val="222222"/>
                <w:sz w:val="19"/>
                <w:szCs w:val="19"/>
              </w:rPr>
              <w:t xml:space="preserve">Espace athlète : authentification multi-rôles, vue calendrier semaine/mois/année, filtres de séances, visualisations (découplage, intervalles), feedback coach ↔ athlète</w:t>
            </w:r>
          </w:p>
        </w:tc>
        <w:tc>
          <w:tcPr>
            <w:tcW w:type="dxa" w:w="8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28</w:t>
            </w:r>
          </w:p>
        </w:tc>
        <w:tc>
          <w:tcPr>
            <w:tcW w:type="dxa" w:w="14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1 120 €</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22222"/>
                <w:sz w:val="19"/>
                <w:szCs w:val="19"/>
              </w:rPr>
              <w:t xml:space="preserve">Fiches semaine &amp; mois : KPIs automatiques, analyses textuelles par règles, export PDF à la marque Karoly Spy</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600 €</w:t>
            </w:r>
          </w:p>
        </w:tc>
      </w:tr>
      <w:tr>
        <w:tc>
          <w:tcPr>
            <w:tcW w:type="dxa" w:w="44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tcPr>
          <w:p>
            <w:r>
              <w:rPr>
                <w:rFonts w:ascii="Arial" w:cs="Arial" w:eastAsia="Arial" w:hAnsi="Arial"/>
                <w:color w:val="222222"/>
                <w:sz w:val="19"/>
                <w:szCs w:val="19"/>
              </w:rPr>
              <w:t xml:space="preserve">Setup technique : Next.js, Supabase Auth, Railway, domaine, CI/CD</w:t>
            </w:r>
          </w:p>
        </w:tc>
        <w:tc>
          <w:tcPr>
            <w:tcW w:type="dxa" w:w="8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7</w:t>
            </w:r>
          </w:p>
        </w:tc>
        <w:tc>
          <w:tcPr>
            <w:tcW w:type="dxa" w:w="14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280 €</w:t>
            </w:r>
          </w:p>
        </w:tc>
      </w:tr>
      <w:tr>
        <w:tc>
          <w:tcPr>
            <w:gridSpan w:val="3"/>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right"/>
            </w:pPr>
            <w:r>
              <w:rPr>
                <w:rFonts w:ascii="Arial" w:cs="Arial" w:eastAsia="Arial" w:hAnsi="Arial"/>
                <w:b/>
                <w:bCs/>
                <w:color w:val="222222"/>
                <w:sz w:val="20"/>
                <w:szCs w:val="20"/>
              </w:rPr>
              <w:t xml:space="preserve">Sous-total LOT 1</w:t>
            </w:r>
          </w:p>
        </w:tc>
        <w:tc>
          <w:tcPr>
            <w:tcW w:type="dxa" w:w="2426"/>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Arial" w:cs="Arial" w:eastAsia="Arial" w:hAnsi="Arial"/>
                <w:b/>
                <w:bCs/>
                <w:color w:val="1A56A0"/>
                <w:sz w:val="20"/>
                <w:szCs w:val="20"/>
              </w:rPr>
              <w:t xml:space="preserve">2 800 €</w:t>
            </w:r>
          </w:p>
        </w:tc>
      </w:tr>
      <w:tr>
        <w:tc>
          <w:tcPr>
            <w:gridSpan w:val="5"/>
            <w:tcBorders>
              <w:top w:val="single" w:color="1A56A0" w:sz="1"/>
              <w:left w:val="single" w:color="1A56A0" w:sz="1"/>
              <w:bottom w:val="single" w:color="1A56A0" w:sz="1"/>
              <w:right w:val="single" w:color="1A56A0" w:sz="1"/>
            </w:tcBorders>
            <w:shd w:fill="D6E4F5" w:val="clear"/>
            <w:tcMar>
              <w:top w:type="dxa" w:w="80"/>
              <w:left w:type="dxa" w:w="140"/>
              <w:bottom w:type="dxa" w:w="80"/>
              <w:right w:type="dxa" w:w="140"/>
            </w:tcMar>
          </w:tcPr>
          <w:p>
            <w:r>
              <w:rPr>
                <w:rFonts w:ascii="Arial" w:cs="Arial" w:eastAsia="Arial" w:hAnsi="Arial"/>
                <w:b/>
                <w:bCs/>
                <w:color w:val="1A56A0"/>
                <w:sz w:val="20"/>
                <w:szCs w:val="20"/>
              </w:rPr>
              <w:t xml:space="preserve">LOT 2 - Features Avancées (Modules 4, 5 &amp; 6)</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22222"/>
                <w:sz w:val="19"/>
                <w:szCs w:val="19"/>
              </w:rPr>
              <w:t xml:space="preserve">Espace compétition &amp; Race Analysis : détection automatique, découplage par discipline (nat/vélo/run), analyse des transitions T1/T2, fiche de course exportable</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1 400 €</w:t>
            </w:r>
          </w:p>
        </w:tc>
      </w:tr>
      <w:tr>
        <w:tc>
          <w:tcPr>
            <w:tcW w:type="dxa" w:w="44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tcPr>
          <w:p>
            <w:r>
              <w:rPr>
                <w:rFonts w:ascii="Arial" w:cs="Arial" w:eastAsia="Arial" w:hAnsi="Arial"/>
                <w:color w:val="222222"/>
                <w:sz w:val="19"/>
                <w:szCs w:val="19"/>
              </w:rPr>
              <w:t xml:space="preserve">Comparaison de courses : mode toggle, comparaison métriques entre éditions (ex : Embrunman 2025 vs 2024)</w:t>
            </w:r>
          </w:p>
        </w:tc>
        <w:tc>
          <w:tcPr>
            <w:tcW w:type="dxa" w:w="8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17</w:t>
            </w:r>
          </w:p>
        </w:tc>
        <w:tc>
          <w:tcPr>
            <w:tcW w:type="dxa" w:w="1400"/>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0F0F0"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680 €</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22222"/>
                <w:sz w:val="19"/>
                <w:szCs w:val="19"/>
              </w:rPr>
              <w:t xml:space="preserve">Cartographie : Mapbox (compétitions) + Leaflet/OpenFreeMap (séances), tracé coloré par intensité</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40 €/h</w:t>
            </w:r>
          </w:p>
        </w:tc>
        <w:tc>
          <w:tcPr>
            <w:tcW w:type="dxa" w:w="24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center"/>
          </w:tcPr>
          <w:p>
            <w:pPr>
              <w:jc w:val="center"/>
            </w:pPr>
            <w:r>
              <w:rPr>
                <w:rFonts w:ascii="Arial" w:cs="Arial" w:eastAsia="Arial" w:hAnsi="Arial"/>
                <w:color w:val="222222"/>
                <w:sz w:val="19"/>
                <w:szCs w:val="19"/>
              </w:rPr>
              <w:t xml:space="preserve">400 €</w:t>
            </w:r>
          </w:p>
        </w:tc>
      </w:tr>
      <w:tr>
        <w:tc>
          <w:tcPr>
            <w:gridSpan w:val="3"/>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right"/>
            </w:pPr>
            <w:r>
              <w:rPr>
                <w:rFonts w:ascii="Arial" w:cs="Arial" w:eastAsia="Arial" w:hAnsi="Arial"/>
                <w:b/>
                <w:bCs/>
                <w:color w:val="222222"/>
                <w:sz w:val="20"/>
                <w:szCs w:val="20"/>
              </w:rPr>
              <w:t xml:space="preserve">Sous-total LOT 2</w:t>
            </w:r>
          </w:p>
        </w:tc>
        <w:tc>
          <w:tcPr>
            <w:tcW w:type="dxa" w:w="2426"/>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Arial" w:cs="Arial" w:eastAsia="Arial" w:hAnsi="Arial"/>
                <w:b/>
                <w:bCs/>
                <w:color w:val="1A56A0"/>
                <w:sz w:val="20"/>
                <w:szCs w:val="20"/>
              </w:rPr>
              <w:t xml:space="preserve">2 480 €</w:t>
            </w:r>
          </w:p>
        </w:tc>
      </w:tr>
      <w:tr>
        <w:tc>
          <w:tcPr>
            <w:gridSpan w:val="3"/>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w:t>
            </w:r>
          </w:p>
        </w:tc>
        <w:tc>
          <w:tcPr>
            <w:tcW w:type="dxa" w:w="2426"/>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5 280 €</w:t>
            </w:r>
          </w:p>
        </w:tc>
      </w:tr>
      <w:tr>
        <w:tc>
          <w:tcPr>
            <w:gridSpan w:val="3"/>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right"/>
            </w:pPr>
            <w:r>
              <w:rPr>
                <w:rFonts w:ascii="Arial" w:cs="Arial" w:eastAsia="Arial" w:hAnsi="Arial"/>
                <w:i/>
                <w:iCs/>
                <w:color w:val="666666"/>
                <w:sz w:val="19"/>
                <w:szCs w:val="19"/>
              </w:rPr>
              <w:t xml:space="preserve">TVA non applicable - art. 293 B du CGI</w:t>
            </w:r>
          </w:p>
        </w:tc>
        <w:tc>
          <w:tcPr>
            <w:tcW w:type="dxa" w:w="2426"/>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center"/>
            </w:pPr>
            <w:r>
              <w:rPr>
                <w:rFonts w:ascii="Arial" w:cs="Arial" w:eastAsia="Arial" w:hAnsi="Arial"/>
                <w:i/>
                <w:iCs/>
                <w:color w:val="666666"/>
                <w:sz w:val="19"/>
                <w:szCs w:val="19"/>
              </w:rPr>
              <w:t xml:space="preserve">0 €</w:t>
            </w:r>
          </w:p>
        </w:tc>
      </w:tr>
    </w:tbl>
    <w:p>
      <w:pPr>
        <w:spacing w:before="0" w:after="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9026"/>
      </w:tblGrid>
      <w:tr>
        <w:tc>
          <w:tcPr>
            <w:tcBorders>
              <w:top w:val="none" w:color="FFFFFF" w:sz="0"/>
              <w:left w:val="single" w:color="CCCCCC" w:sz="8"/>
              <w:bottom w:val="none" w:color="FFFFFF" w:sz="0"/>
              <w:right w:val="none" w:color="FFFFFF" w:sz="0"/>
            </w:tcBorders>
            <w:shd w:fill="FFFFFF" w:val="clear"/>
            <w:tcMar>
              <w:top w:type="dxa" w:w="60"/>
              <w:left w:type="dxa" w:w="200"/>
              <w:bottom w:type="dxa" w:w="60"/>
              <w:right w:type="dxa" w:w="200"/>
            </w:tcMar>
          </w:tcPr>
          <w:p>
            <w:pPr>
              <w:spacing w:before="60" w:after="60"/>
            </w:pPr>
            <w:r>
              <w:rPr>
                <w:rFonts w:ascii="Arial" w:cs="Arial" w:eastAsia="Arial" w:hAnsi="Arial"/>
                <w:i/>
                <w:iCs/>
                <w:color w:val="666666"/>
                <w:sz w:val="19"/>
                <w:szCs w:val="19"/>
              </w:rPr>
              <w:t xml:space="preserve">Note sur le périmètre : le Lot 1 peut être livré et mis en production indépendamment du Lot 2. Le Lot 2 sera commandé séparément sur validation du Lot 1.</w:t>
            </w:r>
          </w:p>
        </w:tc>
      </w:tr>
    </w:tbl>
    <w:p>
      <w:pPr>
        <w:spacing w:before="0" w:after="0"/>
      </w:pPr>
      <w:r>
        <w:rPr>
          <w:sz w:val="20"/>
          <w:szCs w:val="20"/>
        </w:rPr>
        <w:t xml:space="preserve"> </w:t>
      </w:r>
    </w:p>
    <w:p>
      <w:pPr>
        <w:pBdr>
          <w:bottom w:val="single" w:color="1A56A0" w:sz="4" w:space="4"/>
        </w:pBdr>
        <w:spacing w:before="280" w:after="100"/>
      </w:pPr>
      <w:r>
        <w:rPr>
          <w:rFonts w:ascii="Arial" w:cs="Arial" w:eastAsia="Arial" w:hAnsi="Arial"/>
          <w:b/>
          <w:bCs/>
          <w:color w:val="1A56A0"/>
          <w:sz w:val="22"/>
          <w:szCs w:val="22"/>
        </w:rPr>
        <w:t xml:space="preserve">CONDITIONS</w:t>
      </w:r>
    </w:p>
    <w:p>
      <w:pPr>
        <w:spacing w:before="0" w:after="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Modalités de paiement</w:t>
            </w:r>
          </w:p>
        </w:tc>
        <w:tc>
          <w:tcPr>
            <w:tcW w:type="dxa" w:w="6626"/>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before="20" w:after="20"/>
            </w:pPr>
            <w:r>
              <w:rPr>
                <w:rFonts w:ascii="Arial" w:cs="Arial" w:eastAsia="Arial" w:hAnsi="Arial"/>
                <w:color w:val="222222"/>
                <w:sz w:val="20"/>
                <w:szCs w:val="20"/>
              </w:rPr>
              <w:t xml:space="preserve">Lot 1 (2 800 €) : 3 mensualités de 934 € - 1re à la commande, 2e à mi-livraison, 3e à la livraison finale.</w:t>
            </w:r>
          </w:p>
          <w:p>
            <w:pPr>
              <w:spacing w:before="20" w:after="20"/>
            </w:pPr>
            <w:r>
              <w:rPr>
                <w:rFonts w:ascii="Arial" w:cs="Arial" w:eastAsia="Arial" w:hAnsi="Arial"/>
                <w:color w:val="222222"/>
                <w:sz w:val="20"/>
                <w:szCs w:val="20"/>
              </w:rPr>
              <w:t xml:space="preserve">Lot 2 (2 480 €) : 3 mensualités de 827 € - même principe, démarrage après validation du Lot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Délai de livraison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20" w:after="20"/>
            </w:pPr>
            <w:r>
              <w:rPr>
                <w:rFonts w:ascii="Arial" w:cs="Arial" w:eastAsia="Arial" w:hAnsi="Arial"/>
                <w:color w:val="222222"/>
                <w:sz w:val="20"/>
                <w:szCs w:val="20"/>
              </w:rPr>
              <w:t xml:space="preserve">Lot 1 : environ 6 semaines après commande.</w:t>
            </w:r>
          </w:p>
          <w:p>
            <w:pPr>
              <w:spacing w:before="20" w:after="20"/>
            </w:pPr>
            <w:r>
              <w:rPr>
                <w:rFonts w:ascii="Arial" w:cs="Arial" w:eastAsia="Arial" w:hAnsi="Arial"/>
                <w:color w:val="222222"/>
                <w:sz w:val="20"/>
                <w:szCs w:val="20"/>
              </w:rPr>
              <w:t xml:space="preserve">Lot 2 : environ 5 semaines après commande du Lot 2.</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Retours &amp; révisions</w:t>
            </w:r>
          </w:p>
        </w:tc>
        <w:tc>
          <w:tcPr>
            <w:tcW w:type="dxa" w:w="6626"/>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before="20" w:after="20"/>
            </w:pPr>
            <w:r>
              <w:rPr>
                <w:rFonts w:ascii="Arial" w:cs="Arial" w:eastAsia="Arial" w:hAnsi="Arial"/>
                <w:color w:val="222222"/>
                <w:sz w:val="20"/>
                <w:szCs w:val="20"/>
              </w:rPr>
              <w:t xml:space="preserve">3 cycles de retours inclus par lot.</w:t>
            </w:r>
          </w:p>
          <w:p>
            <w:pPr>
              <w:spacing w:before="20" w:after="20"/>
            </w:pPr>
            <w:r>
              <w:rPr>
                <w:rFonts w:ascii="Arial" w:cs="Arial" w:eastAsia="Arial" w:hAnsi="Arial"/>
                <w:color w:val="222222"/>
                <w:sz w:val="20"/>
                <w:szCs w:val="20"/>
              </w:rPr>
              <w:t xml:space="preserve">Corrections de bugs gratuites pendant 60 jours après livraison (bug = fonctionnalité ne respectant pas le devis).</w:t>
            </w:r>
          </w:p>
          <w:p>
            <w:pPr>
              <w:spacing w:before="20" w:after="20"/>
            </w:pPr>
            <w:r>
              <w:rPr>
                <w:rFonts w:ascii="Arial" w:cs="Arial" w:eastAsia="Arial" w:hAnsi="Arial"/>
                <w:color w:val="222222"/>
                <w:sz w:val="20"/>
                <w:szCs w:val="20"/>
              </w:rPr>
              <w:t xml:space="preserve">Évolutions et nouvelles fonctionnalités hors scope facturées à 40 € HT/h.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Propriété intellectuelle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20" w:after="20"/>
            </w:pPr>
            <w:r>
              <w:rPr>
                <w:rFonts w:ascii="Arial" w:cs="Arial" w:eastAsia="Arial" w:hAnsi="Arial"/>
                <w:color w:val="222222"/>
                <w:sz w:val="20"/>
                <w:szCs w:val="20"/>
              </w:rPr>
              <w:t xml:space="preserve">Le code livré est la propriété exclusive de Karoly Spy à réception de la dernière mensualité de chaque lot.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Validité du devis</w:t>
            </w:r>
          </w:p>
        </w:tc>
        <w:tc>
          <w:tcPr>
            <w:tcW w:type="dxa" w:w="6626"/>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before="20" w:after="20"/>
            </w:pPr>
            <w:r>
              <w:rPr>
                <w:rFonts w:ascii="Arial" w:cs="Arial" w:eastAsia="Arial" w:hAnsi="Arial"/>
                <w:color w:val="222222"/>
                <w:sz w:val="20"/>
                <w:szCs w:val="20"/>
              </w:rPr>
              <w:t xml:space="preserve">30 jours à compter de la date d'émission.</w:t>
            </w:r>
          </w:p>
        </w:tc>
      </w:tr>
    </w:tbl>
    <w:p>
      <w:pPr>
        <w:spacing w:before="0" w:after="0"/>
      </w:pPr>
      <w:r>
        <w:rPr>
          <w:sz w:val="20"/>
          <w:szCs w:val="20"/>
        </w:rPr>
        <w:t xml:space="preserve"> </w:t>
      </w:r>
    </w:p>
    <w:p>
      <w:pPr>
        <w:pBdr>
          <w:bottom w:val="single" w:color="1A56A0" w:sz="4" w:space="4"/>
        </w:pBdr>
        <w:spacing w:before="280" w:after="100"/>
      </w:pPr>
      <w:r>
        <w:rPr>
          <w:rFonts w:ascii="Arial" w:cs="Arial" w:eastAsia="Arial" w:hAnsi="Arial"/>
          <w:b/>
          <w:bCs/>
          <w:color w:val="1A56A0"/>
          <w:sz w:val="22"/>
          <w:szCs w:val="22"/>
        </w:rPr>
        <w:t xml:space="preserve">BON POUR ACCORD</w:t>
      </w:r>
    </w:p>
    <w:p>
      <w:pPr>
        <w:spacing w:before="0" w:after="0"/>
      </w:pPr>
      <w:r>
        <w:rPr>
          <w:sz w:val="20"/>
          <w:szCs w:val="20"/>
        </w:rPr>
        <w:t xml:space="preserve"> </w:t>
      </w:r>
    </w:p>
    <w:p>
      <w:pPr>
        <w:spacing w:before="60" w:after="60"/>
      </w:pPr>
      <w:r>
        <w:rPr>
          <w:rFonts w:ascii="Arial" w:cs="Arial" w:eastAsia="Arial" w:hAnsi="Arial"/>
          <w:color w:val="222222"/>
          <w:sz w:val="22"/>
          <w:szCs w:val="22"/>
        </w:rPr>
        <w:t xml:space="preserve">En signant ce document, le client accepte les conditions ci-dessus et autorise le démarrage des travaux du lot concerné.</w:t>
      </w:r>
    </w:p>
    <w:p>
      <w:pPr>
        <w:spacing w:before="0" w:after="0"/>
      </w:pPr>
      <w:r>
        <w:rPr>
          <w:sz w:val="20"/>
          <w:szCs w:val="20"/>
        </w:rPr>
        <w:t xml:space="preserve"> </w:t>
      </w:r>
    </w:p>
    <w:p>
      <w:pPr>
        <w:spacing w:before="0" w:after="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0"/>
        </w:tblCellMar>
      </w:tblPr>
      <w:tblGrid>
        <w:gridCol w:w="4400"/>
        <w:gridCol w:w="4626"/>
      </w:tblGrid>
      <w:tr>
        <w:tc>
          <w:tcPr>
            <w:tcBorders>
              <w:top w:val="single" w:color="CCCCCC" w:sz="1"/>
              <w:left w:val="single" w:color="CCCCCC" w:sz="1"/>
              <w:bottom w:val="single" w:color="CCCCCC" w:sz="1"/>
              <w:right w:val="single" w:color="CCCCCC" w:sz="1"/>
            </w:tcBorders>
            <w:shd w:fill="F0F0F0" w:val="clear"/>
            <w:tcMar>
              <w:top w:type="dxa" w:w="120"/>
              <w:left w:type="dxa" w:w="200"/>
              <w:bottom w:type="dxa" w:w="200"/>
              <w:right w:type="dxa" w:w="200"/>
            </w:tcMar>
          </w:tcPr>
          <w:p>
            <w:pPr>
              <w:spacing w:before="60" w:after="60"/>
            </w:pPr>
            <w:r>
              <w:rPr>
                <w:rFonts w:ascii="Arial" w:cs="Arial" w:eastAsia="Arial" w:hAnsi="Arial"/>
                <w:b/>
                <w:bCs/>
                <w:color w:val="1A56A0"/>
                <w:sz w:val="22"/>
                <w:szCs w:val="22"/>
              </w:rPr>
              <w:t xml:space="preserve">Le prestataire</w:t>
            </w:r>
          </w:p>
          <w:p>
            <w:pPr>
              <w:spacing w:before="60" w:after="60"/>
            </w:pPr>
            <w:r>
              <w:rPr>
                <w:rFonts w:ascii="Arial" w:cs="Arial" w:eastAsia="Arial" w:hAnsi="Arial"/>
                <w:color w:val="222222"/>
                <w:sz w:val="20"/>
                <w:szCs w:val="20"/>
              </w:rPr>
              <w:t xml:space="preserve">Arthur MÔ</w:t>
            </w:r>
          </w:p>
          <w:p>
            <w:pPr>
              <w:spacing w:before="0" w:after="0"/>
            </w:pPr>
            <w:r>
              <w:rPr>
                <w:sz w:val="20"/>
                <w:szCs w:val="20"/>
              </w:rPr>
              <w:t xml:space="preserve"> </w:t>
            </w:r>
          </w:p>
          <w:p>
            <w:pPr>
              <w:spacing w:before="0" w:after="0"/>
            </w:pPr>
            <w:r>
              <w:rPr>
                <w:sz w:val="20"/>
                <w:szCs w:val="20"/>
              </w:rPr>
              <w:t xml:space="preserve"> </w:t>
            </w:r>
          </w:p>
          <w:p>
            <w:pPr>
              <w:spacing w:before="60" w:after="60"/>
            </w:pPr>
            <w:r>
              <w:rPr>
                <w:rFonts w:ascii="Arial" w:cs="Arial" w:eastAsia="Arial" w:hAnsi="Arial"/>
                <w:color w:val="888888"/>
                <w:sz w:val="19"/>
                <w:szCs w:val="19"/>
              </w:rPr>
              <w:t xml:space="preserve">Signature :</w:t>
            </w:r>
          </w:p>
          <w:p>
            <w:pPr>
              <w:spacing w:before="0" w:after="0"/>
            </w:pPr>
            <w:r>
              <w:rPr>
                <w:sz w:val="20"/>
                <w:szCs w:val="20"/>
              </w:rPr>
              <w:t xml:space="preserve"> </w:t>
            </w:r>
          </w:p>
        </w:tc>
        <w:tc>
          <w:tcPr>
            <w:tcBorders>
              <w:top w:val="single" w:color="CCCCCC" w:sz="1"/>
              <w:left w:val="single" w:color="CCCCCC" w:sz="1"/>
              <w:bottom w:val="single" w:color="CCCCCC" w:sz="1"/>
              <w:right w:val="single" w:color="CCCCCC" w:sz="1"/>
            </w:tcBorders>
            <w:shd w:fill="F0F0F0" w:val="clear"/>
            <w:tcMar>
              <w:top w:type="dxa" w:w="120"/>
              <w:left w:type="dxa" w:w="200"/>
              <w:bottom w:type="dxa" w:w="200"/>
              <w:right w:type="dxa" w:w="200"/>
            </w:tcMar>
          </w:tcPr>
          <w:p>
            <w:pPr>
              <w:spacing w:before="60" w:after="60"/>
            </w:pPr>
            <w:r>
              <w:rPr>
                <w:rFonts w:ascii="Arial" w:cs="Arial" w:eastAsia="Arial" w:hAnsi="Arial"/>
                <w:b/>
                <w:bCs/>
                <w:color w:val="1A56A0"/>
                <w:sz w:val="22"/>
                <w:szCs w:val="22"/>
              </w:rPr>
              <w:t xml:space="preserve">Le client</w:t>
            </w:r>
          </w:p>
          <w:p>
            <w:pPr>
              <w:spacing w:before="60" w:after="60"/>
            </w:pPr>
            <w:r>
              <w:rPr>
                <w:rFonts w:ascii="Arial" w:cs="Arial" w:eastAsia="Arial" w:hAnsi="Arial"/>
                <w:color w:val="222222"/>
                <w:sz w:val="20"/>
                <w:szCs w:val="20"/>
              </w:rPr>
              <w:t xml:space="preserve">Karoly Spy</w:t>
            </w:r>
          </w:p>
          <w:p>
            <w:pPr>
              <w:spacing w:before="0" w:after="0"/>
            </w:pPr>
            <w:r>
              <w:rPr>
                <w:sz w:val="20"/>
                <w:szCs w:val="20"/>
              </w:rPr>
              <w:t xml:space="preserve"> </w:t>
            </w:r>
          </w:p>
          <w:p>
            <w:pPr>
              <w:spacing w:before="0" w:after="0"/>
            </w:pPr>
            <w:r>
              <w:rPr>
                <w:sz w:val="20"/>
                <w:szCs w:val="20"/>
              </w:rPr>
              <w:t xml:space="preserve"> </w:t>
            </w:r>
          </w:p>
          <w:p>
            <w:pPr>
              <w:spacing w:before="60" w:after="60"/>
            </w:pPr>
            <w:r>
              <w:rPr>
                <w:rFonts w:ascii="Arial" w:cs="Arial" w:eastAsia="Arial" w:hAnsi="Arial"/>
                <w:color w:val="888888"/>
                <w:sz w:val="19"/>
                <w:szCs w:val="19"/>
              </w:rPr>
              <w:t xml:space="preserve">Signature + mention « Bon pour accord » :</w:t>
            </w:r>
          </w:p>
          <w:p>
            <w:pPr>
              <w:spacing w:before="0" w:after="0"/>
            </w:pPr>
            <w:r>
              <w:rPr>
                <w:sz w:val="20"/>
                <w:szCs w:val="20"/>
              </w:rPr>
              <w:t xml:space="preserve"> </w:t>
            </w:r>
          </w:p>
        </w:tc>
      </w:tr>
    </w:tbl>
    <w:sectPr>
      <w:headerReference w:type="default" r:id="rId6"/>
      <w:footerReference w:type="default" r:id="rId7"/>
      <w:pgSz w:w="11906" w:h="16838" w:orient="portrait"/>
      <w:pgMar w:top="1200" w:right="1200" w:bottom="14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8"/>
      </w:pBdr>
      <w:tabs>
        <w:tab w:val="right" w:pos="9026"/>
      </w:tabs>
    </w:pPr>
    <w:r>
      <w:rPr>
        <w:rFonts w:ascii="Arial" w:cs="Arial" w:eastAsia="Arial" w:hAnsi="Arial"/>
        <w:b/>
        <w:bCs/>
        <w:color w:val="1A56A0"/>
        <w:sz w:val="18"/>
        <w:szCs w:val="18"/>
      </w:rPr>
      <w:t xml:space="preserve">DEVIS N° 2026-002</w:t>
    </w:r>
    <w:r>
      <w:rPr>
        <w:rFonts w:ascii="Arial" w:cs="Arial" w:eastAsia="Arial" w:hAnsi="Arial"/>
        <w:sz w:val="18"/>
        <w:szCs w:val="18"/>
      </w:rPr>
      <w:t xml:space="preserve">	</w:t>
    </w:r>
    <w:r>
      <w:rPr>
        <w:rFonts w:ascii="Arial" w:cs="Arial" w:eastAsia="Arial" w:hAnsi="Arial"/>
        <w:color w:val="888888"/>
        <w:sz w:val="18"/>
        <w:szCs w:val="18"/>
      </w:rPr>
      <w:t xml:space="preserve">Projet KS Endurance Training - Phases 2 &amp;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2026-02-20T14:55:21.389Z</dcterms:created>
  <dcterms:modified xsi:type="dcterms:W3CDTF">2026-02-20T14:55:21.390Z</dcterms:modified>
</cp:coreProperties>
</file>

<file path=docProps/custom.xml><?xml version="1.0" encoding="utf-8"?>
<Properties xmlns="http://schemas.openxmlformats.org/officeDocument/2006/custom-properties" xmlns:vt="http://schemas.openxmlformats.org/officeDocument/2006/docPropsVTypes"/>
</file>