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État de l’art</w:t>
      </w:r>
    </w:p>
    <w:p>
      <w:pPr>
        <w:jc w:val="center"/>
      </w:pPr>
      <w:r>
        <w:rPr>
          <w:color w:val="5A5A5A"/>
          <w:sz w:val="24"/>
        </w:rPr>
        <w:t>Accès aux soins, données territoriales et prix immobiliers</w:t>
      </w:r>
    </w:p>
    <w:p>
      <w:pPr>
        <w:jc w:val="center"/>
      </w:pPr>
      <w:r>
        <w:rPr>
          <w:color w:val="6E6E6E"/>
          <w:sz w:val="20"/>
        </w:rPr>
        <w:t>Projet API GEO — ESME Ingé2 — Avril 2026</w:t>
      </w:r>
    </w:p>
    <w:p/>
    <w:p>
      <w:r>
        <w:rPr>
          <w:b/>
          <w:color w:val="1F4E79"/>
        </w:rPr>
        <w:t>Informations</w:t>
      </w:r>
    </w:p>
    <w:p>
      <w:pPr>
        <w:ind w:left="227"/>
      </w:pPr>
      <w:r>
        <w:rPr>
          <w:b/>
        </w:rPr>
        <w:t xml:space="preserve">Étudiants : </w:t>
      </w:r>
      <w:r>
        <w:t>Juliette Rey, Arthur Mô, Maximilien Leymonerie</w:t>
      </w:r>
    </w:p>
    <w:p>
      <w:pPr>
        <w:ind w:left="227"/>
      </w:pPr>
      <w:r>
        <w:rPr>
          <w:b/>
        </w:rPr>
        <w:t xml:space="preserve">Encadrant : </w:t>
      </w:r>
      <w:r>
        <w:t>M. Lamine Amour</w:t>
      </w:r>
    </w:p>
    <w:p>
      <w:pPr>
        <w:ind w:left="227"/>
      </w:pPr>
      <w:r>
        <w:rPr>
          <w:b/>
        </w:rPr>
        <w:t xml:space="preserve">Angle retenu : </w:t>
      </w:r>
      <w:r>
        <w:t>Étudier si l’accessibilité médicale est associée aux prix immobiliers communaux.</w:t>
      </w:r>
    </w:p>
    <w:p>
      <w:pPr>
        <w:pStyle w:val="Heading1"/>
      </w:pPr>
      <w:r>
        <w:t>1. Pourquoi ce sujet</w:t>
      </w:r>
    </w:p>
    <w:p>
      <w:r>
        <w:t>Le projet part d’une idée simple : une commune ne se résume pas à son prix au mètre carré. L’accès aux services, et notamment aux médecins généralistes, participe à l’attractivité d’un territoire. Dans les zones rurales ou peu denses, cette question devient très concrète : quand les services médicaux se raréfient, cela peut peser sur les choix résidentiels, donc indirectement sur le marché immobilier.</w:t>
      </w:r>
    </w:p>
    <w:p>
      <w:r>
        <w:t>L’objectif n’est pas de prouver une causalité forte à ce stade. Avec les données disponibles dans le projet, nous cherchons plutôt à construire une analyse exploratoire sérieuse : observer les relations, contrôler quelques variables démographiques, et identifier ce que le modèle arrive ou non à expliquer.</w:t>
      </w:r>
    </w:p>
    <w:p>
      <w:pPr>
        <w:pStyle w:val="Heading1"/>
      </w:pPr>
      <w:r>
        <w:t>2. Données immobilières : DVF</w:t>
      </w:r>
    </w:p>
    <w:p>
      <w:r>
        <w:t>Les Demandes de Valeurs Foncières (DVF), publiées par la DGFiP et diffusées sur data.gouv.fr, sont la base publique de référence pour travailler sur les transactions immobilières en France. Elles donnent accès aux valeurs foncières, aux surfaces, aux types de biens, aux dates de mutation et aux codes communes.</w:t>
      </w:r>
    </w:p>
    <w:p>
      <w:r>
        <w:t>Dans notre projet, les transactions sont nettoyées puis agrégées à l’échelle de la commune. Ce choix rend la jointure possible avec les données de santé et de population, qui sont elles aussi communales. En contrepartie, on perd une partie de la finesse locale : deux quartiers d’une même commune peuvent avoir des marchés très différents.</w:t>
      </w:r>
    </w:p>
    <w:p>
      <w:pPr>
        <w:pStyle w:val="Heading1"/>
      </w:pPr>
      <w:r>
        <w:t>3. Accès aux soins : l’indicateur APL</w:t>
      </w:r>
    </w:p>
    <w:p>
      <w:r>
        <w:t>L’Accessibilité Potentielle Localisée (APL), produite par la DREES, mesure l’accessibilité aux médecins généralistes. L’indicateur ne se limite pas à compter des médecins : il tient aussi compte de la demande de soins, de la structure d’âge de la population et de la distance aux praticiens.</w:t>
      </w:r>
    </w:p>
    <w:p>
      <w:r>
        <w:t>C’est pour cela que l’APL est plus pertinent qu’un simple ratio médecins/habitants. Il donne une mesure synthétique de l’accès réel aux soins. Dans le projet, nous utilisons le score APL communal et le seuil de 2,5 consultations par an et par habitant pour identifier les communes en situation de sous-accessibilité.</w:t>
      </w:r>
    </w:p>
    <w:p>
      <w:pPr>
        <w:pStyle w:val="Heading1"/>
      </w:pPr>
      <w:r>
        <w:t>4. Variables territoriales de contrôle</w:t>
      </w:r>
    </w:p>
    <w:p>
      <w:r>
        <w:t>Une difficulté importante est d’éviter d’attribuer trop vite un effet au seul accès aux soins. Les prix immobiliers dépendent aussi de la densité, de la population, de l’attractivité locale, du nombre de transactions et de la structure du parc immobilier. Sans variables de contrôle, une corrélation entre APL et prix peut simplement refléter le fait que les communes plus urbaines ont à la fois plus de médecins et des prix plus élevés.</w:t>
      </w:r>
    </w:p>
    <w:p>
      <w:r>
        <w:t>Pour cette raison, le projet utilise l’API Géo pour récupérer les métadonnées communales, puis l’API OFGL « populations-ofgl-communes », construite à partir de données INSEE, pour ajouter la population communale de 2012, 2022 et 2024 ainsi que des variations de population.</w:t>
      </w:r>
    </w:p>
    <w:p>
      <w:pPr>
        <w:pStyle w:val="Heading1"/>
      </w:pPr>
      <w:r>
        <w:t>5. Modélisation des prix immobiliers</w:t>
      </w:r>
    </w:p>
    <w:p>
      <w:r>
        <w:t>La littérature sur la prédiction immobilière utilise souvent des modèles hédoniques : le prix est expliqué par un ensemble de caractéristiques du bien et de son environnement. Dans un projet court, avec des données agrégées à la commune, il est raisonnable d’utiliser un modèle interprétable plutôt qu’un modèle très complexe.</w:t>
      </w:r>
    </w:p>
    <w:p>
      <w:r>
        <w:t>Nous avons donc retenu un Random Forest. Il gère mieux les relations non linéaires qu’une régression linéaire simple et fournit une importance des variables. Cette importance ne doit pas être lue comme une preuve causale, mais elle aide à voir quelles variables structurent le plus les prédictions du modèle.</w:t>
      </w:r>
    </w:p>
    <w:p>
      <w:pPr>
        <w:pStyle w:val="Heading1"/>
      </w:pPr>
      <w:r>
        <w:t>6. Synthèse des sources</w:t>
      </w:r>
    </w:p>
    <w:p>
      <w:pPr>
        <w:pStyle w:val="ListBullet"/>
      </w:pPr>
      <w:r>
        <w:t>DVF : transactions immobilières, utilisé comme fichier local dvf.csv.</w:t>
      </w:r>
    </w:p>
    <w:p>
      <w:pPr>
        <w:pStyle w:val="ListBullet"/>
      </w:pPr>
      <w:r>
        <w:t>APL DREES : score d’accessibilité aux médecins, utilisé comme fichier local apl.xlsx ou apl.csv.</w:t>
      </w:r>
    </w:p>
    <w:p>
      <w:pPr>
        <w:pStyle w:val="ListBullet"/>
      </w:pPr>
      <w:r>
        <w:t>API Géo : noms de communes, population, surface, densité et département, avec cache local.</w:t>
      </w:r>
    </w:p>
    <w:p>
      <w:pPr>
        <w:pStyle w:val="ListBullet"/>
      </w:pPr>
      <w:r>
        <w:t>API OFGL / INSEE : populations communales 2012, 2022 et 2024, variations démographiques et typologies.</w:t>
      </w:r>
    </w:p>
    <w:p>
      <w:pPr>
        <w:pStyle w:val="Heading1"/>
      </w:pPr>
      <w:r>
        <w:t>7. Limites à garder en tête</w:t>
      </w:r>
    </w:p>
    <w:p>
      <w:pPr>
        <w:pStyle w:val="ListBullet"/>
      </w:pPr>
      <w:r>
        <w:t>Les données actuelles couvrent un seul département dans le fichier DVF utilisé.</w:t>
      </w:r>
    </w:p>
    <w:p>
      <w:pPr>
        <w:pStyle w:val="ListBullet"/>
      </w:pPr>
      <w:r>
        <w:t>L’analyse est principalement transversale : elle compare des communes, mais ne prouve pas encore une évolution dans le temps.</w:t>
      </w:r>
    </w:p>
    <w:p>
      <w:pPr>
        <w:pStyle w:val="ListBullet"/>
      </w:pPr>
      <w:r>
        <w:t>L’APL peut être corrélé à d’autres facteurs d’attractivité, comme l’urbanité ou la proximité de grands pôles.</w:t>
      </w:r>
    </w:p>
    <w:p>
      <w:pPr>
        <w:pStyle w:val="ListBullet"/>
      </w:pPr>
      <w:r>
        <w:t>Le modèle donne une aide à l’interprétation, pas une preuve que l’ouverture de médecins ferait mécaniquement monter les prix.</w:t>
      </w:r>
    </w:p>
    <w:p>
      <w:pPr>
        <w:pStyle w:val="Heading1"/>
      </w:pPr>
      <w:r>
        <w:t>Bibliographie et sources</w:t>
      </w:r>
    </w:p>
    <w:p>
      <w:pPr>
        <w:pStyle w:val="ListBullet"/>
      </w:pPr>
      <w:r>
        <w:t>DGFiP, Demandes de Valeurs Foncières (DVF), data.gouv.fr.</w:t>
      </w:r>
    </w:p>
    <w:p>
      <w:pPr>
        <w:pStyle w:val="ListBullet"/>
      </w:pPr>
      <w:r>
        <w:t>DREES, Accessibilité Potentielle Localisée aux médecins généralistes.</w:t>
      </w:r>
    </w:p>
    <w:p>
      <w:pPr>
        <w:pStyle w:val="ListBullet"/>
      </w:pPr>
      <w:r>
        <w:t>Etalab / DINUM, API Géo, geo.api.gouv.fr.</w:t>
      </w:r>
    </w:p>
    <w:p>
      <w:pPr>
        <w:pStyle w:val="ListBullet"/>
      </w:pPr>
      <w:r>
        <w:t>OFGL, Population des communes 2012-2024, source INSEE, Licence Ouverte Etalab 2.0.</w:t>
      </w:r>
    </w:p>
    <w:p>
      <w:pPr>
        <w:pStyle w:val="ListBullet"/>
      </w:pPr>
      <w:r>
        <w:t>Breiman L. (2001), Random Forests, Machine Learning.</w:t>
      </w:r>
    </w:p>
    <w:p>
      <w:pPr>
        <w:pStyle w:val="ListBullet"/>
      </w:pPr>
      <w:r>
        <w:t>Documentation Streamlit, Plotly, pandas et scikit-learn.</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44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