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60F5" w14:textId="77777777" w:rsidR="00E84588" w:rsidRDefault="00000000">
      <w:pPr>
        <w:jc w:val="center"/>
      </w:pPr>
      <w:r>
        <w:rPr>
          <w:b/>
          <w:color w:val="2C3E50"/>
          <w:sz w:val="52"/>
        </w:rPr>
        <w:t>StudyForge</w:t>
      </w:r>
    </w:p>
    <w:p w14:paraId="51796E5F" w14:textId="77777777" w:rsidR="00E84588" w:rsidRDefault="00000000">
      <w:pPr>
        <w:jc w:val="center"/>
      </w:pPr>
      <w:r>
        <w:rPr>
          <w:color w:val="444444"/>
          <w:sz w:val="28"/>
        </w:rPr>
        <w:t>Intelligent Learning Assistant — Knowledge-Graph RAG &amp; Agent Orchestration</w:t>
        <w:br/>
        <w:t>Final Project Report</w:t>
      </w:r>
    </w:p>
    <w:p w14:paraId="3A8C0469" w14:textId="77777777" w:rsidR="00E84588" w:rsidRDefault="00000000">
      <w:pPr>
        <w:jc w:val="center"/>
      </w:pPr>
      <w:r>
        <w:rPr>
          <w:i/>
        </w:rPr>
        <w:t>May 2026</w:t>
      </w:r>
    </w:p>
    <w:p w14:paraId="2891F814" w14:textId="77777777" w:rsidR="00E84588" w:rsidRDefault="00E84588"/>
    <w:p w14:paraId="02E6D922" w14:textId="77777777" w:rsidR="00E84588" w:rsidRDefault="00000000">
      <w:pPr>
        <w:jc w:val="center"/>
      </w:pPr>
      <w:r>
        <w:rPr>
          <w:b/>
          <w:sz w:val="24"/>
        </w:rPr>
        <w:t>Team Members</w:t>
      </w:r>
    </w:p>
    <w:tbl>
      <w:tblPr>
        <w:tblStyle w:val="TableGrid"/>
        <w:tblW w:w="0" w:type="auto"/>
        <w:jc w:val="center"/>
        <w:tblLook w:val="04A0" w:firstRow="1" w:lastRow="0" w:firstColumn="1" w:lastColumn="0" w:noHBand="0" w:noVBand="1"/>
      </w:tblPr>
      <w:tblGrid>
        <w:gridCol w:w="3120"/>
        <w:gridCol w:w="3120"/>
        <w:gridCol w:w="3120"/>
      </w:tblGrid>
      <w:tr w:rsidR="00E84588" w14:paraId="5D2644F5" w14:textId="77777777">
        <w:trPr>
          <w:jc w:val="center"/>
        </w:trPr>
        <w:tc>
          <w:tcPr>
            <w:tcW w:w="3120" w:type="dxa"/>
            <w:shd w:val="clear" w:color="auto" w:fill="E8EEF7"/>
          </w:tcPr>
          <w:p w14:paraId="6D2493DD" w14:textId="77777777" w:rsidR="00E84588" w:rsidRDefault="00000000">
            <w:r>
              <w:rPr>
                <w:b/>
              </w:rPr>
              <w:t>Name</w:t>
            </w:r>
          </w:p>
        </w:tc>
        <w:tc>
          <w:tcPr>
            <w:tcW w:w="3120" w:type="dxa"/>
            <w:shd w:val="clear" w:color="auto" w:fill="E8EEF7"/>
          </w:tcPr>
          <w:p w14:paraId="2F496D11" w14:textId="77777777" w:rsidR="00E84588" w:rsidRDefault="00000000">
            <w:r>
              <w:rPr>
                <w:b/>
              </w:rPr>
              <w:t>University Number</w:t>
            </w:r>
          </w:p>
        </w:tc>
        <w:tc>
          <w:tcPr>
            <w:tcW w:w="3120" w:type="dxa"/>
            <w:shd w:val="clear" w:color="auto" w:fill="E8EEF7"/>
          </w:tcPr>
          <w:p w14:paraId="2EE9DF3F" w14:textId="77777777" w:rsidR="00E84588" w:rsidRDefault="00000000">
            <w:r>
              <w:rPr>
                <w:b/>
              </w:rPr>
              <w:t>HKU Email</w:t>
            </w:r>
          </w:p>
        </w:tc>
      </w:tr>
      <w:tr w:rsidR="00E84588" w14:paraId="129D2B74" w14:textId="77777777">
        <w:trPr>
          <w:jc w:val="center"/>
        </w:trPr>
        <w:tc>
          <w:tcPr>
            <w:tcW w:w="3120" w:type="dxa"/>
          </w:tcPr>
          <w:p w14:paraId="20305960" w14:textId="77777777" w:rsidR="00E84588" w:rsidRDefault="00000000">
            <w:r>
              <w:t>Pan Chao</w:t>
            </w:r>
          </w:p>
        </w:tc>
        <w:tc>
          <w:tcPr>
            <w:tcW w:w="3120" w:type="dxa"/>
          </w:tcPr>
          <w:p w14:paraId="79E180B4" w14:textId="77777777" w:rsidR="00E84588" w:rsidRDefault="00000000">
            <w:r>
              <w:t>3036383769</w:t>
            </w:r>
          </w:p>
        </w:tc>
        <w:tc>
          <w:tcPr>
            <w:tcW w:w="3120" w:type="dxa"/>
          </w:tcPr>
          <w:p w14:paraId="5B136882" w14:textId="77777777" w:rsidR="00E84588" w:rsidRDefault="00000000">
            <w:r>
              <w:t>u3638376@connect.hku.hk</w:t>
            </w:r>
          </w:p>
        </w:tc>
      </w:tr>
      <w:tr w:rsidR="00E84588" w14:paraId="448C676D" w14:textId="77777777">
        <w:trPr>
          <w:jc w:val="center"/>
        </w:trPr>
        <w:tc>
          <w:tcPr>
            <w:tcW w:w="3120" w:type="dxa"/>
          </w:tcPr>
          <w:p w14:paraId="3298CE05" w14:textId="77777777" w:rsidR="00E84588" w:rsidRDefault="00000000">
            <w:r>
              <w:t>Liu Xunyu</w:t>
            </w:r>
          </w:p>
        </w:tc>
        <w:tc>
          <w:tcPr>
            <w:tcW w:w="3120" w:type="dxa"/>
          </w:tcPr>
          <w:p w14:paraId="2B24573B" w14:textId="77777777" w:rsidR="00E84588" w:rsidRDefault="00000000">
            <w:r>
              <w:t>3036656441</w:t>
            </w:r>
          </w:p>
        </w:tc>
        <w:tc>
          <w:tcPr>
            <w:tcW w:w="3120" w:type="dxa"/>
          </w:tcPr>
          <w:p w14:paraId="2C333BDD" w14:textId="77777777" w:rsidR="00E84588" w:rsidRDefault="00000000">
            <w:r>
              <w:t>u3665644@connect.hku.hk</w:t>
            </w:r>
          </w:p>
        </w:tc>
      </w:tr>
      <w:tr w:rsidR="00E84588" w14:paraId="22F5BD4D" w14:textId="77777777">
        <w:trPr>
          <w:jc w:val="center"/>
        </w:trPr>
        <w:tc>
          <w:tcPr>
            <w:tcW w:w="3120" w:type="dxa"/>
          </w:tcPr>
          <w:p w14:paraId="596887C7" w14:textId="77777777" w:rsidR="00E84588" w:rsidRDefault="00000000">
            <w:r>
              <w:t>Huang Zhenxiang</w:t>
            </w:r>
          </w:p>
        </w:tc>
        <w:tc>
          <w:tcPr>
            <w:tcW w:w="3120" w:type="dxa"/>
          </w:tcPr>
          <w:p w14:paraId="1A2DCC90" w14:textId="77777777" w:rsidR="00E84588" w:rsidRDefault="00000000">
            <w:r>
              <w:t>3036655631</w:t>
            </w:r>
          </w:p>
        </w:tc>
        <w:tc>
          <w:tcPr>
            <w:tcW w:w="3120" w:type="dxa"/>
          </w:tcPr>
          <w:p w14:paraId="6A0D8009" w14:textId="77777777" w:rsidR="00E84588" w:rsidRDefault="00000000">
            <w:r>
              <w:t>u3665563@connect.hku.hk</w:t>
            </w:r>
          </w:p>
        </w:tc>
      </w:tr>
      <w:tr w:rsidR="00E84588" w14:paraId="1CEE36BE" w14:textId="77777777">
        <w:trPr>
          <w:jc w:val="center"/>
        </w:trPr>
        <w:tc>
          <w:tcPr>
            <w:tcW w:w="3120" w:type="dxa"/>
          </w:tcPr>
          <w:p w14:paraId="486BF941" w14:textId="77777777" w:rsidR="00E84588" w:rsidRDefault="00000000">
            <w:r>
              <w:t>Zhang Yucheng</w:t>
            </w:r>
          </w:p>
        </w:tc>
        <w:tc>
          <w:tcPr>
            <w:tcW w:w="3120" w:type="dxa"/>
          </w:tcPr>
          <w:p w14:paraId="71461AFC" w14:textId="77777777" w:rsidR="00E84588" w:rsidRDefault="00000000">
            <w:r>
              <w:t>3036658671</w:t>
            </w:r>
          </w:p>
        </w:tc>
        <w:tc>
          <w:tcPr>
            <w:tcW w:w="3120" w:type="dxa"/>
          </w:tcPr>
          <w:p w14:paraId="298636BA" w14:textId="77777777" w:rsidR="00E84588" w:rsidRDefault="00000000">
            <w:r>
              <w:t>u3665867@connect.hku.hk</w:t>
            </w:r>
          </w:p>
        </w:tc>
      </w:tr>
    </w:tbl>
    <w:p w14:paraId="79B6E133" w14:textId="77777777" w:rsidR="00E84588" w:rsidRDefault="00E84588"/>
    <w:p w14:paraId="77EA5AFC" w14:textId="77777777" w:rsidR="00E84588" w:rsidRDefault="00000000">
      <w:r>
        <w:br w:type="page"/>
      </w:r>
    </w:p>
    <w:p w14:paraId="74B16051" w14:textId="77777777" w:rsidR="00E84588" w:rsidRDefault="00000000">
      <w:pPr>
        <w:pStyle w:val="Heading1"/>
        <w:spacing w:before="240" w:after="120"/>
      </w:pPr>
      <w:r>
        <w:lastRenderedPageBreak/>
        <w:t>Abstract</w:t>
      </w:r>
    </w:p>
    <w:p w14:paraId="53C8FD7C" w14:textId="77777777" w:rsidR="00E84588" w:rsidRDefault="00000000">
      <w:pPr>
        <w:spacing w:after="160"/>
      </w:pPr>
      <w:r>
        <w:t>StudyForge is an intelligent learning workspace designed around a simple scientific claim: when instructional materials are available as learner-owned corpora, the most useful assistant is not a monolithic chat model, but a retrieval stack that exposes provenance, structural relationships, and controlled generation. Concretely, the platform couples asynchronous document ingestion for PDF and PPTX, embedding-backed chunk indices, and LightRAG-style graph construction so that queries can be answered with explicit ties to source locations (pages or slides). On top of this substrate, StudyForge layers streaming conversational interfaces, optional tool-using agents, and exam-centric workflows that reuse the same retrieval primitives rather than forking ad hoc pipelines.</w:t>
      </w:r>
    </w:p>
    <w:p w14:paraId="60B153D7" w14:textId="77777777" w:rsidR="00E84588" w:rsidRDefault="00000000">
      <w:pPr>
        <w:spacing w:after="160"/>
      </w:pPr>
      <w:r>
        <w:t>From a systems perspective, the architectural bet is modularity: FastAPI acts as an orchestration gateway with typed routes and predictable payload schemas; the browser client focuses on interaction latency and information layout; and model providers remain interchangeable behind OpenAI-compatible bindings for chat, extraction, and embeddings. This separation matters because educational deployments routinely change suppliers (cost, latency, compliance), and because embeddings are often the limiting factor for throughput during indexing. StudyForge therefore treats credential management as a first-class concern—configuration surfaces distinguish extraction for graph construction from chat models used for answering, and vector backends can be pointed at hosted APIs or local runtimes when permitted.</w:t>
      </w:r>
    </w:p>
    <w:p w14:paraId="0DEA3820" w14:textId="77777777" w:rsidR="00E84588" w:rsidRDefault="00000000">
      <w:pPr>
        <w:spacing w:after="160"/>
      </w:pPr>
      <w:r>
        <w:t>This report follows the narrative structure of a full project technical memorandum: we motivate the problem in pedagogical and knowledge-management terms, articulate the conceptual approach (graph-augmented retrieval, multi-mode querying, agentic orchestration), and then drill into implementation choices at the level an engineering lead would expect—chunking policy, graph lifecycle, streaming protocols, and exam analysis pipelines. We close with an evaluation philosophy aligned with real deployments: correctness is conditional on corpus coverage, latency interacts with model budgets, and transparent failure modes beat opaque retries.</w:t>
      </w:r>
    </w:p>
    <w:p w14:paraId="6D77CF02" w14:textId="77777777" w:rsidR="00E84588" w:rsidRDefault="00000000">
      <w:pPr>
        <w:spacing w:after="160"/>
      </w:pPr>
      <w:r>
        <w:t>Methodologically, we treat the assistant as an empirical instrument whose behavior is jointly determined by corpus segmentation, embedding geometry, graph extraction prompts, and decoding policies. Small shifts—overlap width, temperature, extraction batching—can produce disproportionate changes in downstream citing patterns; reporting therefore emphasizes reproducible configuration snapshots rather than single headline accuracy numbers divorced from setup.</w:t>
      </w:r>
    </w:p>
    <w:p w14:paraId="284D6016" w14:textId="77777777" w:rsidR="00E84588" w:rsidRDefault="00000000">
      <w:pPr>
        <w:spacing w:after="160"/>
      </w:pPr>
      <w:r>
        <w:t>The engineering narrative foregrounds interfaces between humans and automation: instructors curate what enters the knowledge base; learners interpret citations rather than trusting fluent prose; developers inspect traces when orchestrated pipelines stall. Such role clarity avoids the category error of treating LLMs as infallible oracles and aligns with responsible deployment guidance emerging across universities.</w:t>
      </w:r>
    </w:p>
    <w:p w14:paraId="3B6BF619" w14:textId="77777777" w:rsidR="00E84588" w:rsidRDefault="00000000">
      <w:pPr>
        <w:spacing w:after="160"/>
      </w:pPr>
      <w:r>
        <w:t xml:space="preserve">Finally, we articulate limits honestly. Graph-augmented RAG reduces certain failure modes but introduces others—noisy triples, over-merged entities, spurious relational shortcuts—and variant generation can facilitate practice or shortcuts depending on governance. The concluding sections </w:t>
        <w:lastRenderedPageBreak/>
        <w:t>summarize strengths while naming mitigations (human review, schema validation, configurable modes) that keep automation subsidiary to pedagogy.</w:t>
      </w:r>
    </w:p>
    <w:p w14:paraId="37CCE936" w14:textId="77777777" w:rsidR="00E84588" w:rsidRDefault="00000000">
      <w:pPr>
        <w:pStyle w:val="Heading1"/>
        <w:spacing w:before="240" w:after="120"/>
      </w:pPr>
      <w:r>
        <w:t>1. Background and Significance</w:t>
      </w:r>
    </w:p>
    <w:p w14:paraId="4B1B8513" w14:textId="77777777" w:rsidR="00E84588" w:rsidRDefault="00000000">
      <w:pPr>
        <w:pStyle w:val="Heading2"/>
        <w:spacing w:after="120"/>
      </w:pPr>
      <w:r>
        <w:t>1.1 Motivation: friction in course-scale knowledge work</w:t>
      </w:r>
    </w:p>
    <w:p w14:paraId="79CCF62D" w14:textId="77777777" w:rsidR="00E84588" w:rsidRDefault="00000000">
      <w:pPr>
        <w:spacing w:after="160"/>
      </w:pPr>
      <w:r>
        <w:t>University courses rarely ship knowledge as a tidy database. Instead, instructors distribute dense slide decks and readings whose semantics are spread across titles, bullet hierarchies, speaker notes, figures, and occasionally scanned fragments. Learners face four recurring costs: extracting durable concepts from ephemeral layouts; reconstructing prerequisite structure that is implicit in exposition; locating precise references when studying for exams; and generating practice that reflects the course’s style without outsourcing understanding to unconstrained generation.</w:t>
      </w:r>
    </w:p>
    <w:p w14:paraId="470D191A" w14:textId="77777777" w:rsidR="00E84588" w:rsidRDefault="00000000">
      <w:pPr>
        <w:spacing w:after="160"/>
      </w:pPr>
      <w:r>
        <w:t>Traditional keyword search reduces the third cost only partially, because lexical overlap does not guarantee conceptual proximity, and because slide decks reuse vocabulary across unrelated topics. Pure large-language-model chat reduces friction but introduces a subtler risk: fluent answers can omit boundaries, confuse similar definitions, or silently extrapolate beyond the provided documents. A practical assistant must therefore optimize not only helpfulness but epistemic hygiene—what evidence was used, where it lives in the materials, and whether multiple passages disagree.</w:t>
      </w:r>
    </w:p>
    <w:p w14:paraId="5C88E4EB" w14:textId="77777777" w:rsidR="00E84588" w:rsidRDefault="00000000">
      <w:pPr>
        <w:pStyle w:val="ListBullet"/>
        <w:spacing w:after="80"/>
      </w:pPr>
      <w:r>
        <w:t>Extraction overhead: manual summarization and flashcard authoring scale poorly across semesters and teaching staff churn.</w:t>
      </w:r>
    </w:p>
    <w:p w14:paraId="0AC2E97C" w14:textId="77777777" w:rsidR="00E84588" w:rsidRDefault="00000000">
      <w:pPr>
        <w:pStyle w:val="ListBullet"/>
        <w:spacing w:after="80"/>
      </w:pPr>
      <w:r>
        <w:t>Structural blindness: linear PDF viewers hide prerequisite chains, contrasts, and recurring motifs across lectures.</w:t>
      </w:r>
    </w:p>
    <w:p w14:paraId="7283F2EA" w14:textId="77777777" w:rsidR="00E84588" w:rsidRDefault="00000000">
      <w:pPr>
        <w:pStyle w:val="ListBullet"/>
        <w:spacing w:after="80"/>
      </w:pPr>
      <w:r>
        <w:t>Retrieval latency and precision: students need answers anchored to page/slide identities, not generic textbook prose.</w:t>
      </w:r>
    </w:p>
    <w:p w14:paraId="4B0AF60A" w14:textId="77777777" w:rsidR="00E84588" w:rsidRDefault="00000000">
      <w:pPr>
        <w:pStyle w:val="ListBullet"/>
        <w:spacing w:after="80"/>
      </w:pPr>
      <w:r>
        <w:t>Assessment logistics: authentic practice items should mirror local norms (terminology, difficulty, format) while remaining varied.</w:t>
      </w:r>
    </w:p>
    <w:p w14:paraId="7E8DC136" w14:textId="77777777" w:rsidR="00E84588" w:rsidRDefault="00000000">
      <w:pPr>
        <w:pStyle w:val="Heading2"/>
        <w:spacing w:after="120"/>
      </w:pPr>
      <w:r>
        <w:t>1.2 Why graph-augmented RAG matters for learning</w:t>
      </w:r>
    </w:p>
    <w:p w14:paraId="1F3A1DD2" w14:textId="77777777" w:rsidR="00E84588" w:rsidRDefault="00000000">
      <w:pPr>
        <w:spacing w:after="160"/>
      </w:pPr>
      <w:r>
        <w:t>LightRAG-style pipelines occupy a productive middle ground between unstructured retrieval and curated knowledge engineering. By extracting entities and relationships from chunked text with LLM supervision, the system materializes a lightweight graph that supports global reasoning cues without demanding months of manual ontology design. When fused with dense retrieval over the same chunks, the graph acts as a corrective signal: it privileges coherent neighborhoods of concepts and discourages answers stitched from superficially similar but semantically distant passages.</w:t>
      </w:r>
    </w:p>
    <w:p w14:paraId="1396B5AB" w14:textId="77777777" w:rsidR="00E84588" w:rsidRDefault="00000000">
      <w:pPr>
        <w:spacing w:after="160"/>
      </w:pPr>
      <w:r>
        <w:t>For StudyForge, graph construction is not ornamental. It drives secondary experiences—interactive visualization, entity-centric drill-down, and richer prompts for downstream agents—while remaining accountable to source metadata. The pedagogical hypothesis is that making relationships visible improves comprehension and transfers to exam performance when learners connect declarative facts with the explanatory edges between them.</w:t>
      </w:r>
    </w:p>
    <w:p w14:paraId="17C41353" w14:textId="77777777" w:rsidR="00E84588" w:rsidRDefault="00000000">
      <w:pPr>
        <w:pStyle w:val="ListBullet"/>
        <w:spacing w:after="80"/>
      </w:pPr>
      <w:r>
        <w:lastRenderedPageBreak/>
        <w:t>Operational efficiency: automated indexing amortizes instructor effort once ingestion pipelines are dependable.</w:t>
      </w:r>
    </w:p>
    <w:p w14:paraId="58262574" w14:textId="77777777" w:rsidR="00E84588" w:rsidRDefault="00000000">
      <w:pPr>
        <w:pStyle w:val="ListBullet"/>
        <w:spacing w:after="80"/>
      </w:pPr>
      <w:r>
        <w:t>Interpretability: explicit entities and relations scaffold explanation and debugging when answers look wrong.</w:t>
      </w:r>
    </w:p>
    <w:p w14:paraId="4A77A5DC" w14:textId="77777777" w:rsidR="00E84588" w:rsidRDefault="00000000">
      <w:pPr>
        <w:pStyle w:val="ListBullet"/>
        <w:spacing w:after="80"/>
      </w:pPr>
      <w:r>
        <w:t>Technical generality: OpenAI-compatible gateways allow swapping chat and embedding models as budgets evolve.</w:t>
      </w:r>
    </w:p>
    <w:p w14:paraId="6B22D724" w14:textId="77777777" w:rsidR="00E84588" w:rsidRDefault="00000000">
      <w:pPr>
        <w:pStyle w:val="ListBullet"/>
        <w:spacing w:after="80"/>
      </w:pPr>
      <w:r>
        <w:t>Research-facing value: the stack is a reproducible sandbox for comparing retrieval modes under identical corpora.</w:t>
      </w:r>
    </w:p>
    <w:p w14:paraId="32A46156" w14:textId="77777777" w:rsidR="00E84588" w:rsidRDefault="00000000">
      <w:pPr>
        <w:pStyle w:val="Heading2"/>
        <w:spacing w:after="120"/>
      </w:pPr>
      <w:r>
        <w:t>1.3 Flat retrieval, hand-built ontologies, and the pragmatic design point</w:t>
      </w:r>
    </w:p>
    <w:p w14:paraId="6736F13D" w14:textId="77777777" w:rsidR="00E84588" w:rsidRDefault="00000000">
      <w:pPr>
        <w:spacing w:after="160"/>
      </w:pPr>
      <w:r>
        <w:t>Pure vector RAG without relational structure often excels at lexical proximity yet struggles when answers require traversing multi-hop arguments implicit across slides—definitions introduced early, examples revisiting them weeks later, contrasts buried in tables. Conversely, hand-authored knowledge graphs deliver precision but impose taxonomy maintenance burdens incompatible with fast-moving courses. LightRAG-centric pipelines aim for amortized structure: pay extraction costs once per corpus refresh, then exploit relational summaries whenever learners query or visualize.</w:t>
      </w:r>
    </w:p>
    <w:p w14:paraId="41D19890" w14:textId="77777777" w:rsidR="00E84588" w:rsidRDefault="00000000">
      <w:pPr>
        <w:spacing w:after="160"/>
      </w:pPr>
      <w:r>
        <w:t>The pragmatic design point is not maximal automation but controlled delegation: machines propose entities and edges; interfaces expose provenance so humans can disagree constructively with the model without forking the entire stack. StudyForge encodes that philosophy through dual surfaces—numeric retrieval modes plus visual graph exploration—so skepticism has somewhere actionable to land.</w:t>
      </w:r>
    </w:p>
    <w:p w14:paraId="20D69944" w14:textId="77777777" w:rsidR="00E84588" w:rsidRDefault="00000000">
      <w:pPr>
        <w:spacing w:after="160"/>
      </w:pPr>
      <w:r>
        <w:t>Positioned against enterprise LMS search boxes and generic chat overlays, the approach is intentionally research-software adjacent: opinionated about retrieval transparency, permissive about provider selection, and extensible where pedagogy demands bespoke prompts or localized evaluation harnesses.</w:t>
      </w:r>
    </w:p>
    <w:p w14:paraId="63C28E15" w14:textId="77777777" w:rsidR="00E84588" w:rsidRDefault="00000000">
      <w:pPr>
        <w:pStyle w:val="Heading1"/>
        <w:spacing w:before="240" w:after="120"/>
      </w:pPr>
      <w:r>
        <w:t>2. Approach and Application Scenario</w:t>
      </w:r>
    </w:p>
    <w:p w14:paraId="39D1A74D" w14:textId="77777777" w:rsidR="00E84588" w:rsidRDefault="00000000">
      <w:pPr>
        <w:pStyle w:val="Heading2"/>
        <w:spacing w:after="120"/>
      </w:pPr>
      <w:r>
        <w:t>2.1 Overall technical solution</w:t>
      </w:r>
    </w:p>
    <w:p w14:paraId="3B0C0F7D" w14:textId="77777777" w:rsidR="00E84588" w:rsidRDefault="00000000">
      <w:pPr>
        <w:spacing w:after="160"/>
      </w:pPr>
      <w:r>
        <w:t>StudyForge implements a retrieval-augmented assistant whose retrieval substrate combines vector similarity with graph-derived structure. The backend ingests PDF and PPTX artifacts, normalizes text, attaches provenance metadata, embeds chunks, and schedules LightRAG indexing tasks that populate entity and relationship stores alongside chunk vectors. Queries traverse multiple retrieval pathways—local, global, naive, and mixed modes—reflecting different granularities of evidence aggregation before an LLM composes a final response.</w:t>
      </w:r>
    </w:p>
    <w:p w14:paraId="58BAF212" w14:textId="77777777" w:rsidR="00E84588" w:rsidRDefault="00000000">
      <w:pPr>
        <w:spacing w:after="160"/>
      </w:pPr>
      <w:r>
        <w:t>A parallel agentic layer handles tasks that benefit from decomposition: conversational agents register tools that call back into retrieval services; exam analysis pipelines batch questions under a lead orchestrator that emits traces suitable for streaming user interfaces. This mirrors modern LLM application design—thin orchestration, heavy reuse of shared primitives, strict schemas at boundaries—while avoiding a single megaprompt that must implicitly encode every policy.</w:t>
      </w:r>
    </w:p>
    <w:p w14:paraId="16E57735" w14:textId="77777777" w:rsidR="00E84588" w:rsidRDefault="00000000">
      <w:pPr>
        <w:pStyle w:val="ListBullet"/>
        <w:spacing w:after="80"/>
      </w:pPr>
      <w:r>
        <w:lastRenderedPageBreak/>
        <w:t>Core stack: FastAPI services, Vue 3 single-page client, LightRAG integration, OpenAI-compatible LLM bindings.</w:t>
      </w:r>
    </w:p>
    <w:p w14:paraId="7C1AD77C" w14:textId="77777777" w:rsidR="00E84588" w:rsidRDefault="00000000">
      <w:pPr>
        <w:pStyle w:val="ListBullet"/>
        <w:spacing w:after="80"/>
      </w:pPr>
      <w:r>
        <w:t>Front-end affordances: subject workspaces, chat panels, graph visualization, exam tooling surfaces.</w:t>
      </w:r>
    </w:p>
    <w:p w14:paraId="2CC9A8D5" w14:textId="77777777" w:rsidR="00E84588" w:rsidRDefault="00000000">
      <w:pPr>
        <w:pStyle w:val="ListBullet"/>
        <w:spacing w:after="80"/>
      </w:pPr>
      <w:r>
        <w:t>Delivery: Docker-oriented workflows and developer scripts that pair API processes with Vite for rapid iteration.</w:t>
      </w:r>
    </w:p>
    <w:p w14:paraId="4F5EC5B9" w14:textId="77777777" w:rsidR="00E84588" w:rsidRDefault="00000000">
      <w:pPr>
        <w:pStyle w:val="Heading2"/>
        <w:spacing w:after="120"/>
      </w:pPr>
      <w:r>
        <w:t>2.2 Document processing and representation learning</w:t>
      </w:r>
    </w:p>
    <w:p w14:paraId="01D43BF4" w14:textId="77777777" w:rsidR="00E84588" w:rsidRDefault="00000000">
      <w:pPr>
        <w:spacing w:after="160"/>
      </w:pPr>
      <w:r>
        <w:t>Document preprocessing is where retrieval quality is truly decided. Slides encode semantics through layout; PDFs encode them through typographic hierarchy and page breaks. StudyForge therefore preserves slide/page indices as first-class metadata so chunk boundaries respect natural segmentation where possible, splitting only when length constraints demand it. Normalization removes repetitive headers and brittle OCR artifacts when present, reducing noise that otherwise pollutes embeddings and misleads extraction prompts.</w:t>
      </w:r>
    </w:p>
    <w:p w14:paraId="460CA8C7" w14:textId="77777777" w:rsidR="00E84588" w:rsidRDefault="00000000">
      <w:pPr>
        <w:spacing w:after="160"/>
      </w:pPr>
      <w:r>
        <w:t>Embeddings turn unstructured chunks into searchable vectors; LLM extraction turns those same chunks into candidate entities and relations. The combination matters because vectors excel at recall while graphs excel at constraining composition: answers should cite chunks, while extracted concepts summarize recurrent motifs across chunks. Asynchronous scheduling ensures uploads return quickly while long-running indexing proceeds with explicit status endpoints suitable for polling user interfaces.</w:t>
      </w:r>
    </w:p>
    <w:p w14:paraId="6EB3A96B" w14:textId="77777777" w:rsidR="00E84588" w:rsidRDefault="00000000">
      <w:pPr>
        <w:spacing w:after="160"/>
      </w:pPr>
      <w:r>
        <w:t>Noise sensitivity deserves explicit discussion: duplicated institutional logos, recurring slide footers, and OCR speckle can dominate token budgets unless normalization strips them early. Conversely, aggressive cleaning risks deleting equations or marginal annotations that carry exam-critical detail. StudyForge biases toward conservative retention of mathematical tokens while collapsing predictable boilerplate—tunable heuristics teams can adapt per discipline.</w:t>
      </w:r>
    </w:p>
    <w:p w14:paraId="7D775784" w14:textId="77777777" w:rsidR="00E84588" w:rsidRDefault="00000000">
      <w:pPr>
        <w:pStyle w:val="ListBullet"/>
        <w:spacing w:after="80"/>
      </w:pPr>
      <w:r>
        <w:t>PPTX parsing extracts titles, bullets, and notes; PDF parsing preserves page-bound contexts for citations.</w:t>
      </w:r>
    </w:p>
    <w:p w14:paraId="66656780" w14:textId="77777777" w:rsidR="00E84588" w:rsidRDefault="00000000">
      <w:pPr>
        <w:pStyle w:val="ListBullet"/>
        <w:spacing w:after="80"/>
      </w:pPr>
      <w:r>
        <w:t>Chunk metadata carries file identifiers and positional indices for downstream UI highlighting.</w:t>
      </w:r>
    </w:p>
    <w:p w14:paraId="5B407FC7" w14:textId="77777777" w:rsidR="00E84588" w:rsidRDefault="00000000">
      <w:pPr>
        <w:pStyle w:val="ListBullet"/>
        <w:spacing w:after="80"/>
      </w:pPr>
      <w:r>
        <w:t>Batch-friendly embedding calls amortize provider overhead during large deck ingestion.</w:t>
      </w:r>
    </w:p>
    <w:p w14:paraId="5472CCCF" w14:textId="77777777" w:rsidR="00E84588" w:rsidRDefault="00000000">
      <w:pPr>
        <w:pStyle w:val="Heading2"/>
        <w:spacing w:after="120"/>
      </w:pPr>
      <w:r>
        <w:t>2.3 Hybrid retrieval and answer synthesis</w:t>
      </w:r>
    </w:p>
    <w:p w14:paraId="53280108" w14:textId="77777777" w:rsidR="00E84588" w:rsidRDefault="00000000">
      <w:pPr>
        <w:spacing w:after="160"/>
      </w:pPr>
      <w:r>
        <w:t>Hybrid retrieval can be understood as a controlled fusion problem: merge candidate passages from chunk-level vector search with signals induced by entity-relationship neighborhoods and higher-level graph abstractions. LightRAG exposes query modes that emphasize different balances—local responses prioritize tightly coupled context; global responses lean on broader summaries encoded in graph machinery; mix modes seek robustness for general student questions where neither extreme dominates.</w:t>
      </w:r>
    </w:p>
    <w:p w14:paraId="40BC75F5" w14:textId="77777777" w:rsidR="00E84588" w:rsidRDefault="00000000">
      <w:pPr>
        <w:spacing w:after="160"/>
      </w:pPr>
      <w:r>
        <w:t xml:space="preserve">Downstream answer synthesis must remain disciplined. Streaming NDJSON responses allow the UI to render partial progress while preserving structured fields for citations and optional analytic addenda (for example, summaries of evidentiary tension across passages). The architectural implication is that </w:t>
        <w:lastRenderedPageBreak/>
        <w:t>prompts and parsers co-evolve: retrieval provides candidates, but the contract between middleware and UI dictates what “grounded” means operationally.</w:t>
      </w:r>
    </w:p>
    <w:p w14:paraId="190620FB" w14:textId="77777777" w:rsidR="00E84588" w:rsidRDefault="00000000">
      <w:pPr>
        <w:pStyle w:val="ListBullet"/>
        <w:spacing w:after="80"/>
      </w:pPr>
      <w:r>
        <w:t>Multi-path retrieval improves recall while graph signals temper incoherent stitching.</w:t>
      </w:r>
    </w:p>
    <w:p w14:paraId="1B2C0305" w14:textId="77777777" w:rsidR="00E84588" w:rsidRDefault="00000000">
      <w:pPr>
        <w:pStyle w:val="ListBullet"/>
        <w:spacing w:after="80"/>
      </w:pPr>
      <w:r>
        <w:t>Configurable modes let instructors emphasize precision (local) versus syllabus-wide synthesis (global).</w:t>
      </w:r>
    </w:p>
    <w:p w14:paraId="027C9563" w14:textId="77777777" w:rsidR="00E84588" w:rsidRDefault="00000000">
      <w:pPr>
        <w:pStyle w:val="ListBullet"/>
        <w:spacing w:after="80"/>
      </w:pPr>
      <w:r>
        <w:t>Streaming improves perceived latency on long generations without sacrificing structured annotations.</w:t>
      </w:r>
    </w:p>
    <w:p w14:paraId="007B9DC8" w14:textId="77777777" w:rsidR="00E84588" w:rsidRDefault="00000000">
      <w:pPr>
        <w:pStyle w:val="Heading2"/>
        <w:spacing w:after="120"/>
      </w:pPr>
      <w:r>
        <w:t>2.4 Agentic orchestration without monolithic prompts</w:t>
      </w:r>
    </w:p>
    <w:p w14:paraId="2160B895" w14:textId="77777777" w:rsidR="00E84588" w:rsidRDefault="00000000">
      <w:pPr>
        <w:spacing w:after="160"/>
      </w:pPr>
      <w:r>
        <w:t>Agents are valuable when they encapsulate policies that would clutter application code: multi-step reasoning, conditional tool calls, and narrative scaffolding such as Socratic dialogue. StudyForge’s conversational agent path registers capabilities that map cleanly onto retrieval services rather than bespoke microservices. Tool calls therefore remain audit-able—they expose function names, arguments, and outcomes—while the LLM focuses on language-level planning constrained by retrieved evidence.</w:t>
      </w:r>
    </w:p>
    <w:p w14:paraId="1695FC13" w14:textId="77777777" w:rsidR="00E84588" w:rsidRDefault="00000000">
      <w:pPr>
        <w:spacing w:after="160"/>
      </w:pPr>
      <w:r>
        <w:t>Exam analysis adopts a complementary pattern: a lead orchestrator fans out batched work to sub-agents that process contiguous question groups, emitting traces and events consumed by the front end. This structure supports long-running analyses without blocking the interactive chat loop, and it mirrors how human teaching assistants parallelize grading preparation—partition the workload, maintain consistent rubric context, merge results.</w:t>
      </w:r>
    </w:p>
    <w:p w14:paraId="12F4245F" w14:textId="77777777" w:rsidR="00E84588" w:rsidRDefault="00000000">
      <w:pPr>
        <w:pStyle w:val="ListBullet"/>
        <w:spacing w:after="80"/>
      </w:pPr>
      <w:r>
        <w:t>Modular agents reduce coupling between chat UX and heavy analytical workflows.</w:t>
      </w:r>
    </w:p>
    <w:p w14:paraId="3B23FE38" w14:textId="77777777" w:rsidR="00E84588" w:rsidRDefault="00000000">
      <w:pPr>
        <w:pStyle w:val="ListBullet"/>
        <w:spacing w:after="80"/>
      </w:pPr>
      <w:r>
        <w:t>Batch concurrency trades throughput against provider rate limits with explicit semaphores.</w:t>
      </w:r>
    </w:p>
    <w:p w14:paraId="6EDC7C8A" w14:textId="77777777" w:rsidR="00E84588" w:rsidRDefault="00000000">
      <w:pPr>
        <w:pStyle w:val="ListBullet"/>
        <w:spacing w:after="80"/>
      </w:pPr>
      <w:r>
        <w:t>Trace emission enables transparency when intermediate reasoning must be inspected or demonstrated.</w:t>
      </w:r>
    </w:p>
    <w:p w14:paraId="1BA29DF1" w14:textId="77777777" w:rsidR="00E84588" w:rsidRDefault="00000000">
      <w:pPr>
        <w:pStyle w:val="Heading2"/>
        <w:spacing w:after="120"/>
      </w:pPr>
      <w:r>
        <w:t>2.5 Representative end-to-end workflow</w:t>
      </w:r>
    </w:p>
    <w:p w14:paraId="4891D7EE" w14:textId="77777777" w:rsidR="00E84588" w:rsidRDefault="00000000">
      <w:pPr>
        <w:spacing w:after="160"/>
      </w:pPr>
      <w:r>
        <w:t>A typical deployment session begins with library creation: users organize materials into subjects that scope conversations and retrieval indices. Uploading PDF or PPTX artifacts triggers asynchronous parsing and embedding, followed by graph extraction when credentials permit. The UI surfaces completion states so users understand when hybrid queries will reflect fresh content versus stale indices.</w:t>
      </w:r>
    </w:p>
    <w:p w14:paraId="1E1593D7" w14:textId="77777777" w:rsidR="00E84588" w:rsidRDefault="00000000">
      <w:pPr>
        <w:spacing w:after="160"/>
      </w:pPr>
      <w:r>
        <w:t>Once indexing completes, learners interact through chat with explicit retrieval mode selection, inspect relationship diagrams when curiosity drives structural understanding, and optionally invoke exam-centric flows that consume parsed papers and generated variants. Instructors may emphasize citation fidelity during review season or exploratory browsing during initial comprehension—StudyForge provides knobs rather than a single behavioral preset.</w:t>
      </w:r>
    </w:p>
    <w:p w14:paraId="3CD5526F" w14:textId="77777777" w:rsidR="00E84588" w:rsidRDefault="00000000">
      <w:pPr>
        <w:pStyle w:val="ListBullet"/>
        <w:spacing w:after="80"/>
      </w:pPr>
      <w:r>
        <w:t>Upload → index → visualize → query → (optional) analyze exams → iterate with new materials.</w:t>
      </w:r>
    </w:p>
    <w:p w14:paraId="5EC8300F" w14:textId="77777777" w:rsidR="00E84588" w:rsidRDefault="00000000">
      <w:pPr>
        <w:pStyle w:val="ListBullet"/>
        <w:spacing w:after="80"/>
      </w:pPr>
      <w:r>
        <w:t>Subject boundaries prevent cross-course leakage and simplify operational resets.</w:t>
      </w:r>
    </w:p>
    <w:p w14:paraId="40E89115" w14:textId="77777777" w:rsidR="00E84588" w:rsidRDefault="00000000">
      <w:pPr>
        <w:pStyle w:val="ListBullet"/>
        <w:spacing w:after="80"/>
      </w:pPr>
      <w:r>
        <w:t>Status endpoints support resilient UX patterns under variable provider latency.</w:t>
      </w:r>
    </w:p>
    <w:p w14:paraId="3512A01B" w14:textId="77777777" w:rsidR="00E84588" w:rsidRDefault="00000000">
      <w:pPr>
        <w:pStyle w:val="Heading2"/>
        <w:spacing w:after="120"/>
      </w:pPr>
      <w:r>
        <w:lastRenderedPageBreak/>
        <w:t>2.6 Testable hypotheses carried by the architecture</w:t>
      </w:r>
    </w:p>
    <w:p w14:paraId="2694FE9B" w14:textId="77777777" w:rsidR="00E84588" w:rsidRDefault="00000000">
      <w:pPr>
        <w:spacing w:after="160"/>
      </w:pPr>
      <w:r>
        <w:t>Architectures encode hypotheses even when teams skip formal experiments. Here, the central hypothesis is that exposing relational scaffolding measurably improves the stability of grounded answers compared with identical decoding budgets under naive chunk retrieval alone—especially for questions that hinge on contrasts, prerequisites, or terminology disambiguation repeated across lectures.</w:t>
      </w:r>
    </w:p>
    <w:p w14:paraId="3CF84F22" w14:textId="77777777" w:rsidR="00E84588" w:rsidRDefault="00000000">
      <w:pPr>
        <w:spacing w:after="160"/>
      </w:pPr>
      <w:r>
        <w:t>A second hypothesis concerns throughput fairness: batched embedding plus asynchronous graph extraction should keep interactive chat responsive while indexing proceeds, avoiding the disappointing pattern where demos stall on projector Wi-Fi because monolithic pipelines block the event loop.</w:t>
      </w:r>
    </w:p>
    <w:p w14:paraId="1D00A87D" w14:textId="77777777" w:rsidR="00E84588" w:rsidRDefault="00000000">
      <w:pPr>
        <w:spacing w:after="160"/>
      </w:pPr>
      <w:r>
        <w:t>Third, variant-generation workflows should preserve statistical diversity—multiple items probing the same competency—without trivial surface paraphrase that yields duplicate reasoning paths. Evaluating that claim requires rubrics beyond BLEU scores: instructor judgment, Bloom tagging, and adversarial checks for leaked answers from memorization surfaces.</w:t>
      </w:r>
    </w:p>
    <w:p w14:paraId="3D4C94C8" w14:textId="77777777" w:rsidR="00E84588" w:rsidRDefault="00000000">
      <w:pPr>
        <w:spacing w:after="160"/>
      </w:pPr>
      <w:r>
        <w:t>Finally, transparency hypotheses matter pedagogically: learners who can inspect citations and graph neighbors calibrate trust better than learners exposed only to fluent monologues. While causal claims demand user studies beyond this engineering report, the interface is intentionally instrumented to support such studies.</w:t>
      </w:r>
    </w:p>
    <w:p w14:paraId="3DF4A089" w14:textId="77777777" w:rsidR="00E84588" w:rsidRDefault="00000000">
      <w:pPr>
        <w:pStyle w:val="ListBullet"/>
        <w:spacing w:after="80"/>
      </w:pPr>
      <w:r>
        <w:t>Hypothesis A: graph cues reduce incoherent multi-chunk fusion versus pure top-k baselines at matched latency.</w:t>
      </w:r>
    </w:p>
    <w:p w14:paraId="6CBF867A" w14:textId="77777777" w:rsidR="00E84588" w:rsidRDefault="00000000">
      <w:pPr>
        <w:pStyle w:val="ListBullet"/>
        <w:spacing w:after="80"/>
      </w:pPr>
      <w:r>
        <w:t>Hypothesis B: asynchronous orchestration preserves UX interactivity during expensive indexing phases.</w:t>
      </w:r>
    </w:p>
    <w:p w14:paraId="0A96E6F1" w14:textId="77777777" w:rsidR="00E84588" w:rsidRDefault="00000000">
      <w:pPr>
        <w:pStyle w:val="ListBullet"/>
        <w:spacing w:after="80"/>
      </w:pPr>
      <w:r>
        <w:t>Hypothesis C: structured variant prompts diversify cognitive coverage when validated by instructors.</w:t>
      </w:r>
    </w:p>
    <w:p w14:paraId="5A265F53" w14:textId="77777777" w:rsidR="00E84588" w:rsidRDefault="00000000">
      <w:pPr>
        <w:pStyle w:val="ListBullet"/>
        <w:spacing w:after="80"/>
      </w:pPr>
      <w:r>
        <w:t>Hypothesis D: provenance-rich UI affordances improve appropriate trust—not blind reliance—on model outputs.</w:t>
      </w:r>
    </w:p>
    <w:p w14:paraId="0D23E0B3" w14:textId="77777777" w:rsidR="00E84588" w:rsidRDefault="00000000">
      <w:pPr>
        <w:pStyle w:val="ListBullet"/>
        <w:spacing w:after="80"/>
      </w:pPr>
      <w:r>
        <w:t>These hypotheses map cleanly onto A/B fixtures in classroom pilots without rewriting core services.</w:t>
      </w:r>
    </w:p>
    <w:p w14:paraId="346FFBEF" w14:textId="77777777" w:rsidR="00E84588" w:rsidRDefault="00000000">
      <w:pPr>
        <w:pStyle w:val="Heading2"/>
        <w:spacing w:after="120"/>
      </w:pPr>
      <w:r>
        <w:t>2.7 Collaboration affordances for instructional teams</w:t>
      </w:r>
    </w:p>
    <w:p w14:paraId="4720CF8C" w14:textId="77777777" w:rsidR="00E84588" w:rsidRDefault="00000000">
      <w:pPr>
        <w:spacing w:after="160"/>
      </w:pPr>
      <w:r>
        <w:t>Instruction is seldom solitary: teaching assistants revise slides, faculty swap modules mid-semester, and students contribute clarifying notes. StudyForge encodes collaboration implicitly through subject-scoped libraries—upload privileges, shared visualization sessions, and reproducible traces that newcomers can replay to understand how an analysis conclusion emerged.</w:t>
      </w:r>
    </w:p>
    <w:p w14:paraId="50C711E3" w14:textId="77777777" w:rsidR="00E84588" w:rsidRDefault="00000000">
      <w:pPr>
        <w:spacing w:after="160"/>
      </w:pPr>
      <w:r>
        <w:t>Version discipline matters when slides mutate weekly. While full Git-like semantics for instructional PDFs remain future work, anchoring citations to file identifiers plus page offsets yields minimally viable provenance when decks rev. Teams should nonetheless adopt naming conventions that signal revision epochs externally.</w:t>
      </w:r>
    </w:p>
    <w:p w14:paraId="00061E1D" w14:textId="77777777" w:rsidR="00E84588" w:rsidRDefault="00000000">
      <w:pPr>
        <w:spacing w:after="160"/>
      </w:pPr>
      <w:r>
        <w:t>From an organizational standpoint, transparent orchestration lowers onboarding costs: a new TA can watch streaming traces during exam alignment reviews rather than reverse-engineering opaque scripts. That sociotechnical benefit parallels the technical payoff of modular services.</w:t>
      </w:r>
    </w:p>
    <w:p w14:paraId="05BE008D" w14:textId="77777777" w:rsidR="00E84588" w:rsidRDefault="00000000">
      <w:pPr>
        <w:spacing w:after="160"/>
      </w:pPr>
      <w:r>
        <w:lastRenderedPageBreak/>
        <w:t>Finally, cross-role empathy improves design: engineers learn pacing constraints of live seminars; instructors learn latency envelopes of remote embeddings. Joint pilots therefore outperform isolated hackathons—StudyForge targets that reality with logs instructors can read without SSH access.</w:t>
      </w:r>
    </w:p>
    <w:p w14:paraId="6527D5AC" w14:textId="77777777" w:rsidR="00E84588" w:rsidRDefault="00000000">
      <w:pPr>
        <w:pStyle w:val="ListBullet"/>
        <w:spacing w:after="80"/>
      </w:pPr>
      <w:r>
        <w:t>Subject boundaries approximate tenant boundaries for classroom-sized deployments.</w:t>
      </w:r>
    </w:p>
    <w:p w14:paraId="443D14AC" w14:textId="77777777" w:rsidR="00E84588" w:rsidRDefault="00000000">
      <w:pPr>
        <w:pStyle w:val="ListBullet"/>
        <w:spacing w:after="80"/>
      </w:pPr>
      <w:r>
        <w:t>Encourage documented upload policies so corpora remain internally consistent.</w:t>
      </w:r>
    </w:p>
    <w:p w14:paraId="764EF567" w14:textId="77777777" w:rsidR="00E84588" w:rsidRDefault="00000000">
      <w:pPr>
        <w:pStyle w:val="ListBullet"/>
        <w:spacing w:after="80"/>
      </w:pPr>
      <w:r>
        <w:t>Use traces as synchronous teaching artifacts during TA training sessions.</w:t>
      </w:r>
    </w:p>
    <w:p w14:paraId="4E297856" w14:textId="77777777" w:rsidR="00E84588" w:rsidRDefault="00000000">
      <w:pPr>
        <w:pStyle w:val="ListBullet"/>
        <w:spacing w:after="80"/>
      </w:pPr>
      <w:r>
        <w:t>Pair automation with office-hour workflows where humans adjudicate borderline extractions.</w:t>
      </w:r>
    </w:p>
    <w:p w14:paraId="27FA681D" w14:textId="77777777" w:rsidR="00E84588" w:rsidRDefault="00000000">
      <w:pPr>
        <w:pStyle w:val="ListBullet"/>
        <w:spacing w:after="80"/>
      </w:pPr>
      <w:r>
        <w:t>Capture qualitative feedback loops—not only quantitative retrieval scores.</w:t>
      </w:r>
    </w:p>
    <w:p w14:paraId="4C78F774" w14:textId="77777777" w:rsidR="00E84588" w:rsidRDefault="00000000">
      <w:pPr>
        <w:pStyle w:val="ListBullet"/>
        <w:spacing w:after="80"/>
      </w:pPr>
      <w:r>
        <w:t>Treat UX copy as part of the safety surface (defaults, warnings, recovery paths).</w:t>
      </w:r>
    </w:p>
    <w:p w14:paraId="57B9EB97" w14:textId="77777777" w:rsidR="00E84588" w:rsidRDefault="00000000">
      <w:pPr>
        <w:pStyle w:val="Heading1"/>
        <w:spacing w:before="240" w:after="120"/>
      </w:pPr>
      <w:r>
        <w:t>3. Detailed System Implementation</w:t>
      </w:r>
    </w:p>
    <w:p w14:paraId="128FE084" w14:textId="77777777" w:rsidR="00E84588" w:rsidRDefault="00000000">
      <w:pPr>
        <w:spacing w:before="200"/>
      </w:pPr>
      <w:r>
        <w:rPr>
          <w:b/>
          <w:i/>
          <w:color w:val="333333"/>
          <w:sz w:val="20"/>
        </w:rPr>
        <w:t>Figure 1. Layered architecture of StudyForge (diagram).</w:t>
      </w:r>
    </w:p>
    <w:p w14:paraId="34A4E791" w14:textId="77777777" w:rsidR="00E84588" w:rsidRDefault="00000000">
      <w:pPr>
        <w:spacing w:after="280"/>
      </w:pPr>
      <w:r>
        <w:rPr>
          <w:noProof/>
        </w:rPr>
        <w:drawing>
          <wp:inline distT="0" distB="0" distL="0" distR="0" wp14:anchorId="31684827" wp14:editId="08A4BE36">
            <wp:extent cx="5669280" cy="28861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_en.png"/>
                    <pic:cNvPicPr/>
                  </pic:nvPicPr>
                  <pic:blipFill>
                    <a:blip r:embed="rId6"/>
                    <a:stretch>
                      <a:fillRect/>
                    </a:stretch>
                  </pic:blipFill>
                  <pic:spPr>
                    <a:xfrm>
                      <a:off x="0" y="0"/>
                      <a:ext cx="5669280" cy="2886179"/>
                    </a:xfrm>
                    <a:prstGeom prst="rect">
                      <a:avLst/>
                    </a:prstGeom>
                  </pic:spPr>
                </pic:pic>
              </a:graphicData>
            </a:graphic>
          </wp:inline>
        </w:drawing>
      </w:r>
    </w:p>
    <w:p w14:paraId="355487AF" w14:textId="77777777" w:rsidR="00E84588" w:rsidRDefault="00000000">
      <w:pPr>
        <w:pStyle w:val="Heading2"/>
        <w:spacing w:after="120"/>
      </w:pPr>
      <w:r>
        <w:t>3.1 Layered architecture and technology stack</w:t>
      </w:r>
    </w:p>
    <w:p w14:paraId="06E60E88" w14:textId="77777777" w:rsidR="00E84588" w:rsidRDefault="00000000">
      <w:pPr>
        <w:spacing w:after="160"/>
      </w:pPr>
      <w:r>
        <w:t>Figure 1 summarizes the deployment layering: browser client, API gateway, retrieval core, and configurable models. The front end communicates through REST and streaming endpoints; the gateway authenticates requests when configured, attaches correlation identifiers, and delegates domain logic to services that understand subjects, conversations, documents, graphs, and exams. Storage layouts separate uploaded binaries, derived text artifacts, indices, and analytic traces so backups and deletion policies can be reasoned about clearly.</w:t>
      </w:r>
    </w:p>
    <w:p w14:paraId="42C83599" w14:textId="77777777" w:rsidR="00E84588" w:rsidRDefault="00000000">
      <w:pPr>
        <w:spacing w:after="160"/>
      </w:pPr>
      <w:r>
        <w:t xml:space="preserve">The model layer is deliberately polymorphic. Chat models power fluent answers and agent planning; extraction models populate graphs; embedding models determine semantic neighborhoods. StudyForge encodes these roles in configuration so teams can adopt DeepSeek-class endpoints for reasoning while </w:t>
        <w:lastRenderedPageBreak/>
        <w:t>sourcing embeddings from another vendor—or from local GPU inference—without rewriting retrieval mathematics.</w:t>
      </w:r>
    </w:p>
    <w:p w14:paraId="3C100001" w14:textId="77777777" w:rsidR="00AA0001" w:rsidRDefault="00000000">
      <w:pPr>
        <w:spacing w:after="160"/>
      </w:pPr>
      <w:r>
        <w:t xml:space="preserve">In our specific deployment, the following model stack was used. For conversational chat and graph-entity extraction, we used </w:t>
      </w:r>
      <w:r>
        <w:rPr>
          <w:b/>
        </w:rPr>
        <w:t>DeepSeek-V3</w:t>
      </w:r>
      <w:r>
        <w:t xml:space="preserve"> via its OpenAI-compatible API (api.deepseek.com), a mixture-of-experts LLM with strong instruction-following and structured output capabilities suited to entity-relation extraction prompts. For vector embeddings we used </w:t>
      </w:r>
      <w:r>
        <w:rPr>
          <w:b/>
        </w:rPr>
        <w:t>SiliconFlow text-embedding-v3</w:t>
      </w:r>
      <w:r>
        <w:t xml:space="preserve"> (1,536-dimensional dense vectors), batched via the SiliconFlow OpenAI-compatible endpoint to amortise per-request overhead during large deck ingestion. The knowledge-graph layer is built on </w:t>
      </w:r>
      <w:r>
        <w:rPr>
          <w:b/>
        </w:rPr>
        <w:t>LightRAG</w:t>
      </w:r>
      <w:r>
        <w:t xml:space="preserve"> (github.com/hkuds/lightrag), which maintains parallel nano-vector stores for entity and relation embeddings alongside a NetworkX-backed graph store; query modes (naive, local, global, mix) are dispatched to this layer and each returns ranked candidate triples fused with dense chunk retrieval before the LLM synthesises a final answer. The frontend is </w:t>
      </w:r>
      <w:r>
        <w:rPr>
          <w:b/>
        </w:rPr>
        <w:t>Vue 3 + Vite</w:t>
      </w:r>
      <w:r>
        <w:t xml:space="preserve"> and the backend is </w:t>
      </w:r>
      <w:r>
        <w:rPr>
          <w:b/>
        </w:rPr>
        <w:t>FastAPI (Python 3.12)</w:t>
      </w:r>
      <w:r>
        <w:t xml:space="preserve">, with all model credentials encrypted at rest by the settings service and swappable at runtime without code changes.</w:t>
      </w:r>
    </w:p>
    <w:p w14:paraId="15BCFF48" w14:textId="77777777" w:rsidR="00E84588" w:rsidRDefault="00000000">
      <w:pPr>
        <w:pStyle w:val="ListBullet"/>
        <w:spacing w:after="80"/>
      </w:pPr>
      <w:r>
        <w:t>FastAPI provides OpenAPI schemas that contract-test critical surfaces for regressions.</w:t>
      </w:r>
    </w:p>
    <w:p w14:paraId="0E9A38B0" w14:textId="77777777" w:rsidR="00E84588" w:rsidRDefault="00000000">
      <w:pPr>
        <w:pStyle w:val="ListBullet"/>
        <w:spacing w:after="80"/>
      </w:pPr>
      <w:r>
        <w:t>Vue 3 + Vite emphasize modular panels (documents, chat, graph, exam tooling) with shared state conventions.</w:t>
      </w:r>
    </w:p>
    <w:p w14:paraId="4D7D6F02" w14:textId="77777777" w:rsidR="00E84588" w:rsidRDefault="00000000">
      <w:pPr>
        <w:pStyle w:val="ListBullet"/>
        <w:spacing w:after="80"/>
      </w:pPr>
      <w:r>
        <w:t>Middleware hooks (API keys, request IDs) align with classroom pilots that require lightweight access control.</w:t>
      </w:r>
    </w:p>
    <w:p w14:paraId="60188CF8" w14:textId="77777777" w:rsidR="00E84588" w:rsidRDefault="00000000">
      <w:pPr>
        <w:pStyle w:val="Heading2"/>
        <w:spacing w:after="120"/>
      </w:pPr>
      <w:r>
        <w:t>3.2 Document ingestion, parsing, and chunking policy</w:t>
      </w:r>
    </w:p>
    <w:p w14:paraId="28E4FFDB" w14:textId="77777777" w:rsidR="00E84588" w:rsidRDefault="00000000">
      <w:pPr>
        <w:spacing w:after="160"/>
      </w:pPr>
      <w:r>
        <w:t>Chunking is treated as a retrieval hyperparameter. Too-small fragments lose definitional context; too-large blocks dilute embeddings and encourage vague answers. Slide-aware segmentation exploits presentation structure: bullets co-occur because instructors intended them together. When decks overflow token budgets, deterministic splitting retains overlapping windows so continuity survives mechanical cuts.</w:t>
      </w:r>
    </w:p>
    <w:p w14:paraId="74382E66" w14:textId="77777777" w:rsidR="00E84588" w:rsidRDefault="00000000">
      <w:pPr>
        <w:spacing w:after="160"/>
      </w:pPr>
      <w:r>
        <w:t>Operational throughput hinges on embedding batching and parallel inserts. Classroom demonstrations fail when indexing stalls silently; StudyForge therefore emphasizes observable stages—parse, embed, extract—surfaced through API status fields the UI can interpret. This observability doubles as pedagogy for student developers learning how modern RAG systems behave under load.</w:t>
      </w:r>
    </w:p>
    <w:p w14:paraId="2A5907F3" w14:textId="77777777" w:rsidR="00E84588" w:rsidRDefault="00000000">
      <w:pPr>
        <w:pStyle w:val="ListBullet"/>
        <w:spacing w:after="80"/>
      </w:pPr>
      <w:r>
        <w:t>Metadata-rich chunks unlock citation UI and graph node provenance.</w:t>
      </w:r>
    </w:p>
    <w:p w14:paraId="3492C9B9" w14:textId="77777777" w:rsidR="00E84588" w:rsidRDefault="00000000">
      <w:pPr>
        <w:pStyle w:val="ListBullet"/>
        <w:spacing w:after="80"/>
      </w:pPr>
      <w:r>
        <w:t>Parallel pipelines reduce wall-clock time for mid-sized corpora typical of single-course deployments.</w:t>
      </w:r>
    </w:p>
    <w:p w14:paraId="7E518CE1" w14:textId="77777777" w:rsidR="00E84588" w:rsidRDefault="00000000">
      <w:pPr>
        <w:pStyle w:val="ListBullet"/>
        <w:spacing w:after="80"/>
      </w:pPr>
      <w:r>
        <w:t>Explicit failures (missing keys, embedding errors) are preferable to partially constructed graphs.</w:t>
      </w:r>
    </w:p>
    <w:p w14:paraId="1996894E" w14:textId="77777777" w:rsidR="00E84588" w:rsidRDefault="00000000">
      <w:pPr>
        <w:pStyle w:val="Heading2"/>
        <w:spacing w:after="120"/>
      </w:pPr>
      <w:r>
        <w:t>3.3 Knowledge-graph extraction, fusion, and visualization</w:t>
      </w:r>
    </w:p>
    <w:p w14:paraId="3F1E28AA" w14:textId="77777777" w:rsidR="00E84588" w:rsidRDefault="00000000">
      <w:pPr>
        <w:spacing w:after="160"/>
      </w:pPr>
      <w:r>
        <w:t>Graph extraction prompts bias the model toward concise, schema-aligned entities and relations—shorthand for concepts the course revisits, not encyclopedic nodes unrelated to local objectives. LightRAG merges vectorized representations of entities and relationships with structural stores so retrieval can hop between lexical and topological similarity measures depending on mode.</w:t>
      </w:r>
    </w:p>
    <w:p w14:paraId="030AC57F" w14:textId="77777777" w:rsidR="00E84588" w:rsidRDefault="00000000">
      <w:pPr>
        <w:spacing w:after="160"/>
      </w:pPr>
      <w:r>
        <w:t>Visualization translates abstract triples into manipulable diagrams: node palettes communicate entity classes; hover states expose snippets and sources; filters tame dense graphs produced from ambitious syllabi. The goal is not cinematic graphics but cognitive scaffolding—learners should perceive clusters, hubs, and bridging concepts that textual reading obscures.</w:t>
      </w:r>
    </w:p>
    <w:p w14:paraId="4F475468" w14:textId="77777777" w:rsidR="00E84588" w:rsidRDefault="00000000">
      <w:pPr>
        <w:spacing w:after="160"/>
      </w:pPr>
      <w:r>
        <w:t>Layout physics implicitly communicates importance: high-degree nodes migrate toward visual centrality under force-directed solvers, signaling conceptual hubs instructors may wish to reinforce orally. Filtering by entity type lets novices reduce clutter without sacrificing depth—analogous to progressive disclosure patterns in IDE tooling.</w:t>
      </w:r>
    </w:p>
    <w:p w14:paraId="7E7DE742" w14:textId="77777777" w:rsidR="00E84588" w:rsidRDefault="00000000">
      <w:pPr>
        <w:spacing w:after="160"/>
      </w:pPr>
      <w:r>
        <w:t xml:space="preserve">Synchronizing graph selection with document viewers closes the loop between symbolic and textual modalities: clicking a formula entity might reveal its definitional slide; highlighting an exam topic cluster </w:t>
        <w:lastRenderedPageBreak/>
        <w:t>might cue related assessment blueprints. Achieving tight synchronization demands stable identifiers bridging graph nodes and chunk metadata—a contract StudyForge encodes at ingestion time.</w:t>
      </w:r>
    </w:p>
    <w:p w14:paraId="3F1DB8C7" w14:textId="77777777" w:rsidR="00E84588" w:rsidRDefault="00000000">
      <w:pPr>
        <w:pStyle w:val="ListBullet"/>
        <w:spacing w:after="80"/>
      </w:pPr>
      <w:r>
        <w:t>Extraction quality improves when headings and slide titles participate in prompts as weak supervision.</w:t>
      </w:r>
    </w:p>
    <w:p w14:paraId="7246700C" w14:textId="77777777" w:rsidR="00E84588" w:rsidRDefault="00000000">
      <w:pPr>
        <w:pStyle w:val="ListBullet"/>
        <w:spacing w:after="80"/>
      </w:pPr>
      <w:r>
        <w:t>Graph hygiene (deduplication, pruning noisy edges) keeps visualization interpretable.</w:t>
      </w:r>
    </w:p>
    <w:p w14:paraId="134580B0" w14:textId="77777777" w:rsidR="00E84588" w:rsidRDefault="00000000">
      <w:pPr>
        <w:pStyle w:val="ListBullet"/>
        <w:spacing w:after="80"/>
      </w:pPr>
      <w:r>
        <w:t>Interactive filtering aligns UI complexity with learner intent (review chapter vs explore globally).</w:t>
      </w:r>
    </w:p>
    <w:p w14:paraId="6C668ADE" w14:textId="77777777" w:rsidR="00E84588" w:rsidRDefault="00000000">
      <w:pPr>
        <w:pStyle w:val="Heading2"/>
        <w:spacing w:after="120"/>
      </w:pPr>
      <w:r>
        <w:t>3.4 Query interfaces: modes, streaming, and grounding discipline</w:t>
      </w:r>
    </w:p>
    <w:p w14:paraId="34EA69EC" w14:textId="77777777" w:rsidR="00E84588" w:rsidRDefault="00000000">
      <w:pPr>
        <w:spacing w:after="160"/>
      </w:pPr>
      <w:r>
        <w:t>StudyForge exposes LightRAG query modes as explicit user choices because retrieval trade-offs are pedagogically meaningful. A student verifying a definition benefits from local precision; another synthesizing exam guides may tolerate broader abstraction if citations remain inspectable. Bypass-style paths exist for diagnostic scenarios where operators must isolate model behavior from retrieval, underscoring that not every failure originates in embeddings.</w:t>
      </w:r>
    </w:p>
    <w:p w14:paraId="1FEE6591" w14:textId="77777777" w:rsidR="00E84588" w:rsidRDefault="00000000">
      <w:pPr>
        <w:spacing w:after="160"/>
      </w:pPr>
      <w:r>
        <w:t>Streaming contracts deserve engineering attention. Partial tokens improve responsiveness, but structured annotations—citations, tool traces, conflict summaries—must remain machine-parseable. The implementation therefore favors disciplined event shapes over ad hoc concatenation, easing automated testing and downstream analytics that ingest session logs.</w:t>
      </w:r>
    </w:p>
    <w:p w14:paraId="17BB358F" w14:textId="77777777" w:rsidR="00E84588" w:rsidRDefault="00000000">
      <w:pPr>
        <w:pStyle w:val="ListBullet"/>
        <w:spacing w:after="80"/>
      </w:pPr>
      <w:r>
        <w:t>Mode selectors make retrieval hypotheses explicit rather than hiding them inside defaults.</w:t>
      </w:r>
    </w:p>
    <w:p w14:paraId="0402662D" w14:textId="77777777" w:rsidR="00E84588" w:rsidRDefault="00000000">
      <w:pPr>
        <w:pStyle w:val="ListBullet"/>
        <w:spacing w:after="80"/>
      </w:pPr>
      <w:r>
        <w:t>Diagnostics distinguish LLM errors from indexing gaps during support workflows.</w:t>
      </w:r>
    </w:p>
    <w:p w14:paraId="6B167ACD" w14:textId="77777777" w:rsidR="00E84588" w:rsidRDefault="00000000">
      <w:pPr>
        <w:pStyle w:val="ListBullet"/>
        <w:spacing w:after="80"/>
      </w:pPr>
      <w:r>
        <w:t>Structured streaming enables progressive rendering without sacrificing programmatic consumers.</w:t>
      </w:r>
    </w:p>
    <w:p w14:paraId="5871FBFD" w14:textId="77777777" w:rsidR="00E84588" w:rsidRDefault="00000000">
      <w:pPr>
        <w:pStyle w:val="Heading2"/>
        <w:spacing w:after="120"/>
      </w:pPr>
      <w:r>
        <w:t>3.5 Conversational agent: tools, citations, and pedagogical modes</w:t>
      </w:r>
    </w:p>
    <w:p w14:paraId="27DCF9F2" w14:textId="77777777" w:rsidR="00E84588" w:rsidRDefault="00000000">
      <w:pPr>
        <w:spacing w:after="160"/>
      </w:pPr>
      <w:r>
        <w:t>Tool-using agents operationalize the principle that language models should plan but not secretly substitute for retrieval. Functions expose narrowly scoped capabilities—graph queries, structured lookups—while system prompts articulate citation discipline and classroom tone. Optional stylistic augmentations (for example, Socratic prompting) reshape interaction goals without rewriting retrieval code paths.</w:t>
      </w:r>
    </w:p>
    <w:p w14:paraId="636D7501" w14:textId="77777777" w:rsidR="00E84588" w:rsidRDefault="00000000">
      <w:pPr>
        <w:spacing w:after="160"/>
      </w:pPr>
      <w:r>
        <w:t>Citation analysis hooks acknowledge an uncomfortable truth: retrieval reduces hallucination rates but does not eliminate rhetorical overreach. Surfacing trust diagnostics (when configured) trains users to read outputs critically—an educational stance aligned with institutional integrity policies more than pure automation hype.</w:t>
      </w:r>
    </w:p>
    <w:p w14:paraId="792E9B20" w14:textId="77777777" w:rsidR="00E84588" w:rsidRDefault="00000000">
      <w:pPr>
        <w:pStyle w:val="ListBullet"/>
        <w:spacing w:after="80"/>
      </w:pPr>
      <w:r>
        <w:t>Registered tools keep capabilities enumerable for audits and capability matrices.</w:t>
      </w:r>
    </w:p>
    <w:p w14:paraId="0C020CD2" w14:textId="77777777" w:rsidR="00E84588" w:rsidRDefault="00000000">
      <w:pPr>
        <w:pStyle w:val="ListBullet"/>
        <w:spacing w:after="80"/>
      </w:pPr>
      <w:r>
        <w:t>Pedagogical modes map to prompt augmentations rather than forked agent binaries.</w:t>
      </w:r>
    </w:p>
    <w:p w14:paraId="45B280DF" w14:textId="77777777" w:rsidR="00E84588" w:rsidRDefault="00000000">
      <w:pPr>
        <w:pStyle w:val="ListBullet"/>
        <w:spacing w:after="80"/>
      </w:pPr>
      <w:r>
        <w:t>Optional analytic tails reinforce meta-cognitive habits around evidence usage.</w:t>
      </w:r>
    </w:p>
    <w:p w14:paraId="6C06C7C5" w14:textId="77777777" w:rsidR="00E84588" w:rsidRDefault="00000000">
      <w:pPr>
        <w:pStyle w:val="Heading2"/>
        <w:spacing w:after="120"/>
      </w:pPr>
      <w:r>
        <w:t>3.6 Exam-oriented intelligence: parsing, analysis pipelines, and variants</w:t>
      </w:r>
    </w:p>
    <w:p w14:paraId="5B2ACBD2" w14:textId="77777777" w:rsidR="00E84588" w:rsidRDefault="00000000">
      <w:pPr>
        <w:spacing w:after="160"/>
      </w:pPr>
      <w:r>
        <w:t xml:space="preserve">Exam materials enter the system as PDF artifacts parsed into structured representations suitable for analytics and re-use. Parsed exams become inputs to orchestrated analyses that align questions with </w:t>
        <w:lastRenderedPageBreak/>
        <w:t>knowledge traces recovered from course documents—linking assessment items back to the corpus that justified their placement in the curriculum. Parallel batching balances responsiveness against LLM quotas while emitting artifacts usable for teaching demonstrations.</w:t>
      </w:r>
    </w:p>
    <w:p w14:paraId="13DA2FDA" w14:textId="77777777" w:rsidR="00E84588" w:rsidRDefault="00000000">
      <w:pPr>
        <w:spacing w:after="160"/>
      </w:pPr>
      <w:r>
        <w:t>Variant generation endpoints consolidate pedagogy and automation: instructors specify targets—skills, difficulty bands, formats—and the stack prompts chat models under structured constraints to emit parallel questions that share latent objectives without duplicating surface wording. This complements retrieval-heavy tutoring by supplying deliberate practice, provided operators validate samples before high-stakes use.</w:t>
      </w:r>
    </w:p>
    <w:p w14:paraId="346A7BA3" w14:textId="77777777" w:rsidR="00E84588" w:rsidRDefault="00000000">
      <w:pPr>
        <w:spacing w:after="160"/>
      </w:pPr>
      <w:r>
        <w:t>Parsing historically favors deterministic structure where possible: separating stems, prompts, and directive language (“Show your work”, “Choose all that apply”) stabilizes downstream analytics. When OCR ambiguity introduces jitter, human-in-the-loop correction hooks prevent error cascades into automated rubrics.</w:t>
      </w:r>
    </w:p>
    <w:p w14:paraId="7415F3F4" w14:textId="77777777" w:rsidR="00E84588" w:rsidRDefault="00000000">
      <w:pPr>
        <w:spacing w:after="160"/>
      </w:pPr>
      <w:r>
        <w:t>Orchestrated exam analysis mirrors divide-and-conquer strategies familiar from industrial ML pipelines—partition items, preserve shared context (course title, assumed prerequisites), merge intermediate representations—yet surfaces outputs as teaching narratives (thinking blocks, tool traces) palatable in classroom walkthroughs.</w:t>
      </w:r>
    </w:p>
    <w:p w14:paraId="093CCC62" w14:textId="77777777" w:rsidR="00E84588" w:rsidRDefault="00000000">
      <w:pPr>
        <w:pStyle w:val="ListBullet"/>
        <w:spacing w:after="80"/>
      </w:pPr>
      <w:r>
        <w:t>Lead/sub orchestration mirrors human task partitioning for exam-intelligence workloads.</w:t>
      </w:r>
    </w:p>
    <w:p w14:paraId="7C797EED" w14:textId="77777777" w:rsidR="00E84588" w:rsidRDefault="00000000">
      <w:pPr>
        <w:pStyle w:val="ListBullet"/>
        <w:spacing w:after="80"/>
      </w:pPr>
      <w:r>
        <w:t>Trace storage supports reproducible walkthroughs during presentations or grading calibration.</w:t>
      </w:r>
    </w:p>
    <w:p w14:paraId="5C073432" w14:textId="77777777" w:rsidR="00E84588" w:rsidRDefault="00000000">
      <w:pPr>
        <w:pStyle w:val="ListBullet"/>
        <w:spacing w:after="80"/>
      </w:pPr>
      <w:r>
        <w:t>Structured variants enable item banks that respect Bloom-style cognitive diversity when templated accordingly.</w:t>
      </w:r>
    </w:p>
    <w:p w14:paraId="1B6A43CC" w14:textId="77777777" w:rsidR="00E84588" w:rsidRDefault="00000000">
      <w:pPr>
        <w:pStyle w:val="Heading2"/>
        <w:spacing w:after="120"/>
      </w:pPr>
      <w:r>
        <w:t>3.7 Integration, deployment, and engineering hygiene</w:t>
      </w:r>
    </w:p>
    <w:p w14:paraId="56B7B696" w14:textId="77777777" w:rsidR="00E84588" w:rsidRDefault="00000000">
      <w:pPr>
        <w:spacing w:after="160"/>
      </w:pPr>
      <w:r>
        <w:t>Production-grade assistants require boring excellence: reproducible environments, secret hygiene, and smoke tests that fail loudly when assumptions drift. StudyForge ships Docker-minded workflows and developer scripts that pair API processes with front-end tooling; configuration emphasizes `.env` conventions without embedding live credentials into repositories. Contract tests guard representative HTTP behaviors so refactors do not silently fracture classroom demos.</w:t>
      </w:r>
    </w:p>
    <w:p w14:paraId="60E46B49" w14:textId="77777777" w:rsidR="00E84588" w:rsidRDefault="00000000">
      <w:pPr>
        <w:spacing w:after="160"/>
      </w:pPr>
      <w:r>
        <w:t>Documentation and repository hygiene mirror open-source expectations—README guidance, explicit licensing on vendored subgraphs where applicable, and issue-tracker-friendly module boundaries. These choices reduce activation energy for independent verification, which matters academically: reproducibility is itself a result.</w:t>
      </w:r>
    </w:p>
    <w:p w14:paraId="35F4C4B5" w14:textId="77777777" w:rsidR="00E84588" w:rsidRDefault="00000000">
      <w:pPr>
        <w:pStyle w:val="ListBullet"/>
        <w:spacing w:after="80"/>
      </w:pPr>
      <w:r>
        <w:t>Gateway API keys (`STUDYFORGE_API_KEY`) optional enable lightweight perimeter controls.</w:t>
      </w:r>
    </w:p>
    <w:p w14:paraId="0A2B30E5" w14:textId="77777777" w:rsidR="00E84588" w:rsidRDefault="00000000">
      <w:pPr>
        <w:pStyle w:val="ListBullet"/>
        <w:spacing w:after="80"/>
      </w:pPr>
      <w:r>
        <w:t>Pytest contracts encode acceptable failure semantics for core routes.</w:t>
      </w:r>
    </w:p>
    <w:p w14:paraId="35FF6C34" w14:textId="77777777" w:rsidR="00E84588" w:rsidRDefault="00000000">
      <w:pPr>
        <w:pStyle w:val="ListBullet"/>
        <w:spacing w:after="80"/>
      </w:pPr>
      <w:r>
        <w:t>Separation of uploads, indices, and traces simplifies GDPR-minded deletion experiments.</w:t>
      </w:r>
    </w:p>
    <w:p w14:paraId="22E6C469" w14:textId="77777777" w:rsidR="00E84588" w:rsidRDefault="00000000">
      <w:pPr>
        <w:pStyle w:val="Heading2"/>
        <w:spacing w:after="120"/>
      </w:pPr>
      <w:r>
        <w:t>3.8 Streaming event models and robustness under provider variance</w:t>
      </w:r>
    </w:p>
    <w:p w14:paraId="0A09A87F" w14:textId="77777777" w:rsidR="00E84588" w:rsidRDefault="00000000">
      <w:pPr>
        <w:spacing w:after="160"/>
      </w:pPr>
      <w:r>
        <w:t xml:space="preserve">Streaming is not merely UX polish; it is a protocol contract between model providers, middleware, and clients. Partial tokens interleave with structured events carrying citations, tool traces, or pipeline </w:t>
        <w:lastRenderedPageBreak/>
        <w:t>progress—formats that must survive transient network faults without corrupting parsers. StudyForge favors incremental JSON or newline-delimited payloads so browsers can recover gracefully when connections flap during long generations.</w:t>
      </w:r>
    </w:p>
    <w:p w14:paraId="2F91B407" w14:textId="77777777" w:rsidR="00E84588" w:rsidRDefault="00000000">
      <w:pPr>
        <w:spacing w:after="160"/>
      </w:pPr>
      <w:r>
        <w:t>Provider variance compounds the problem: rate limits, differing stop sequences, subtly incompatible tool-calling dialects, and latency spikes during peak teaching hours. Robust clients implement backoff, request sizing discipline, and semantic duplication guards so retries do not multiply billed tokens explosively.</w:t>
      </w:r>
    </w:p>
    <w:p w14:paraId="03B44A9C" w14:textId="77777777" w:rsidR="00E84588" w:rsidRDefault="00000000">
      <w:pPr>
        <w:spacing w:after="160"/>
      </w:pPr>
      <w:r>
        <w:t>From a research standpoint, streaming traces double as experiment logs: they reveal when retrieval sets collapse to empty, when models ignore citations despite prompt constraints, or when graph modes oscillate answers unpredictably. Investing in structured telemetry therefore pays analytical dividends beyond production reliability alone.</w:t>
      </w:r>
    </w:p>
    <w:p w14:paraId="369F02E3" w14:textId="77777777" w:rsidR="00E84588" w:rsidRDefault="00000000">
      <w:pPr>
        <w:spacing w:after="160"/>
      </w:pPr>
      <w:r>
        <w:t>Finally, partial failure semantics matter educationally. When extraction succeeds but graph fusion falters, the assistant should degrade to vector-only responses with explicit badges—not hallucinate graph certainty. StudyForge’s explicit modes and configuration errors operationalize that stance.</w:t>
      </w:r>
    </w:p>
    <w:p w14:paraId="0D3E8B7F" w14:textId="77777777" w:rsidR="00E84588" w:rsidRDefault="00000000">
      <w:pPr>
        <w:pStyle w:val="ListBullet"/>
        <w:spacing w:after="80"/>
      </w:pPr>
      <w:r>
        <w:t>Prefer deterministic parsers over brittle regex on free-form model transcripts.</w:t>
      </w:r>
    </w:p>
    <w:p w14:paraId="337A3020" w14:textId="77777777" w:rsidR="00E84588" w:rsidRDefault="00000000">
      <w:pPr>
        <w:pStyle w:val="ListBullet"/>
        <w:spacing w:after="80"/>
      </w:pPr>
      <w:r>
        <w:t>Separate transport failures from model refusals to avoid misleading retry loops.</w:t>
      </w:r>
    </w:p>
    <w:p w14:paraId="7194FCCF" w14:textId="77777777" w:rsidR="00E84588" w:rsidRDefault="00000000">
      <w:pPr>
        <w:pStyle w:val="ListBullet"/>
        <w:spacing w:after="80"/>
      </w:pPr>
      <w:r>
        <w:t>Annotate degraded modes so learners understand when structural reasoning is unavailable.</w:t>
      </w:r>
    </w:p>
    <w:p w14:paraId="7BB39272" w14:textId="77777777" w:rsidR="00E84588" w:rsidRDefault="00000000">
      <w:pPr>
        <w:pStyle w:val="ListBullet"/>
        <w:spacing w:after="80"/>
      </w:pPr>
      <w:r>
        <w:t>Cap concurrent LLM calls per tenant to protect shared classroom backends.</w:t>
      </w:r>
    </w:p>
    <w:p w14:paraId="33062C5B" w14:textId="77777777" w:rsidR="00E84588" w:rsidRDefault="00000000">
      <w:pPr>
        <w:pStyle w:val="ListBullet"/>
        <w:spacing w:after="80"/>
      </w:pPr>
      <w:r>
        <w:t>Version prompts alongside retrieval indices to keep longitudinal experiments comparable.</w:t>
      </w:r>
    </w:p>
    <w:p w14:paraId="0EE06C2A" w14:textId="77777777" w:rsidR="00E84588" w:rsidRDefault="00000000">
      <w:pPr>
        <w:pStyle w:val="ListBullet"/>
        <w:spacing w:after="80"/>
      </w:pPr>
      <w:r>
        <w:t>Record correlation IDs end-to-end for post-mortems after failed demos.</w:t>
      </w:r>
    </w:p>
    <w:p w14:paraId="52A23736" w14:textId="77777777" w:rsidR="00E84588" w:rsidRDefault="00000000">
      <w:pPr>
        <w:pStyle w:val="Heading2"/>
        <w:spacing w:after="120"/>
      </w:pPr>
      <w:r>
        <w:t>3.9 Academic integrity, oversight, and constructive use of generative affordances</w:t>
      </w:r>
    </w:p>
    <w:p w14:paraId="342CF60C" w14:textId="77777777" w:rsidR="00E84588" w:rsidRDefault="00000000">
      <w:pPr>
        <w:spacing w:after="160"/>
      </w:pPr>
      <w:r>
        <w:t>Generative study assistants inhabit contested terrain: they can deepen understanding through Socratic dialogue and varied practice, yet they can shortcut reflective effort when defaults emphasize speed over scrutiny. StudyForge’s design leans toward inspectability—citations, explicit retrieval modes, traceable tool calls—so instructors can articulate policies (“always verify claims against slide X”) rather than banning tools wholesale.</w:t>
      </w:r>
    </w:p>
    <w:p w14:paraId="3BE8059F" w14:textId="77777777" w:rsidR="00E84588" w:rsidRDefault="00000000">
      <w:pPr>
        <w:spacing w:after="160"/>
      </w:pPr>
      <w:r>
        <w:t>Exam-generation surfaces deserve explicit governance. Items intended for high-stakes assessment require human approval pipelines; items intended for low-stakes rehearsal benefit from rapid iteration. The architecture accommodates both by treating generation as a proposal stage separated from publication unless operators configure otherwise.</w:t>
      </w:r>
    </w:p>
    <w:p w14:paraId="4F2C87BE" w14:textId="77777777" w:rsidR="00E84588" w:rsidRDefault="00000000">
      <w:pPr>
        <w:spacing w:after="160"/>
      </w:pPr>
      <w:r>
        <w:t>Variant prompts must resist leaking answer keys embedded in sample PDFs or instructor-only appendices. Access controls on subjects, coupled with corpus hygiene practices (redacting solutions before upload), remain institutional responsibilities—software can warn but cannot substitute policy.</w:t>
      </w:r>
    </w:p>
    <w:p w14:paraId="7A605BD6" w14:textId="77777777" w:rsidR="00E84588" w:rsidRDefault="00000000">
      <w:pPr>
        <w:spacing w:after="160"/>
      </w:pPr>
      <w:r>
        <w:t>Longer term, interoperable logging standards across LMS tools could let departments audit aggregate usage patterns (time-on-graph vs chat-only) and correlate them responsibly with learning analytics—provided privacy constraints are honored.</w:t>
      </w:r>
    </w:p>
    <w:p w14:paraId="5DB01C73" w14:textId="77777777" w:rsidR="00E84588" w:rsidRDefault="00000000">
      <w:pPr>
        <w:pStyle w:val="ListBullet"/>
        <w:spacing w:after="80"/>
      </w:pPr>
      <w:r>
        <w:lastRenderedPageBreak/>
        <w:t>Default UX emphasizes provenance to reinforce verification habits.</w:t>
      </w:r>
    </w:p>
    <w:p w14:paraId="48403D6C" w14:textId="77777777" w:rsidR="00E84588" w:rsidRDefault="00000000">
      <w:pPr>
        <w:pStyle w:val="ListBullet"/>
        <w:spacing w:after="80"/>
      </w:pPr>
      <w:r>
        <w:t>Agent traces support instructor audits without exposing raw prompts unnecessarily in multi-user settings.</w:t>
      </w:r>
    </w:p>
    <w:p w14:paraId="63812350" w14:textId="77777777" w:rsidR="00E84588" w:rsidRDefault="00000000">
      <w:pPr>
        <w:pStyle w:val="ListBullet"/>
        <w:spacing w:after="80"/>
      </w:pPr>
      <w:r>
        <w:t>Separate staging vs published question banks when institutional policy demands review gates.</w:t>
      </w:r>
    </w:p>
    <w:p w14:paraId="6C348E0D" w14:textId="77777777" w:rsidR="00E84588" w:rsidRDefault="00000000">
      <w:pPr>
        <w:pStyle w:val="ListBullet"/>
        <w:spacing w:after="80"/>
      </w:pPr>
      <w:r>
        <w:t>Document retention choices should follow jurisdictional guidance on student data.</w:t>
      </w:r>
    </w:p>
    <w:p w14:paraId="373A6855" w14:textId="77777777" w:rsidR="00E84588" w:rsidRDefault="00000000">
      <w:pPr>
        <w:pStyle w:val="ListBullet"/>
        <w:spacing w:after="80"/>
      </w:pPr>
      <w:r>
        <w:t>Communicate limitations prominently during onboarding to novice users.</w:t>
      </w:r>
    </w:p>
    <w:p w14:paraId="56C15606" w14:textId="77777777" w:rsidR="00E84588" w:rsidRDefault="00000000">
      <w:pPr>
        <w:pStyle w:val="Heading2"/>
        <w:spacing w:after="120"/>
      </w:pPr>
      <w:r>
        <w:t>3.10 Limitations, open problems, and roadmap</w:t>
      </w:r>
    </w:p>
    <w:p w14:paraId="520E1984" w14:textId="77777777" w:rsidR="00E84588" w:rsidRDefault="00000000">
      <w:pPr>
        <w:spacing w:after="160"/>
      </w:pPr>
      <w:r>
        <w:t>Despite architectural ambition, StudyForge inherits foundational-model limitations: extraction hallucinates spurious relations; embeddings conflate distinct symbols sharing notation; long-context models may still under-weight middle passages. Mitigations include iterative prompting, graph pruning heuristics, and hybrid active learning where instructors pin authoritative nodes.</w:t>
      </w:r>
    </w:p>
    <w:p w14:paraId="01F5C808" w14:textId="77777777" w:rsidR="00E84588" w:rsidRDefault="00000000">
      <w:pPr>
        <w:spacing w:after="160"/>
      </w:pPr>
      <w:r>
        <w:t>Multimodal course materials—hand-drawn diagrams, audio overlays, video walkthroughs—remain unevenly supported when pipelines prioritize text-first extraction. Future iterations may integrate vision-language encoders with caution about compute budgets and licensing.</w:t>
      </w:r>
    </w:p>
    <w:p w14:paraId="4D077DAC" w14:textId="77777777" w:rsidR="00E84588" w:rsidRDefault="00000000">
      <w:pPr>
        <w:spacing w:after="160"/>
      </w:pPr>
      <w:r>
        <w:t>Evaluation likewise remains open: automated grading rubrics for rich STEM proofs require symbolic checkers beyond generic LLM judging; personalized recommendations need longitudinal datasets most pilots lack. StudyForge positions itself as infrastructure those advances can plug into rather than the final word.</w:t>
      </w:r>
    </w:p>
    <w:p w14:paraId="336D141E" w14:textId="77777777" w:rsidR="00E84588" w:rsidRDefault="00000000">
      <w:pPr>
        <w:spacing w:after="160"/>
      </w:pPr>
      <w:r>
        <w:t>Roadmap items include tighter regression suites conditioned on frozen corpora snapshots, finer-grained tenant isolation for departmental deployments, and teacher dashboards summarizing graph health metrics (density, orphan nodes, contradiction clusters) for continuous content improvement.</w:t>
      </w:r>
    </w:p>
    <w:p w14:paraId="7AA98B33" w14:textId="77777777" w:rsidR="00E84588" w:rsidRDefault="00000000">
      <w:pPr>
        <w:pStyle w:val="ListBullet"/>
        <w:spacing w:after="80"/>
      </w:pPr>
      <w:r>
        <w:t>Treat extracted graphs as hypotheses subject to curriculum review.</w:t>
      </w:r>
    </w:p>
    <w:p w14:paraId="554E2E98" w14:textId="77777777" w:rsidR="00E84588" w:rsidRDefault="00000000">
      <w:pPr>
        <w:pStyle w:val="ListBullet"/>
        <w:spacing w:after="80"/>
      </w:pPr>
      <w:r>
        <w:t>Invest in reproducible corpus snapshots for scientific comparisons across model generations.</w:t>
      </w:r>
    </w:p>
    <w:p w14:paraId="335E5BDB" w14:textId="77777777" w:rsidR="00E84588" w:rsidRDefault="00000000">
      <w:pPr>
        <w:pStyle w:val="ListBullet"/>
        <w:spacing w:after="80"/>
      </w:pPr>
      <w:r>
        <w:t>Explore selective vision pipelines without exploding embedding costs.</w:t>
      </w:r>
    </w:p>
    <w:p w14:paraId="45F6A3D8" w14:textId="77777777" w:rsidR="00E84588" w:rsidRDefault="00000000">
      <w:pPr>
        <w:pStyle w:val="ListBullet"/>
        <w:spacing w:after="80"/>
      </w:pPr>
      <w:r>
        <w:t>Couple analytics with intervention UX—not passive dashboards alone.</w:t>
      </w:r>
    </w:p>
    <w:p w14:paraId="21F873A8" w14:textId="77777777" w:rsidR="00E84588" w:rsidRDefault="00000000">
      <w:pPr>
        <w:pStyle w:val="ListBullet"/>
        <w:spacing w:after="80"/>
      </w:pPr>
      <w:r>
        <w:t>Maintain backward-compatible APIs so downstream classroom integrations survive upgrades.</w:t>
      </w:r>
    </w:p>
    <w:p w14:paraId="5379B3DF" w14:textId="77777777" w:rsidR="00E84588" w:rsidRDefault="00000000">
      <w:pPr>
        <w:pStyle w:val="ListBullet"/>
        <w:spacing w:after="80"/>
      </w:pPr>
      <w:r>
        <w:t>Co-design governance workflows with instructional designers, not solely engineers.</w:t>
      </w:r>
    </w:p>
    <w:p w14:paraId="7EF6428E" w14:textId="77777777" w:rsidR="00E84588" w:rsidRDefault="00000000">
      <w:pPr>
        <w:pStyle w:val="Heading1"/>
        <w:spacing w:before="240" w:after="120"/>
      </w:pPr>
      <w:r>
        <w:t>4. Evaluation Strategy, Failure Modes, and Responsible Deployment</w:t>
      </w:r>
    </w:p>
    <w:p w14:paraId="48644BE7" w14:textId="77777777" w:rsidR="00E84588" w:rsidRDefault="00000000">
      <w:pPr>
        <w:pStyle w:val="Heading2"/>
        <w:spacing w:after="120"/>
      </w:pPr>
      <w:r>
        <w:t>4.1 What validation means when the corpus is user-owned</w:t>
      </w:r>
    </w:p>
    <w:p w14:paraId="4AC0C298" w14:textId="77777777" w:rsidR="00E84588" w:rsidRDefault="00000000">
      <w:pPr>
        <w:spacing w:after="160"/>
      </w:pPr>
      <w:r>
        <w:t>Evaluation in learner-owned corpora differs from benchmark leaderboards. Ground truth is partial: slides omit steps assumed in lecture, exams test synthesis beyond literal retrieval, and student questions blend factual and strategic intents. StudyForge therefore emphasizes layered validation: mechanical checks for ingestion and index completeness; qualitative review of citations against known PDF locations; and comparative probes across retrieval modes to detect regressions when models or chunk policies change.</w:t>
      </w:r>
    </w:p>
    <w:p w14:paraId="5FF62DB7" w14:textId="77777777" w:rsidR="00E84588" w:rsidRDefault="00000000">
      <w:pPr>
        <w:spacing w:after="160"/>
      </w:pPr>
      <w:r>
        <w:lastRenderedPageBreak/>
        <w:t>Quantitative metrics remain useful when scoped honestly. Precision-recall estimates against labeled span sets, latency distributions stratified by corpus size, and human preference studies on explanation usefulness each illuminate different facets. The scientific stance is pragmatic—optimize for transparent failure and rapid iteration rather than claiming omniscient correctness from automation alone.</w:t>
      </w:r>
    </w:p>
    <w:p w14:paraId="02449FEC" w14:textId="77777777" w:rsidR="00E84588" w:rsidRDefault="00000000">
      <w:pPr>
        <w:spacing w:after="160"/>
      </w:pPr>
      <w:r>
        <w:t>A complementary strand is stress testing under adversarial or sloppy inputs: malformed uploads, near-duplicate files, contradictory edits across document versions, and questions that request prohibited assistance. Systems that behave well on curated benchmarks but collapse on messy classroom corpora fail the deployment sniff test; StudyForge therefore privileges instrumentation—logs, explicit states, reproducible seeds—over glossy demos.</w:t>
      </w:r>
    </w:p>
    <w:p w14:paraId="1DB7DD6E" w14:textId="77777777" w:rsidR="00E84588" w:rsidRDefault="00000000">
      <w:pPr>
        <w:spacing w:after="160"/>
      </w:pPr>
      <w:r>
        <w:t>Human-in-the-loop evaluation remains the gold standard for educational NLP when stakes involve comprehension. Expert annotators can score whether an answer faithfully reflects cited passages; novice learners can rank explanations for clarity; instructors can audit graph summaries against lecture intent. Automating these judgments entirely is premature; instead, tooling should make audits cheap enough to happen routinely.</w:t>
      </w:r>
    </w:p>
    <w:p w14:paraId="31B67D63" w14:textId="77777777" w:rsidR="00E84588" w:rsidRDefault="00000000">
      <w:pPr>
        <w:pStyle w:val="Heading2"/>
        <w:spacing w:after="120"/>
      </w:pPr>
      <w:r>
        <w:t>4.2 Observability, regression containment, and operational guardrails</w:t>
      </w:r>
    </w:p>
    <w:p w14:paraId="40F500D4" w14:textId="77777777" w:rsidR="00E84588" w:rsidRDefault="00000000">
      <w:pPr>
        <w:spacing w:after="160"/>
      </w:pPr>
      <w:r>
        <w:t>Operational guardrails include structured logging with correlation IDs, explicit configuration errors when graph extraction lacks credentials, and UI surfaces that communicate indexing state. These guardrails reduce support burden during pilots and prevent silent degradation where answers appear fluent but evidence sets shrink unnoticed.</w:t>
      </w:r>
    </w:p>
    <w:p w14:paraId="122D91E5" w14:textId="77777777" w:rsidR="00E84588" w:rsidRDefault="00000000">
      <w:pPr>
        <w:pStyle w:val="ListBullet"/>
        <w:spacing w:after="80"/>
      </w:pPr>
      <w:r>
        <w:t>Contract tests catch accidental route drift during refactors.</w:t>
      </w:r>
    </w:p>
    <w:p w14:paraId="7942BF9A" w14:textId="77777777" w:rsidR="00E84588" w:rsidRDefault="00000000">
      <w:pPr>
        <w:pStyle w:val="ListBullet"/>
        <w:spacing w:after="80"/>
      </w:pPr>
      <w:r>
        <w:t>Streaming parsers should tolerate partial failures without wedging sessions.</w:t>
      </w:r>
    </w:p>
    <w:p w14:paraId="10BD66BE" w14:textId="77777777" w:rsidR="00E84588" w:rsidRDefault="00000000">
      <w:pPr>
        <w:pStyle w:val="ListBullet"/>
        <w:spacing w:after="80"/>
      </w:pPr>
      <w:r>
        <w:t>Access controls remain coarse by default—deployment-specific hardening stays operator responsibility.</w:t>
      </w:r>
    </w:p>
    <w:p w14:paraId="4D1B3ACC" w14:textId="77777777" w:rsidR="00E84588" w:rsidRDefault="00000000">
      <w:pPr>
        <w:pStyle w:val="Heading2"/>
        <w:spacing w:after="120"/>
      </w:pPr>
      <w:r>
        <w:t>4.3 Demonstrations without production credentials</w:t>
      </w:r>
    </w:p>
    <w:p w14:paraId="28AB91A8" w14:textId="77777777" w:rsidR="00E84588" w:rsidRDefault="00000000">
      <w:pPr>
        <w:spacing w:after="160"/>
      </w:pPr>
      <w:r>
        <w:t>Many grading demonstrations execute without shared secrets on lab machines. StudyForge therefore ships mock panels that mirror citation placeholders and configuration dialogs without invoking production models. Figures 8–9 document this stance explicitly; Figures 10–11 (Section 6) illustrate fully configured deployments where hybrid chat, graph visualization, and agent examination flows align with the narratives above.</w:t>
      </w:r>
    </w:p>
    <w:p w14:paraId="58FFA2EF" w14:textId="77777777" w:rsidR="00E84588" w:rsidRDefault="00000000">
      <w:pPr>
        <w:pStyle w:val="Heading2"/>
        <w:spacing w:after="120"/>
      </w:pPr>
      <w:r>
        <w:t>4.4 Reproducibility checklist for independent auditors and peer reviewers</w:t>
      </w:r>
    </w:p>
    <w:p w14:paraId="621AA0E9" w14:textId="77777777" w:rsidR="00E84588" w:rsidRDefault="00000000">
      <w:pPr>
        <w:spacing w:after="160"/>
      </w:pPr>
      <w:r>
        <w:t>Independent replication remains the credibility backbone of applied ML systems—even when demonstrations dazzle live audiences. Reviewers should insist on frozen dependency manifests, pinned model endpoints or offline weights where feasible, and hashed corpora snapshots so retrieval evaluations compare apples-to-apples across commits.</w:t>
      </w:r>
    </w:p>
    <w:p w14:paraId="329BEEAD" w14:textId="77777777" w:rsidR="00E84588" w:rsidRDefault="00000000">
      <w:pPr>
        <w:spacing w:after="160"/>
      </w:pPr>
      <w:r>
        <w:t>Checklists help: confirm ingestion statuses transition from pending to completed; verify graph entity counts move monotonically upward after lawful uploads; capture latency percentiles rather than single-</w:t>
        <w:lastRenderedPageBreak/>
        <w:t>shot timings during Wi-Fi contention; archive prompts alongside outputs because identical temperatures still drift when providers silently upgrade routing.</w:t>
      </w:r>
    </w:p>
    <w:p w14:paraId="23202922" w14:textId="77777777" w:rsidR="00E84588" w:rsidRDefault="00000000">
      <w:pPr>
        <w:spacing w:after="160"/>
      </w:pPr>
      <w:r>
        <w:t>Qualitative audits deserve structured rubrics—coverage (did answers cite relevant passages?), faithfulness (did paraphrases distort definitions?), calibration (did the UI communicate uncertainty?). Numeric dashboards without rubrics invite Goodhart-style gaming.</w:t>
      </w:r>
    </w:p>
    <w:p w14:paraId="23D6BF5E" w14:textId="77777777" w:rsidR="00E84588" w:rsidRDefault="00000000">
      <w:pPr>
        <w:spacing w:after="160"/>
      </w:pPr>
      <w:r>
        <w:t>Ethically, replication packets should scrub personally identifiable information from exercise uploads unless consent pathways exist. StudyForge’s separation of uploads and traces simplifies redaction workflows relative to monolithic LMS dumps.</w:t>
      </w:r>
    </w:p>
    <w:p w14:paraId="00782D9A" w14:textId="77777777" w:rsidR="00E84588" w:rsidRDefault="00000000">
      <w:pPr>
        <w:pStyle w:val="ListBullet"/>
        <w:spacing w:after="80"/>
      </w:pPr>
      <w:r>
        <w:t>Publish environment templates alongside README instructions.</w:t>
      </w:r>
    </w:p>
    <w:p w14:paraId="1D7A261E" w14:textId="77777777" w:rsidR="00E84588" w:rsidRDefault="00000000">
      <w:pPr>
        <w:pStyle w:val="ListBullet"/>
        <w:spacing w:after="80"/>
      </w:pPr>
      <w:r>
        <w:t>Record corpus checksums; note slide edits between experimental trials.</w:t>
      </w:r>
    </w:p>
    <w:p w14:paraId="72151713" w14:textId="77777777" w:rsidR="00E84588" w:rsidRDefault="00000000">
      <w:pPr>
        <w:pStyle w:val="ListBullet"/>
        <w:spacing w:after="80"/>
      </w:pPr>
      <w:r>
        <w:t>Log provider identifiers but never API secrets in shared artifacts.</w:t>
      </w:r>
    </w:p>
    <w:p w14:paraId="2E2338DD" w14:textId="77777777" w:rsidR="00E84588" w:rsidRDefault="00000000">
      <w:pPr>
        <w:pStyle w:val="ListBullet"/>
        <w:spacing w:after="80"/>
      </w:pPr>
      <w:r>
        <w:t>Capture retrieval mode, temperature, and max-token settings per session.</w:t>
      </w:r>
    </w:p>
    <w:p w14:paraId="1849493C" w14:textId="77777777" w:rsidR="00E84588" w:rsidRDefault="00000000">
      <w:pPr>
        <w:pStyle w:val="ListBullet"/>
        <w:spacing w:after="80"/>
      </w:pPr>
      <w:r>
        <w:t>Store anonymized chat transcripts only under institutional policy.</w:t>
      </w:r>
    </w:p>
    <w:p w14:paraId="4E8B3932" w14:textId="77777777" w:rsidR="00E84588" w:rsidRDefault="00000000">
      <w:pPr>
        <w:pStyle w:val="ListBullet"/>
        <w:spacing w:after="80"/>
      </w:pPr>
      <w:r>
        <w:t>Run contract tests in CI even when full GPU pipelines cannot execute continuously.</w:t>
      </w:r>
    </w:p>
    <w:p w14:paraId="4E1E080F" w14:textId="77777777" w:rsidR="00E84588" w:rsidRDefault="00000000">
      <w:pPr>
        <w:pStyle w:val="ListBullet"/>
        <w:spacing w:after="80"/>
      </w:pPr>
      <w:r>
        <w:t>Document manual correction steps applied after OCR failures.</w:t>
      </w:r>
    </w:p>
    <w:p w14:paraId="7127F991" w14:textId="77777777" w:rsidR="00E84588" w:rsidRDefault="00000000">
      <w:pPr>
        <w:pStyle w:val="ListBullet"/>
        <w:spacing w:after="80"/>
      </w:pPr>
      <w:r>
        <w:t>Version visual assets in reports when UI iterations affect reader interpretation.</w:t>
      </w:r>
    </w:p>
    <w:p w14:paraId="1A000001" w14:textId="77777777" w:rsidR="00AA0001" w:rsidRDefault="00000000">
      <w:pPr>
        <w:pStyle w:val="Heading1"/>
        <w:spacing w:before="240" w:after="120"/>
      </w:pPr>
      <w:r>
        <w:t>4B. Empirical Evaluation: Quantitative Benchmarks and System Analysis</w:t>
      </w:r>
    </w:p>
    <w:p w14:paraId="1A000002" w14:textId="77777777" w:rsidR="00AA0001" w:rsidRDefault="00000000">
      <w:pPr>
        <w:spacing w:after="160"/>
      </w:pPr>
      <w:r>
        <w:t xml:space="preserve">This section reports empirical measurements gathered by running the StudyForge system locally against a representative corpus of four course documents (two PPTX decks and two PDFs totalling 4,827 KB and 58 pages/slides). Benchmarks were executed on a macOS development machine (Apple Silicon, Python 3.12) with the FastAPI backend served at localhost:8000. All reported latency figures are median-of-20 or average-of-5 repeated runs; throughput figures derive from concurrent load tests. The evaluation covers five quantitative dimensions: document parsing throughput, REST API latency, automated test coverage, text preprocessing accuracy, and concurrent request handling.</w:t>
      </w:r>
    </w:p>
    <w:p w14:paraId="1A000003" w14:textId="77777777" w:rsidR="00AA0001" w:rsidRDefault="00000000">
      <w:pPr>
        <w:pStyle w:val="Heading2"/>
        <w:spacing w:after="120"/>
      </w:pPr>
      <w:r>
        <w:t>4B.1 Evaluation Setup and Corpus</w:t>
      </w:r>
    </w:p>
    <w:p w14:paraId="1A000004" w14:textId="77777777" w:rsidR="00AA0001" w:rsidRDefault="00000000">
      <w:pPr>
        <w:spacing w:after="160"/>
      </w:pPr>
      <w:r>
        <w:t xml:space="preserve">The evaluation corpus consists of four documents drawn from graduate-level coursework: two PPTX decks (ML Fundamentals, 1,575 KB, 14 slides; ML Baselines, 1,106 KB, 5 slides) and two PDFs (Financial Analytics, 262 KB, 19 pages; Course Information, 1,884 KB, 20 pages). All four files were parsed successfully by the StudyForge ingestion pipeline (100% parse success rate). The automated test suite covers four functional areas across 28 unit and contract tests. API latency measurements use the live FastAPI backend (uvicorn, development mode) to reflect realistic local-deployment conditions. Retrieval quality was assessed by two team members independently reviewing 10 definition-seeking queries per retrieval mode and reconciling judgements against three rubric dimensions: answer faithfulness, citation utility, and retrieval coherence.</w:t>
      </w:r>
    </w:p>
    <w:p w14:paraId="1A000005" w14:textId="77777777" w:rsidR="00AA0001" w:rsidRDefault="00000000">
      <w:pPr>
        <w:pStyle w:val="Heading2"/>
        <w:spacing w:after="120"/>
      </w:pPr>
      <w:r>
        <w:t>4B.2 Document Parsing Performance</w:t>
      </w:r>
    </w:p>
    <w:p w14:paraId="1A000006" w14:textId="77777777" w:rsidR="00AA0001" w:rsidRDefault="00000000">
      <w:pPr>
        <w:spacing w:after="120"/>
      </w:pPr>
      <w:r>
        <w:t xml:space="preserve">Table 1 reports parsing latency and extraction yield for each document in the evaluation corpus. Measurements are averages of five consecutive runs to amortise cold-start overhead. All pages and slides produced non-empty content (100% non-empty rate), confirming that the parsers correctly handle both PPTX bullet hierarchies and PDF typographic layout.</w:t>
      </w:r>
    </w:p>
    <w:p w14:paraId="2B000061" w14:textId="77777777" w:rsidR="00AA0001" w:rsidRDefault="00000000">
      <w:pPr>
        <w:spacing w:before="80" w:after="80"/>
        <w:jc w:val="center"/>
      </w:pPr>
      <w:r>
        <w:rPr>
          <w:b/>
          <w:sz w:val="18"/>
        </w:rPr>
        <w:t>Table 1. Document Parsing Benchmark (n=5 runs per document)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00"/>
        <w:gridCol w:w="900"/>
        <w:gridCol w:w="1000"/>
        <w:gridCol w:w="1300"/>
        <w:gridCol w:w="1400"/>
        <w:gridCol w:w="1100"/>
        <w:gridCol w:w="1060"/>
      </w:tblGrid>
      <w:tr>
        <w:trPr>
          <w:tblHeader/>
        </w:trPr>
        <w:tc>
          <w:tcPr>
            <w:tcW w:w="2600" w:type="dxa"/>
            <w:shd w:val="clear" w:color="auto" w:fill="2E75B6"/>
          </w:tcPr>
          <w:p>
            <w:pPr>
              <w:spacing w:after="60"/>
              <w:jc w:val="center"/>
            </w:pPr>
            <w:r>
              <w:rPr>
                <w:b/>
                <w:color w:val="FFFFFF"/>
                <w:sz w:val="18"/>
              </w:rPr>
              <w:t>Document</w:t>
            </w:r>
          </w:p>
        </w:tc>
        <w:tc>
          <w:tcPr>
            <w:tcW w:w="900" w:type="dxa"/>
            <w:shd w:val="clear" w:color="auto" w:fill="2E75B6"/>
          </w:tcPr>
          <w:p>
            <w:pPr>
              <w:spacing w:after="60"/>
              <w:jc w:val="center"/>
            </w:pPr>
            <w:r>
              <w:rPr>
                <w:b/>
                <w:color w:val="FFFFFF"/>
                <w:sz w:val="18"/>
              </w:rPr>
              <w:t>Type</w:t>
            </w:r>
          </w:p>
        </w:tc>
        <w:tc>
          <w:tcPr>
            <w:tcW w:w="1000" w:type="dxa"/>
            <w:shd w:val="clear" w:color="auto" w:fill="2E75B6"/>
          </w:tcPr>
          <w:p>
            <w:pPr>
              <w:spacing w:after="60"/>
              <w:jc w:val="center"/>
            </w:pPr>
            <w:r>
              <w:rPr>
                <w:b/>
                <w:color w:val="FFFFFF"/>
                <w:sz w:val="18"/>
              </w:rPr>
              <w:t>Size (KB)</w:t>
            </w:r>
          </w:p>
        </w:tc>
        <w:tc>
          <w:tcPr>
            <w:tcW w:w="1300" w:type="dxa"/>
            <w:shd w:val="clear" w:color="auto" w:fill="2E75B6"/>
          </w:tcPr>
          <w:p>
            <w:pPr>
              <w:spacing w:after="60"/>
              <w:jc w:val="center"/>
            </w:pPr>
            <w:r>
              <w:rPr>
                <w:b/>
                <w:color w:val="FFFFFF"/>
                <w:sz w:val="18"/>
              </w:rPr>
              <w:t>Pages/Slides</w:t>
            </w:r>
          </w:p>
        </w:tc>
        <w:tc>
          <w:tcPr>
            <w:tcW w:w="1400" w:type="dxa"/>
            <w:shd w:val="clear" w:color="auto" w:fill="2E75B6"/>
          </w:tcPr>
          <w:p>
            <w:pPr>
              <w:spacing w:after="60"/>
              <w:jc w:val="center"/>
            </w:pPr>
            <w:r>
              <w:rPr>
                <w:b/>
                <w:color w:val="FFFFFF"/>
                <w:sz w:val="18"/>
              </w:rPr>
              <w:t>Chars Extracted</w:t>
            </w:r>
          </w:p>
        </w:tc>
        <w:tc>
          <w:tcPr>
            <w:tcW w:w="1100" w:type="dxa"/>
            <w:shd w:val="clear" w:color="auto" w:fill="2E75B6"/>
          </w:tcPr>
          <w:p>
            <w:pPr>
              <w:spacing w:after="60"/>
              <w:jc w:val="center"/>
            </w:pPr>
            <w:r>
              <w:rPr>
                <w:b/>
                <w:color w:val="FFFFFF"/>
                <w:sz w:val="18"/>
              </w:rPr>
              <w:t>Avg Parse (ms)</w:t>
            </w:r>
          </w:p>
        </w:tc>
        <w:tc>
          <w:tcPr>
            <w:tcW w:w="1060" w:type="dxa"/>
            <w:shd w:val="clear" w:color="auto" w:fill="2E75B6"/>
          </w:tcPr>
          <w:p>
            <w:pPr>
              <w:spacing w:after="60"/>
              <w:jc w:val="center"/>
            </w:pPr>
            <w:r>
              <w:rPr>
                <w:b/>
                <w:color w:val="FFFFFF"/>
                <w:sz w:val="18"/>
              </w:rPr>
              <w:t>Non-empty</w:t>
            </w:r>
          </w:p>
        </w:tc>
      </w:tr>
      <w:tr>
        <w:tc>
          <w:tcPr>
            <w:tcW w:w="2600" w:type="dxa"/>
            <w:shd w:val="clear" w:color="auto" w:fill="EBF3FB"/>
          </w:tcPr>
          <w:p>
            <w:pPr>
              <w:spacing w:after="60"/>
            </w:pPr>
            <w:r>
              <w:rPr>
                <w:sz w:val="18"/>
              </w:rPr>
              <w:t>ML Fundamentals (T1.pptx)</w:t>
            </w:r>
          </w:p>
        </w:tc>
        <w:tc>
          <w:tcPr>
            <w:tcW w:w="900" w:type="dxa"/>
            <w:shd w:val="clear" w:color="auto" w:fill="EBF3FB"/>
          </w:tcPr>
          <w:p>
            <w:pPr>
              <w:spacing w:after="60"/>
              <w:jc w:val="center"/>
            </w:pPr>
            <w:r>
              <w:rPr>
                <w:sz w:val="18"/>
              </w:rPr>
              <w:t>PPTX</w:t>
            </w:r>
          </w:p>
        </w:tc>
        <w:tc>
          <w:tcPr>
            <w:tcW w:w="1000" w:type="dxa"/>
            <w:shd w:val="clear" w:color="auto" w:fill="EBF3FB"/>
          </w:tcPr>
          <w:p>
            <w:pPr>
              <w:spacing w:after="60"/>
              <w:jc w:val="center"/>
            </w:pPr>
            <w:r>
              <w:rPr>
                <w:sz w:val="18"/>
              </w:rPr>
              <w:t>1,575</w:t>
            </w:r>
          </w:p>
        </w:tc>
        <w:tc>
          <w:tcPr>
            <w:tcW w:w="1300" w:type="dxa"/>
            <w:shd w:val="clear" w:color="auto" w:fill="EBF3FB"/>
          </w:tcPr>
          <w:p>
            <w:pPr>
              <w:spacing w:after="60"/>
              <w:jc w:val="center"/>
            </w:pPr>
            <w:r>
              <w:rPr>
                <w:sz w:val="18"/>
              </w:rPr>
              <w:t>14</w:t>
            </w:r>
          </w:p>
        </w:tc>
        <w:tc>
          <w:tcPr>
            <w:tcW w:w="1400" w:type="dxa"/>
            <w:shd w:val="clear" w:color="auto" w:fill="EBF3FB"/>
          </w:tcPr>
          <w:p>
            <w:pPr>
              <w:spacing w:after="60"/>
              <w:jc w:val="center"/>
            </w:pPr>
            <w:r>
              <w:rPr>
                <w:sz w:val="18"/>
              </w:rPr>
              <w:t>979</w:t>
            </w:r>
          </w:p>
        </w:tc>
        <w:tc>
          <w:tcPr>
            <w:tcW w:w="1100" w:type="dxa"/>
            <w:shd w:val="clear" w:color="auto" w:fill="EBF3FB"/>
          </w:tcPr>
          <w:p>
            <w:pPr>
              <w:spacing w:after="60"/>
              <w:jc w:val="center"/>
            </w:pPr>
            <w:r>
              <w:rPr>
                <w:sz w:val="18"/>
              </w:rPr>
              <w:t>15.7</w:t>
            </w:r>
          </w:p>
        </w:tc>
        <w:tc>
          <w:tcPr>
            <w:tcW w:w="1060" w:type="dxa"/>
            <w:shd w:val="clear" w:color="auto" w:fill="EBF3FB"/>
          </w:tcPr>
          <w:p>
            <w:pPr>
              <w:spacing w:after="60"/>
              <w:jc w:val="center"/>
            </w:pPr>
            <w:r>
              <w:rPr>
                <w:sz w:val="18"/>
              </w:rPr>
              <w:t>14/14 (100%)</w:t>
            </w:r>
          </w:p>
        </w:tc>
      </w:tr>
      <w:tr>
        <w:tc>
          <w:tcPr>
            <w:tcW w:w="2600" w:type="dxa"/>
          </w:tcPr>
          <w:p>
            <w:pPr>
              <w:spacing w:after="60"/>
            </w:pPr>
            <w:r>
              <w:rPr>
                <w:sz w:val="18"/>
              </w:rPr>
              <w:t>ML Baselines (T2.pptx)</w:t>
            </w:r>
          </w:p>
        </w:tc>
        <w:tc>
          <w:tcPr>
            <w:tcW w:w="900" w:type="dxa"/>
          </w:tcPr>
          <w:p>
            <w:pPr>
              <w:spacing w:after="60"/>
              <w:jc w:val="center"/>
            </w:pPr>
            <w:r>
              <w:rPr>
                <w:sz w:val="18"/>
              </w:rPr>
              <w:t>PPTX</w:t>
            </w:r>
          </w:p>
        </w:tc>
        <w:tc>
          <w:tcPr>
            <w:tcW w:w="1000" w:type="dxa"/>
          </w:tcPr>
          <w:p>
            <w:pPr>
              <w:spacing w:after="60"/>
              <w:jc w:val="center"/>
            </w:pPr>
            <w:r>
              <w:rPr>
                <w:sz w:val="18"/>
              </w:rPr>
              <w:t>1,106</w:t>
            </w:r>
          </w:p>
        </w:tc>
        <w:tc>
          <w:tcPr>
            <w:tcW w:w="1300" w:type="dxa"/>
          </w:tcPr>
          <w:p>
            <w:pPr>
              <w:spacing w:after="60"/>
              <w:jc w:val="center"/>
            </w:pPr>
            <w:r>
              <w:rPr>
                <w:sz w:val="18"/>
              </w:rPr>
              <w:t>5</w:t>
            </w:r>
          </w:p>
        </w:tc>
        <w:tc>
          <w:tcPr>
            <w:tcW w:w="1400" w:type="dxa"/>
          </w:tcPr>
          <w:p>
            <w:pPr>
              <w:spacing w:after="60"/>
              <w:jc w:val="center"/>
            </w:pPr>
            <w:r>
              <w:rPr>
                <w:sz w:val="18"/>
              </w:rPr>
              <w:t>402</w:t>
            </w:r>
          </w:p>
        </w:tc>
        <w:tc>
          <w:tcPr>
            <w:tcW w:w="1100" w:type="dxa"/>
          </w:tcPr>
          <w:p>
            <w:pPr>
              <w:spacing w:after="60"/>
              <w:jc w:val="center"/>
            </w:pPr>
            <w:r>
              <w:rPr>
                <w:sz w:val="18"/>
              </w:rPr>
              <w:t>9.7</w:t>
            </w:r>
          </w:p>
        </w:tc>
        <w:tc>
          <w:tcPr>
            <w:tcW w:w="1060" w:type="dxa"/>
          </w:tcPr>
          <w:p>
            <w:pPr>
              <w:spacing w:after="60"/>
              <w:jc w:val="center"/>
            </w:pPr>
            <w:r>
              <w:rPr>
                <w:sz w:val="18"/>
              </w:rPr>
              <w:t>5/5 (100%)</w:t>
            </w:r>
          </w:p>
        </w:tc>
      </w:tr>
      <w:tr>
        <w:tc>
          <w:tcPr>
            <w:tcW w:w="2600" w:type="dxa"/>
            <w:shd w:val="clear" w:color="auto" w:fill="EBF3FB"/>
          </w:tcPr>
          <w:p>
            <w:pPr>
              <w:spacing w:after="60"/>
            </w:pPr>
            <w:r>
              <w:rPr>
                <w:sz w:val="18"/>
              </w:rPr>
              <w:t>Financial Analytics (T0.pdf)</w:t>
            </w:r>
          </w:p>
        </w:tc>
        <w:tc>
          <w:tcPr>
            <w:tcW w:w="900" w:type="dxa"/>
            <w:shd w:val="clear" w:color="auto" w:fill="EBF3FB"/>
          </w:tcPr>
          <w:p>
            <w:pPr>
              <w:spacing w:after="60"/>
              <w:jc w:val="center"/>
            </w:pPr>
            <w:r>
              <w:rPr>
                <w:sz w:val="18"/>
              </w:rPr>
              <w:t>PDF</w:t>
            </w:r>
          </w:p>
        </w:tc>
        <w:tc>
          <w:tcPr>
            <w:tcW w:w="1000" w:type="dxa"/>
            <w:shd w:val="clear" w:color="auto" w:fill="EBF3FB"/>
          </w:tcPr>
          <w:p>
            <w:pPr>
              <w:spacing w:after="60"/>
              <w:jc w:val="center"/>
            </w:pPr>
            <w:r>
              <w:rPr>
                <w:sz w:val="18"/>
              </w:rPr>
              <w:t>262</w:t>
            </w:r>
          </w:p>
        </w:tc>
        <w:tc>
          <w:tcPr>
            <w:tcW w:w="1300" w:type="dxa"/>
            <w:shd w:val="clear" w:color="auto" w:fill="EBF3FB"/>
          </w:tcPr>
          <w:p>
            <w:pPr>
              <w:spacing w:after="60"/>
              <w:jc w:val="center"/>
            </w:pPr>
            <w:r>
              <w:rPr>
                <w:sz w:val="18"/>
              </w:rPr>
              <w:t>19</w:t>
            </w:r>
          </w:p>
        </w:tc>
        <w:tc>
          <w:tcPr>
            <w:tcW w:w="1400" w:type="dxa"/>
            <w:shd w:val="clear" w:color="auto" w:fill="EBF3FB"/>
          </w:tcPr>
          <w:p>
            <w:pPr>
              <w:spacing w:after="60"/>
              <w:jc w:val="center"/>
            </w:pPr>
            <w:r>
              <w:rPr>
                <w:sz w:val="18"/>
              </w:rPr>
              <w:t>3,897</w:t>
            </w:r>
          </w:p>
        </w:tc>
        <w:tc>
          <w:tcPr>
            <w:tcW w:w="1100" w:type="dxa"/>
            <w:shd w:val="clear" w:color="auto" w:fill="EBF3FB"/>
          </w:tcPr>
          <w:p>
            <w:pPr>
              <w:spacing w:after="60"/>
              <w:jc w:val="center"/>
            </w:pPr>
            <w:r>
              <w:rPr>
                <w:sz w:val="18"/>
              </w:rPr>
              <w:t>91.3</w:t>
            </w:r>
          </w:p>
        </w:tc>
        <w:tc>
          <w:tcPr>
            <w:tcW w:w="1060" w:type="dxa"/>
            <w:shd w:val="clear" w:color="auto" w:fill="EBF3FB"/>
          </w:tcPr>
          <w:p>
            <w:pPr>
              <w:spacing w:after="60"/>
              <w:jc w:val="center"/>
            </w:pPr>
            <w:r>
              <w:rPr>
                <w:sz w:val="18"/>
              </w:rPr>
              <w:t>19/19 (100%)</w:t>
            </w:r>
          </w:p>
        </w:tc>
      </w:tr>
      <w:tr>
        <w:tc>
          <w:tcPr>
            <w:tcW w:w="2600" w:type="dxa"/>
          </w:tcPr>
          <w:p>
            <w:pPr>
              <w:spacing w:after="60"/>
            </w:pPr>
            <w:r>
              <w:rPr>
                <w:sz w:val="18"/>
              </w:rPr>
              <w:t>Course Information (PDF)</w:t>
            </w:r>
          </w:p>
        </w:tc>
        <w:tc>
          <w:tcPr>
            <w:tcW w:w="900" w:type="dxa"/>
          </w:tcPr>
          <w:p>
            <w:pPr>
              <w:spacing w:after="60"/>
              <w:jc w:val="center"/>
            </w:pPr>
            <w:r>
              <w:rPr>
                <w:sz w:val="18"/>
              </w:rPr>
              <w:t>PDF</w:t>
            </w:r>
          </w:p>
        </w:tc>
        <w:tc>
          <w:tcPr>
            <w:tcW w:w="1000" w:type="dxa"/>
          </w:tcPr>
          <w:p>
            <w:pPr>
              <w:spacing w:after="60"/>
              <w:jc w:val="center"/>
            </w:pPr>
            <w:r>
              <w:rPr>
                <w:sz w:val="18"/>
              </w:rPr>
              <w:t>1,884</w:t>
            </w:r>
          </w:p>
        </w:tc>
        <w:tc>
          <w:tcPr>
            <w:tcW w:w="1300" w:type="dxa"/>
          </w:tcPr>
          <w:p>
            <w:pPr>
              <w:spacing w:after="60"/>
              <w:jc w:val="center"/>
            </w:pPr>
            <w:r>
              <w:rPr>
                <w:sz w:val="18"/>
              </w:rPr>
              <w:t>20</w:t>
            </w:r>
          </w:p>
        </w:tc>
        <w:tc>
          <w:tcPr>
            <w:tcW w:w="1400" w:type="dxa"/>
          </w:tcPr>
          <w:p>
            <w:pPr>
              <w:spacing w:after="60"/>
              <w:jc w:val="center"/>
            </w:pPr>
            <w:r>
              <w:rPr>
                <w:sz w:val="18"/>
              </w:rPr>
              <w:t>10,192</w:t>
            </w:r>
          </w:p>
        </w:tc>
        <w:tc>
          <w:tcPr>
            <w:tcW w:w="1100" w:type="dxa"/>
          </w:tcPr>
          <w:p>
            <w:pPr>
              <w:spacing w:after="60"/>
              <w:jc w:val="center"/>
            </w:pPr>
            <w:r>
              <w:rPr>
                <w:sz w:val="18"/>
              </w:rPr>
              <w:t>204.0</w:t>
            </w:r>
          </w:p>
        </w:tc>
        <w:tc>
          <w:tcPr>
            <w:tcW w:w="1060" w:type="dxa"/>
          </w:tcPr>
          <w:p>
            <w:pPr>
              <w:spacing w:after="60"/>
              <w:jc w:val="center"/>
            </w:pPr>
            <w:r>
              <w:rPr>
                <w:sz w:val="18"/>
              </w:rPr>
              <w:t>20/20 (100%)</w:t>
            </w:r>
          </w:p>
        </w:tc>
      </w:tr>
      <w:tr>
        <w:tc>
          <w:tcPr>
            <w:tcW w:w="2600" w:type="dxa"/>
            <w:shd w:val="clear" w:color="auto" w:fill="D5E8F0"/>
          </w:tcPr>
          <w:p>
            <w:pPr>
              <w:spacing w:after="60"/>
            </w:pPr>
            <w:r>
              <w:rPr>
                <w:b/>
                <w:sz w:val="18"/>
              </w:rPr>
              <w:t>Total / Aggregate</w:t>
            </w:r>
          </w:p>
        </w:tc>
        <w:tc>
          <w:tcPr>
            <w:tcW w:w="900" w:type="dxa"/>
            <w:shd w:val="clear" w:color="auto" w:fill="D5E8F0"/>
          </w:tcPr>
          <w:p>
            <w:pPr>
              <w:spacing w:after="60"/>
              <w:jc w:val="center"/>
            </w:pPr>
            <w:r>
              <w:rPr>
                <w:b/>
                <w:sz w:val="18"/>
              </w:rPr>
              <w:t>Mixed</w:t>
            </w:r>
          </w:p>
        </w:tc>
        <w:tc>
          <w:tcPr>
            <w:tcW w:w="1000" w:type="dxa"/>
            <w:shd w:val="clear" w:color="auto" w:fill="D5E8F0"/>
          </w:tcPr>
          <w:p>
            <w:pPr>
              <w:spacing w:after="60"/>
              <w:jc w:val="center"/>
            </w:pPr>
            <w:r>
              <w:rPr>
                <w:b/>
                <w:sz w:val="18"/>
              </w:rPr>
              <w:t>4,827</w:t>
            </w:r>
          </w:p>
        </w:tc>
        <w:tc>
          <w:tcPr>
            <w:tcW w:w="1300" w:type="dxa"/>
            <w:shd w:val="clear" w:color="auto" w:fill="D5E8F0"/>
          </w:tcPr>
          <w:p>
            <w:pPr>
              <w:spacing w:after="60"/>
              <w:jc w:val="center"/>
            </w:pPr>
            <w:r>
              <w:rPr>
                <w:b/>
                <w:sz w:val="18"/>
              </w:rPr>
              <w:t>58</w:t>
            </w:r>
          </w:p>
        </w:tc>
        <w:tc>
          <w:tcPr>
            <w:tcW w:w="1400" w:type="dxa"/>
            <w:shd w:val="clear" w:color="auto" w:fill="D5E8F0"/>
          </w:tcPr>
          <w:p>
            <w:pPr>
              <w:spacing w:after="60"/>
              <w:jc w:val="center"/>
            </w:pPr>
            <w:r>
              <w:rPr>
                <w:b/>
                <w:sz w:val="18"/>
              </w:rPr>
              <w:t>15,470</w:t>
            </w:r>
          </w:p>
        </w:tc>
        <w:tc>
          <w:tcPr>
            <w:tcW w:w="1100" w:type="dxa"/>
            <w:shd w:val="clear" w:color="auto" w:fill="D5E8F0"/>
          </w:tcPr>
          <w:p>
            <w:pPr>
              <w:spacing w:after="60"/>
              <w:jc w:val="center"/>
            </w:pPr>
            <w:r>
              <w:rPr>
                <w:b/>
                <w:sz w:val="18"/>
              </w:rPr>
              <w:t>321 total</w:t>
            </w:r>
          </w:p>
        </w:tc>
        <w:tc>
          <w:tcPr>
            <w:tcW w:w="1060" w:type="dxa"/>
            <w:shd w:val="clear" w:color="auto" w:fill="D5E8F0"/>
          </w:tcPr>
          <w:p>
            <w:pPr>
              <w:spacing w:after="60"/>
              <w:jc w:val="center"/>
            </w:pPr>
            <w:r>
              <w:rPr>
                <w:b/>
                <w:sz w:val="18"/>
              </w:rPr>
              <w:t>58/58 (100%)</w:t>
            </w:r>
          </w:p>
        </w:tc>
      </w:tr>
    </w:tbl>
    <w:p w14:paraId="2B000062" w14:textId="77777777" w:rsidR="00AA0001" w:rsidRDefault="00000000">
      <w:pPr>
        <w:spacing w:before="120" w:after="160"/>
      </w:pPr>
      <w:r>
        <w:t xml:space="preserve">PPTX parsing is significantly faster than PDF (10–16 ms vs. 91–204 ms) because PPTX is a structured XML container that requires no OCR or layout analysis. Large PDF files with complex typography (Course Information, 1,884 KB) show the slowest parse time at 204 ms, still well below any user-perceptible threshold for batch ingestion workflows. The aggregate 15,470 characters extracted across 58 pages/slides confirms that every page and slide yielded usable content with a 100% non-empty rate.</w:t>
      </w:r>
    </w:p>
    <w:p w14:paraId="1A000007" w14:textId="77777777" w:rsidR="00AA0001" w:rsidRDefault="00000000">
      <w:pPr>
        <w:pStyle w:val="Heading2"/>
        <w:spacing w:after="120"/>
      </w:pPr>
      <w:r>
        <w:t>4B.3 REST API Latency Benchmarks</w:t>
      </w:r>
    </w:p>
    <w:p w14:paraId="2B000071" w14:textId="77777777" w:rsidR="00AA0001" w:rsidRDefault="00000000">
      <w:pPr>
        <w:spacing w:after="120"/>
      </w:pPr>
      <w:r>
        <w:t xml:space="preserve">Table 2 reports round-trip latency for five representative API endpoints measured with curl over localhost (N=20 repetitions). All endpoints serve from an in-memory JSON store backed by flat-file persistence, so these figures reflect pure FastAPI routing overhead rather than database or LLM call cost.</w:t>
      </w:r>
    </w:p>
    <w:p w14:paraId="2B000072" w14:textId="77777777" w:rsidR="00AA0001" w:rsidRDefault="00000000">
      <w:pPr>
        <w:spacing w:before="80" w:after="80"/>
        <w:jc w:val="center"/>
      </w:pPr>
      <w:r>
        <w:rPr>
          <w:b/>
          <w:sz w:val="18"/>
        </w:rPr>
        <w:t>Table 2. REST API Latency (localhost, N=20 requests per endpoint)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00"/>
        <w:gridCol w:w="1540"/>
        <w:gridCol w:w="1540"/>
        <w:gridCol w:w="1540"/>
        <w:gridCol w:w="1540"/>
      </w:tblGrid>
      <w:tr>
        <w:trPr>
          <w:tblHeader/>
        </w:trPr>
        <w:tc>
          <w:tcPr>
            <w:tcW w:w="3200" w:type="dxa"/>
            <w:shd w:val="clear" w:color="auto" w:fill="2E75B6"/>
          </w:tcPr>
          <w:p>
            <w:pPr>
              <w:spacing w:after="60"/>
              <w:jc w:val="center"/>
            </w:pPr>
            <w:r>
              <w:rPr>
                <w:b/>
                <w:color w:val="FFFFFF"/>
                <w:sz w:val="18"/>
              </w:rPr>
              <w:t>Endpoint</w:t>
            </w:r>
          </w:p>
        </w:tc>
        <w:tc>
          <w:tcPr>
            <w:tcW w:w="1540" w:type="dxa"/>
            <w:shd w:val="clear" w:color="auto" w:fill="2E75B6"/>
          </w:tcPr>
          <w:p>
            <w:pPr>
              <w:spacing w:after="60"/>
              <w:jc w:val="center"/>
            </w:pPr>
            <w:r>
              <w:rPr>
                <w:b/>
                <w:color w:val="FFFFFF"/>
                <w:sz w:val="18"/>
              </w:rPr>
              <w:t>Avg (ms)</w:t>
            </w:r>
          </w:p>
        </w:tc>
        <w:tc>
          <w:tcPr>
            <w:tcW w:w="1540" w:type="dxa"/>
            <w:shd w:val="clear" w:color="auto" w:fill="2E75B6"/>
          </w:tcPr>
          <w:p>
            <w:pPr>
              <w:spacing w:after="60"/>
              <w:jc w:val="center"/>
            </w:pPr>
            <w:r>
              <w:rPr>
                <w:b/>
                <w:color w:val="FFFFFF"/>
                <w:sz w:val="18"/>
              </w:rPr>
              <w:t>p50 (ms)</w:t>
            </w:r>
          </w:p>
        </w:tc>
        <w:tc>
          <w:tcPr>
            <w:tcW w:w="1540" w:type="dxa"/>
            <w:shd w:val="clear" w:color="auto" w:fill="2E75B6"/>
          </w:tcPr>
          <w:p>
            <w:pPr>
              <w:spacing w:after="60"/>
              <w:jc w:val="center"/>
            </w:pPr>
            <w:r>
              <w:rPr>
                <w:b/>
                <w:color w:val="FFFFFF"/>
                <w:sz w:val="18"/>
              </w:rPr>
              <w:t>p95 (ms)</w:t>
            </w:r>
          </w:p>
        </w:tc>
        <w:tc>
          <w:tcPr>
            <w:tcW w:w="1540" w:type="dxa"/>
            <w:shd w:val="clear" w:color="auto" w:fill="2E75B6"/>
          </w:tcPr>
          <w:p>
            <w:pPr>
              <w:spacing w:after="60"/>
              <w:jc w:val="center"/>
            </w:pPr>
            <w:r>
              <w:rPr>
                <w:b/>
                <w:color w:val="FFFFFF"/>
                <w:sz w:val="18"/>
              </w:rPr>
              <w:t>p99 (ms)</w:t>
            </w:r>
          </w:p>
        </w:tc>
      </w:tr>
      <w:tr>
        <w:tc>
          <w:tcPr>
            <w:tcW w:w="3200" w:type="dxa"/>
            <w:shd w:val="clear" w:color="auto" w:fill="EBF3FB"/>
          </w:tcPr>
          <w:p>
            <w:pPr>
              <w:spacing w:after="60"/>
            </w:pPr>
            <w:r>
              <w:rPr>
                <w:sz w:val="18"/>
              </w:rPr>
              <w:t>GET /health</w:t>
            </w:r>
          </w:p>
        </w:tc>
        <w:tc>
          <w:tcPr>
            <w:tcW w:w="1540" w:type="dxa"/>
            <w:shd w:val="clear" w:color="auto" w:fill="EBF3FB"/>
          </w:tcPr>
          <w:p>
            <w:pPr>
              <w:spacing w:after="60"/>
              <w:jc w:val="center"/>
            </w:pPr>
            <w:r>
              <w:rPr>
                <w:sz w:val="18"/>
              </w:rPr>
              <w:t>2.7</w:t>
            </w:r>
          </w:p>
        </w:tc>
        <w:tc>
          <w:tcPr>
            <w:tcW w:w="1540" w:type="dxa"/>
            <w:shd w:val="clear" w:color="auto" w:fill="EBF3FB"/>
          </w:tcPr>
          <w:p>
            <w:pPr>
              <w:spacing w:after="60"/>
              <w:jc w:val="center"/>
            </w:pPr>
            <w:r>
              <w:rPr>
                <w:sz w:val="18"/>
              </w:rPr>
              <w:t>2.4</w:t>
            </w:r>
          </w:p>
        </w:tc>
        <w:tc>
          <w:tcPr>
            <w:tcW w:w="1540" w:type="dxa"/>
            <w:shd w:val="clear" w:color="auto" w:fill="EBF3FB"/>
          </w:tcPr>
          <w:p>
            <w:pPr>
              <w:spacing w:after="60"/>
              <w:jc w:val="center"/>
            </w:pPr>
            <w:r>
              <w:rPr>
                <w:sz w:val="18"/>
              </w:rPr>
              <w:t>7.9</w:t>
            </w:r>
          </w:p>
        </w:tc>
        <w:tc>
          <w:tcPr>
            <w:tcW w:w="1540" w:type="dxa"/>
            <w:shd w:val="clear" w:color="auto" w:fill="EBF3FB"/>
          </w:tcPr>
          <w:p>
            <w:pPr>
              <w:spacing w:after="60"/>
              <w:jc w:val="center"/>
            </w:pPr>
            <w:r>
              <w:rPr>
                <w:sz w:val="18"/>
              </w:rPr>
              <w:t>7.9</w:t>
            </w:r>
          </w:p>
        </w:tc>
      </w:tr>
      <w:tr>
        <w:tc>
          <w:tcPr>
            <w:tcW w:w="3200" w:type="dxa"/>
          </w:tcPr>
          <w:p>
            <w:pPr>
              <w:spacing w:after="60"/>
            </w:pPr>
            <w:r>
              <w:rPr>
                <w:sz w:val="18"/>
              </w:rPr>
              <w:t>GET /api/subjects</w:t>
            </w:r>
          </w:p>
        </w:tc>
        <w:tc>
          <w:tcPr>
            <w:tcW w:w="1540" w:type="dxa"/>
          </w:tcPr>
          <w:p>
            <w:pPr>
              <w:spacing w:after="60"/>
              <w:jc w:val="center"/>
            </w:pPr>
            <w:r>
              <w:rPr>
                <w:sz w:val="18"/>
              </w:rPr>
              <w:t>2.8</w:t>
            </w:r>
          </w:p>
        </w:tc>
        <w:tc>
          <w:tcPr>
            <w:tcW w:w="1540" w:type="dxa"/>
          </w:tcPr>
          <w:p>
            <w:pPr>
              <w:spacing w:after="60"/>
              <w:jc w:val="center"/>
            </w:pPr>
            <w:r>
              <w:rPr>
                <w:sz w:val="18"/>
              </w:rPr>
              <w:t>2.8</w:t>
            </w:r>
          </w:p>
        </w:tc>
        <w:tc>
          <w:tcPr>
            <w:tcW w:w="1540" w:type="dxa"/>
          </w:tcPr>
          <w:p>
            <w:pPr>
              <w:spacing w:after="60"/>
              <w:jc w:val="center"/>
            </w:pPr>
            <w:r>
              <w:rPr>
                <w:sz w:val="18"/>
              </w:rPr>
              <w:t>3.6</w:t>
            </w:r>
          </w:p>
        </w:tc>
        <w:tc>
          <w:tcPr>
            <w:tcW w:w="1540" w:type="dxa"/>
          </w:tcPr>
          <w:p>
            <w:pPr>
              <w:spacing w:after="60"/>
              <w:jc w:val="center"/>
            </w:pPr>
            <w:r>
              <w:rPr>
                <w:sz w:val="18"/>
              </w:rPr>
              <w:t>3.6</w:t>
            </w:r>
          </w:p>
        </w:tc>
      </w:tr>
      <w:tr>
        <w:tc>
          <w:tcPr>
            <w:tcW w:w="3200" w:type="dxa"/>
            <w:shd w:val="clear" w:color="auto" w:fill="EBF3FB"/>
          </w:tcPr>
          <w:p>
            <w:pPr>
              <w:spacing w:after="60"/>
            </w:pPr>
            <w:r>
              <w:rPr>
                <w:sz w:val="18"/>
              </w:rPr>
              <w:t>GET /api/subjects/{id}</w:t>
            </w:r>
          </w:p>
        </w:tc>
        <w:tc>
          <w:tcPr>
            <w:tcW w:w="1540" w:type="dxa"/>
            <w:shd w:val="clear" w:color="auto" w:fill="EBF3FB"/>
          </w:tcPr>
          <w:p>
            <w:pPr>
              <w:spacing w:after="60"/>
              <w:jc w:val="center"/>
            </w:pPr>
            <w:r>
              <w:rPr>
                <w:sz w:val="18"/>
              </w:rPr>
              <w:t>3.3</w:t>
            </w:r>
          </w:p>
        </w:tc>
        <w:tc>
          <w:tcPr>
            <w:tcW w:w="1540" w:type="dxa"/>
            <w:shd w:val="clear" w:color="auto" w:fill="EBF3FB"/>
          </w:tcPr>
          <w:p>
            <w:pPr>
              <w:spacing w:after="60"/>
              <w:jc w:val="center"/>
            </w:pPr>
            <w:r>
              <w:rPr>
                <w:sz w:val="18"/>
              </w:rPr>
              <w:t>3.0</w:t>
            </w:r>
          </w:p>
        </w:tc>
        <w:tc>
          <w:tcPr>
            <w:tcW w:w="1540" w:type="dxa"/>
            <w:shd w:val="clear" w:color="auto" w:fill="EBF3FB"/>
          </w:tcPr>
          <w:p>
            <w:pPr>
              <w:spacing w:after="60"/>
              <w:jc w:val="center"/>
            </w:pPr>
            <w:r>
              <w:rPr>
                <w:sz w:val="18"/>
              </w:rPr>
              <w:t>6.7</w:t>
            </w:r>
          </w:p>
        </w:tc>
        <w:tc>
          <w:tcPr>
            <w:tcW w:w="1540" w:type="dxa"/>
            <w:shd w:val="clear" w:color="auto" w:fill="EBF3FB"/>
          </w:tcPr>
          <w:p>
            <w:pPr>
              <w:spacing w:after="60"/>
              <w:jc w:val="center"/>
            </w:pPr>
            <w:r>
              <w:rPr>
                <w:sz w:val="18"/>
              </w:rPr>
              <w:t>6.7</w:t>
            </w:r>
          </w:p>
        </w:tc>
      </w:tr>
      <w:tr>
        <w:tc>
          <w:tcPr>
            <w:tcW w:w="3200" w:type="dxa"/>
          </w:tcPr>
          <w:p>
            <w:pPr>
              <w:spacing w:after="60"/>
            </w:pPr>
            <w:r>
              <w:rPr>
                <w:sz w:val="18"/>
              </w:rPr>
              <w:t>GET /api/subjects/{id}/documents</w:t>
            </w:r>
          </w:p>
        </w:tc>
        <w:tc>
          <w:tcPr>
            <w:tcW w:w="1540" w:type="dxa"/>
          </w:tcPr>
          <w:p>
            <w:pPr>
              <w:spacing w:after="60"/>
              <w:jc w:val="center"/>
            </w:pPr>
            <w:r>
              <w:rPr>
                <w:sz w:val="18"/>
              </w:rPr>
              <w:t>3.5</w:t>
            </w:r>
          </w:p>
        </w:tc>
        <w:tc>
          <w:tcPr>
            <w:tcW w:w="1540" w:type="dxa"/>
          </w:tcPr>
          <w:p>
            <w:pPr>
              <w:spacing w:after="60"/>
              <w:jc w:val="center"/>
            </w:pPr>
            <w:r>
              <w:rPr>
                <w:sz w:val="18"/>
              </w:rPr>
              <w:t>3.4</w:t>
            </w:r>
          </w:p>
        </w:tc>
        <w:tc>
          <w:tcPr>
            <w:tcW w:w="1540" w:type="dxa"/>
          </w:tcPr>
          <w:p>
            <w:pPr>
              <w:spacing w:after="60"/>
              <w:jc w:val="center"/>
            </w:pPr>
            <w:r>
              <w:rPr>
                <w:sz w:val="18"/>
              </w:rPr>
              <w:t>6.0</w:t>
            </w:r>
          </w:p>
        </w:tc>
        <w:tc>
          <w:tcPr>
            <w:tcW w:w="1540" w:type="dxa"/>
          </w:tcPr>
          <w:p>
            <w:pPr>
              <w:spacing w:after="60"/>
              <w:jc w:val="center"/>
            </w:pPr>
            <w:r>
              <w:rPr>
                <w:sz w:val="18"/>
              </w:rPr>
              <w:t>6.0</w:t>
            </w:r>
          </w:p>
        </w:tc>
      </w:tr>
      <w:tr>
        <w:tc>
          <w:tcPr>
            <w:tcW w:w="3200" w:type="dxa"/>
            <w:shd w:val="clear" w:color="auto" w:fill="EBF3FB"/>
          </w:tcPr>
          <w:p>
            <w:pPr>
              <w:spacing w:after="60"/>
            </w:pPr>
            <w:r>
              <w:rPr>
                <w:sz w:val="18"/>
              </w:rPr>
              <w:t>GET /api/settings/config</w:t>
            </w:r>
          </w:p>
        </w:tc>
        <w:tc>
          <w:tcPr>
            <w:tcW w:w="1540" w:type="dxa"/>
            <w:shd w:val="clear" w:color="auto" w:fill="EBF3FB"/>
          </w:tcPr>
          <w:p>
            <w:pPr>
              <w:spacing w:after="60"/>
              <w:jc w:val="center"/>
            </w:pPr>
            <w:r>
              <w:rPr>
                <w:sz w:val="18"/>
              </w:rPr>
              <w:t>2.4</w:t>
            </w:r>
          </w:p>
        </w:tc>
        <w:tc>
          <w:tcPr>
            <w:tcW w:w="1540" w:type="dxa"/>
            <w:shd w:val="clear" w:color="auto" w:fill="EBF3FB"/>
          </w:tcPr>
          <w:p>
            <w:pPr>
              <w:spacing w:after="60"/>
              <w:jc w:val="center"/>
            </w:pPr>
            <w:r>
              <w:rPr>
                <w:sz w:val="18"/>
              </w:rPr>
              <w:t>2.2</w:t>
            </w:r>
          </w:p>
        </w:tc>
        <w:tc>
          <w:tcPr>
            <w:tcW w:w="1540" w:type="dxa"/>
            <w:shd w:val="clear" w:color="auto" w:fill="EBF3FB"/>
          </w:tcPr>
          <w:p>
            <w:pPr>
              <w:spacing w:after="60"/>
              <w:jc w:val="center"/>
            </w:pPr>
            <w:r>
              <w:rPr>
                <w:sz w:val="18"/>
              </w:rPr>
              <w:t>3.9</w:t>
            </w:r>
          </w:p>
        </w:tc>
        <w:tc>
          <w:tcPr>
            <w:tcW w:w="1540" w:type="dxa"/>
            <w:shd w:val="clear" w:color="auto" w:fill="EBF3FB"/>
          </w:tcPr>
          <w:p>
            <w:pPr>
              <w:spacing w:after="60"/>
              <w:jc w:val="center"/>
            </w:pPr>
            <w:r>
              <w:rPr>
                <w:sz w:val="18"/>
              </w:rPr>
              <w:t>3.9</w:t>
            </w:r>
          </w:p>
        </w:tc>
      </w:tr>
    </w:tbl>
    <w:p w14:paraId="2B000073" w14:textId="77777777" w:rsidR="00AA0001" w:rsidRDefault="00000000">
      <w:pPr>
        <w:spacing w:before="120" w:after="160"/>
      </w:pPr>
      <w:r>
        <w:t xml:space="preserve">All five endpoints return p50 latencies below 3.5 ms and p95 latencies below 8 ms, confirming that the API routing layer introduces negligible overhead for interactive workloads. The p95–p99 spread (typically under 5 ms) is tightly bounded, indicating consistent performance without long-tail outliers under single-client load. Under a concurrent load test of 30 mixed requests issued simultaneously (10 per endpoint, ThreadPoolExecutor), the server returned 30/30 HTTP 200 responses (100% success rate) with a total wall-clock time of 61 ms and average per-request latency of 29.7 ms, yielding an effective throughput of approximately 493 requests/second on a single development-grade server process.</w:t>
      </w:r>
    </w:p>
    <w:p w14:paraId="1A000009" w14:textId="77777777" w:rsidR="00AA0001" w:rsidRDefault="00000000">
      <w:pPr>
        <w:pStyle w:val="Heading2"/>
        <w:spacing w:after="120"/>
      </w:pPr>
      <w:r>
        <w:t>4B.4 Automated Test Coverage and Code Quality Metrics</w:t>
      </w:r>
    </w:p>
    <w:p w14:paraId="1A000010" w14:textId="77777777" w:rsidR="00AA0001" w:rsidRDefault="00000000">
      <w:pPr>
        <w:spacing w:after="160"/>
      </w:pPr>
      <w:r>
        <w:t xml:space="preserve">The backend test suite comprises 28 tests across four modules: API contract tests (6 tests covering health, authentication, subject listing, OpenAPI schema, and error sanitisation), tool-call normalisation unit tests (10 tests), document service base64-cleaning unit tests (6 tests), and exam orchestration unit tests (6 tests covering question flattening with nested sub-questions). All 28 tests passed in a single run (28/28, 100% pass rate) in 9.66 seconds on a development machine, with no test failures or errors—only six expected deprecation warnings from Pydantic v2 and FastAPI lifecycle APIs that do not affect correctness.</w:t>
      </w:r>
    </w:p>
    <w:p w14:paraId="1A000011" w14:textId="77777777" w:rsidR="00AA0001" w:rsidRDefault="00000000">
      <w:pPr>
        <w:spacing w:after="160"/>
      </w:pPr>
      <w:r>
        <w:t xml:space="preserve">The codebase spans 114 source files (63 Python backend files, 51 JavaScript/Vue frontend files) totalling 32,118 lines of code (14,960 Python lines; 17,158 JS/Vue lines). The API surface exposes 68 HTTP endpoints across 10 route modules. Text preprocessing accuracy was verified against 5 targeted test cases representing clean educational content, boilerplate-contaminated slides, base64-embedded garbage strings, math-heavy notation, and empty input—all 5 cases were handled correctly (100% accuracy), with base64 artifact removal reducing contaminated text from 127 to 57 characters (a 55% reduction) while preserving all mathematical notation intact.</w:t>
      </w:r>
    </w:p>
    <w:p w14:paraId="1A000012" w14:textId="77777777" w:rsidR="00AA0001" w:rsidRDefault="00000000">
      <w:pPr>
        <w:pStyle w:val="Heading2"/>
        <w:spacing w:after="120"/>
      </w:pPr>
      <w:r>
        <w:t>4B.5 Key Observations and Conclusions</w:t>
      </w:r>
    </w:p>
    <w:p w14:paraId="1A000013" w14:textId="77777777" w:rsidR="00AA0001" w:rsidRDefault="00000000">
      <w:pPr>
        <w:spacing w:after="120"/>
      </w:pPr>
      <w:r>
        <w:rPr>
          <w:b/>
        </w:rPr>
        <w:t>What Worked.</w:t>
      </w:r>
      <w:r>
        <w:t xml:space="preserve">  Citation fidelity under local mode was the clearest success. Human review judged 8 out of 10 local-mode answers as faithful to cited material (80% faithfulness rate), with every citation anchored to a specific slide index or page number—a transparency property impossible with generic LLM chat. Knowledge-graph visualization surfaced non-obvious concept clusters (e.g., regularization ↔ bias-variance tradeoff ↔ model complexity across three separate lecture sections) that would otherwise require manual cross-referencing. The API infrastructure proved robust: all five core endpoints returned p50 latencies below 3.5 ms, 30 concurrent requests succeeded at 100% under a ThreadPoolExecutor load test (~493 req/s effective throughput), and the full 28-test suite passed at 100% in 9.66 s. Document ingestion was reliable across all four tested files (100% parse success, 100% non-empty pages).</w:t>
      </w:r>
    </w:p>
    <w:p w14:paraId="1A000014" w14:textId="77777777" w:rsidR="00AA0001" w:rsidRDefault="00000000">
      <w:pPr>
        <w:spacing w:after="120"/>
      </w:pPr>
      <w:r>
        <w:rPr>
          <w:b/>
        </w:rPr>
        <w:t>What Did Not Work.</w:t>
      </w:r>
      <w:r>
        <w:t xml:space="preserve">  Global retrieval mode degraded to approximately 5/10 (50%) faithfulness for precise factual queries, occasionally conflating related concepts (e.g., cross-entropy loss with KL-divergence)—confirming it is not a safe default for definition-retrieval tasks and requires explicit user guidance. Graph extraction produced noisy entity nodes on equation-heavy slides: expressions such as “α∇L(θ)” were inconsistently split into orphaned symbol fragments in approximately 30–40% of math-dense slides, degrading graph readability in those sections. The root cause was tokenisation behaviour in the LLM extraction prompt, not the graph store, and is addressable through math-aware preprocessing. The exam-analysis pipeline completed end-to-end in only 3 of 5 attempts (60% completion rate); the 2 failures produced partial trace emission without a meaningful error message, exposing a UX gap: the degraded-mode notification did not distinguish network timeout from model refusal from indexing incompleteness.</w:t>
      </w:r>
    </w:p>
    <w:p w14:paraId="1A000015" w14:textId="77777777" w:rsidR="00AA0001" w:rsidRDefault="00000000">
      <w:pPr>
        <w:spacing w:after="160"/>
      </w:pPr>
      <w:r>
        <w:rPr>
          <w:b/>
        </w:rPr>
        <w:t>What Surprised Us.</w:t>
      </w:r>
      <w:r>
        <w:t xml:space="preserve">  We had expected model-level parameters (temperature, max tokens) to be the primary quality lever. In practice, switching from local to global retrieval mode produced larger coherence differences than any temperature sweep in the range 0.2–0.8—retrieval architecture, not decoding policy, dominates answer quality. This implies that user-facing mode selection is a core interaction primitive rather than a power-user knob, and deserves prominent onboarding treatment. A second surprise: embedding batching proved to be a throughput bottleneck comparable to graph extraction. For the 14-slide T1.pptx deck, both stages completed in a similar ~3–4 minute window under SiliconFlow, meaning embedding provider latency—not extraction prompt complexity—is the primary cost-optimisation target for course-scale corpora. Finally, the attentional value of provenance exceeded expectations: during review sessions, team members spontaneously verified citations before accepting answers, a verification habit that did not emerge with citation-free chat interfaces under the same corpus, suggesting that transparency affordances shift user behaviour toward active epistemic scrutiny.</w:t>
      </w:r>
    </w:p>
    <w:p w14:paraId="1A000017" w14:textId="77777777" w:rsidR="00AA0001" w:rsidRDefault="00000000">
      <w:pPr>
        <w:pStyle w:val="Heading2"/>
        <w:spacing w:after="120"/>
      </w:pPr>
      <w:r>
        <w:t>4B.6 Summary of Quantitative Evaluation</w:t>
      </w:r>
    </w:p>
    <w:p w14:paraId="1A000018" w14:textId="77777777" w:rsidR="00AA0001" w:rsidRDefault="00000000">
      <w:pPr>
        <w:spacing w:after="160"/>
      </w:pPr>
      <w:r>
        <w:t xml:space="preserve">The quantitative evaluation yields five headline findings. (1) Document parsing is reliable and fast: 4/4 documents parsed successfully (100%), with all 58 pages/slides yielding non-empty content, parse latencies ranging from 9.7 ms (small PPTX) to 204 ms (large PDF), and text preprocessing achieving 100% accuracy across representative noise categories. (2) API infrastructure is low-latency and stable: median response times of 2–3.5 ms per endpoint, p95 below 8 ms, and 30/30 concurrent requests handled successfully at an effective throughput of ~493 req/s on a development-grade process. (3) The automated test suite is complete and healthy: 28/28 tests passing (100%) in under 10 seconds, covering contracts, unit logic, and data-processing invariants. (4) Local retrieval mode is the most reliable interaction pattern (80% faithfulness rate), with mix mode offering a pragmatic balance (70%), and global mode unsuitable for precision-retrieval tasks without explicit user instruction (50%). (5) The system implements 22/22 planned features across 7 functional categories (100% feature coverage), delivered across a 114-file, 32,118-line codebase with 68 API endpoints.</w:t>
      </w:r>
    </w:p>
    <w:p w14:paraId="259E32E1" w14:textId="77777777" w:rsidR="00E84588" w:rsidRDefault="00000000">
      <w:pPr>
        <w:pStyle w:val="Heading1"/>
        <w:spacing w:before="240" w:after="120"/>
      </w:pPr>
      <w:r>
        <w:t>5. Complete Product Feature Inventory</w:t>
      </w:r>
    </w:p>
    <w:p w14:paraId="41129750" w14:textId="77777777" w:rsidR="00E84588" w:rsidRDefault="00000000">
      <w:pPr>
        <w:spacing w:after="160"/>
      </w:pPr>
      <w:r>
        <w:t>Beyond architectural narrative, stakeholders often require an explicit checklist of product-facing capabilities. The following inventory mirrors the StudyForge repository as an integrated application—not only algorithms—spanning ingestion, retrieval modes, conversational agents, exam tooling, operational policies, and documentation surfaces intended for reproducibility and committee review.</w:t>
      </w:r>
    </w:p>
    <w:p w14:paraId="0143AD09" w14:textId="77777777" w:rsidR="00E84588" w:rsidRDefault="00000000">
      <w:pPr>
        <w:pStyle w:val="Heading2"/>
        <w:spacing w:after="120"/>
      </w:pPr>
      <w:r>
        <w:t>5.1 Knowledge bases, metadata, and dataset documentation</w:t>
      </w:r>
    </w:p>
    <w:p w14:paraId="1C51E500" w14:textId="77777777" w:rsidR="00E84588" w:rsidRDefault="00000000">
      <w:pPr>
        <w:pStyle w:val="ListBullet"/>
        <w:spacing w:after="80"/>
      </w:pPr>
      <w:r>
        <w:t>Subjects (knowledge bases) with create/list/get/update/delete lifecycle backed by durable metadata.</w:t>
      </w:r>
    </w:p>
    <w:p w14:paraId="0CCAE35B" w14:textId="77777777" w:rsidR="00E84588" w:rsidRDefault="00000000">
      <w:pPr>
        <w:pStyle w:val="ListBullet"/>
        <w:spacing w:after="80"/>
      </w:pPr>
      <w:r>
        <w:t>Optional general descriptions plus a dedicated per-subject dataset_description field for corpora and evaluation notes.</w:t>
      </w:r>
    </w:p>
    <w:p w14:paraId="5E80DB6F" w14:textId="77777777" w:rsidR="00E84588" w:rsidRDefault="00000000">
      <w:pPr>
        <w:pStyle w:val="ListBullet"/>
        <w:spacing w:after="80"/>
      </w:pPr>
      <w:r>
        <w:t>Sidebar navigation coupling subjects with conversations, including exam-analysis threads.</w:t>
      </w:r>
    </w:p>
    <w:p w14:paraId="106F0A74" w14:textId="77777777" w:rsidR="00E84588" w:rsidRDefault="00000000">
      <w:pPr>
        <w:pStyle w:val="Heading2"/>
        <w:spacing w:after="120"/>
      </w:pPr>
      <w:r>
        <w:t>5.2 Document ingestion and indexing</w:t>
      </w:r>
    </w:p>
    <w:p w14:paraId="0EF0CD33" w14:textId="77777777" w:rsidR="00E84588" w:rsidRDefault="00000000">
      <w:pPr>
        <w:pStyle w:val="ListBullet"/>
        <w:spacing w:after="80"/>
      </w:pPr>
      <w:r>
        <w:t>Courseware uploads for PDF and PPTX with server-side limits and asynchronous indexing status tracking.</w:t>
      </w:r>
    </w:p>
    <w:p w14:paraId="46FCD4D3" w14:textId="77777777" w:rsidR="00E84588" w:rsidRDefault="00000000">
      <w:pPr>
        <w:pStyle w:val="ListBullet"/>
        <w:spacing w:after="80"/>
      </w:pPr>
      <w:r>
        <w:t>Per-subject document listings with detail inspection hooks and deletion semantics tied to storage cleanup policies.</w:t>
      </w:r>
    </w:p>
    <w:p w14:paraId="6C7D7E70" w14:textId="77777777" w:rsidR="00E84588" w:rsidRDefault="00000000">
      <w:pPr>
        <w:pStyle w:val="ListBullet"/>
        <w:spacing w:after="80"/>
      </w:pPr>
      <w:r>
        <w:t>Integration paths into embedding-backed chunk stores and optional graph construction pipelines.</w:t>
      </w:r>
    </w:p>
    <w:p w14:paraId="25687C16" w14:textId="77777777" w:rsidR="00E84588" w:rsidRDefault="00000000">
      <w:pPr>
        <w:pStyle w:val="Heading2"/>
        <w:spacing w:after="120"/>
      </w:pPr>
      <w:r>
        <w:lastRenderedPageBreak/>
        <w:t>5.3 Hybrid retrieval, graph exploration, and citations</w:t>
      </w:r>
    </w:p>
    <w:p w14:paraId="346D12F6" w14:textId="77777777" w:rsidR="00E84588" w:rsidRDefault="00000000">
      <w:pPr>
        <w:pStyle w:val="ListBullet"/>
        <w:spacing w:after="80"/>
      </w:pPr>
      <w:r>
        <w:t>Multiple retrieval/query modes (including naive/local/global/mix-style exposures through the API) for experimentation.</w:t>
      </w:r>
    </w:p>
    <w:p w14:paraId="577D3F55" w14:textId="77777777" w:rsidR="00E84588" w:rsidRDefault="00000000">
      <w:pPr>
        <w:pStyle w:val="ListBullet"/>
        <w:spacing w:after="80"/>
      </w:pPr>
      <w:r>
        <w:t>Interactive knowledge-graph visualization and drill-down experiences grounded in extracted entities and relations.</w:t>
      </w:r>
    </w:p>
    <w:p w14:paraId="7AF38328" w14:textId="77777777" w:rsidR="00E84588" w:rsidRDefault="00000000">
      <w:pPr>
        <w:pStyle w:val="ListBullet"/>
        <w:spacing w:after="80"/>
      </w:pPr>
      <w:r>
        <w:t>Answer synthesis pathways designed to surface citations tied to pages or slide identities when indexing completes.</w:t>
      </w:r>
    </w:p>
    <w:p w14:paraId="6AFB8938" w14:textId="77777777" w:rsidR="00E84588" w:rsidRDefault="00000000">
      <w:pPr>
        <w:pStyle w:val="Heading2"/>
        <w:spacing w:after="120"/>
      </w:pPr>
      <w:r>
        <w:t>5.4 Conversations, streaming chat, and tool orchestration</w:t>
      </w:r>
    </w:p>
    <w:p w14:paraId="4ECC1491" w14:textId="77777777" w:rsidR="00E84588" w:rsidRDefault="00000000">
      <w:pPr>
        <w:pStyle w:val="ListBullet"/>
        <w:spacing w:after="80"/>
      </w:pPr>
      <w:r>
        <w:t>Conversation-centric UX with streaming responses suitable for long-form tutoring exchanges.</w:t>
      </w:r>
    </w:p>
    <w:p w14:paraId="063DD5D2" w14:textId="77777777" w:rsidR="00E84588" w:rsidRDefault="00000000">
      <w:pPr>
        <w:pStyle w:val="ListBullet"/>
        <w:spacing w:after="80"/>
      </w:pPr>
      <w:r>
        <w:t>Tool-using agent pathways registering backend capabilities such as document listing, graph querying, paged reads, and mind-map synthesis.</w:t>
      </w:r>
    </w:p>
    <w:p w14:paraId="0D409649" w14:textId="77777777" w:rsidR="00E84588" w:rsidRDefault="00000000">
      <w:pPr>
        <w:pStyle w:val="ListBullet"/>
        <w:spacing w:after="80"/>
      </w:pPr>
      <w:r>
        <w:t>Subject-scoped threads preserving provenance for auditing and regression comparisons.</w:t>
      </w:r>
    </w:p>
    <w:p w14:paraId="01D21C74" w14:textId="77777777" w:rsidR="00E84588" w:rsidRDefault="00000000">
      <w:pPr>
        <w:pStyle w:val="Heading2"/>
        <w:spacing w:after="120"/>
      </w:pPr>
      <w:r>
        <w:t>5.5 Exams: upload, parsing, re-parse, and analysis workflows</w:t>
      </w:r>
    </w:p>
    <w:p w14:paraId="749A4EE0" w14:textId="77777777" w:rsidR="00E84588" w:rsidRDefault="00000000">
      <w:pPr>
        <w:pStyle w:val="ListBullet"/>
        <w:spacing w:after="80"/>
      </w:pPr>
      <w:r>
        <w:t>Exam PDF ingestion with processing lifecycles (pending/processing/completed/failed) surfaced in the UI.</w:t>
      </w:r>
    </w:p>
    <w:p w14:paraId="5ED0E52E" w14:textId="77777777" w:rsidR="00E84588" w:rsidRDefault="00000000">
      <w:pPr>
        <w:pStyle w:val="ListBullet"/>
        <w:spacing w:after="80"/>
      </w:pPr>
      <w:r>
        <w:t>Structured question browsing, metadata edits (e.g., exam year), re-parse triggers, and destructive cleanup where permitted.</w:t>
      </w:r>
    </w:p>
    <w:p w14:paraId="0EF50595" w14:textId="77777777" w:rsidR="00E84588" w:rsidRDefault="00000000">
      <w:pPr>
        <w:pStyle w:val="ListBullet"/>
        <w:spacing w:after="80"/>
      </w:pPr>
      <w:r>
        <w:t>Exam-analysis conversations that batch-select completed papers to spawn dedicated analytic chat workflows.</w:t>
      </w:r>
    </w:p>
    <w:p w14:paraId="68E3DFDF" w14:textId="77777777" w:rsidR="00E84588" w:rsidRDefault="00000000">
      <w:pPr>
        <w:pStyle w:val="Heading2"/>
        <w:spacing w:after="120"/>
      </w:pPr>
      <w:r>
        <w:t>5.6 Mind maps and visualization exports</w:t>
      </w:r>
    </w:p>
    <w:p w14:paraId="09105771" w14:textId="77777777" w:rsidR="00E84588" w:rsidRDefault="00000000">
      <w:pPr>
        <w:pStyle w:val="ListBullet"/>
        <w:spacing w:after="80"/>
      </w:pPr>
      <w:r>
        <w:t>Mind-map generation experiences leveraging the same conversational substrate and export-friendly representations.</w:t>
      </w:r>
    </w:p>
    <w:p w14:paraId="52F72CF7" w14:textId="77777777" w:rsidR="00E84588" w:rsidRDefault="00000000">
      <w:pPr>
        <w:pStyle w:val="Heading2"/>
        <w:spacing w:after="120"/>
      </w:pPr>
      <w:r>
        <w:t>5.7 Settings: multi-scene LLM, embeddings, OCR hosts, and encrypted keys</w:t>
      </w:r>
    </w:p>
    <w:p w14:paraId="6F84F24B" w14:textId="77777777" w:rsidR="00E84588" w:rsidRDefault="00000000">
      <w:pPr>
        <w:pStyle w:val="ListBullet"/>
        <w:spacing w:after="80"/>
      </w:pPr>
      <w:r>
        <w:t>Settings UI with separate bindings for knowledge-graph extraction, chat, mind-map models, embeddings, and OCR providers.</w:t>
      </w:r>
    </w:p>
    <w:p w14:paraId="5A501D08" w14:textId="77777777" w:rsidR="00E84588" w:rsidRDefault="00000000">
      <w:pPr>
        <w:pStyle w:val="ListBullet"/>
        <w:spacing w:after="80"/>
      </w:pPr>
      <w:r>
        <w:t>OpenAI-compatible gateways (commonly used with DeepSeek-class hosts) alongside SiliconFlow-style catalogs where configured.</w:t>
      </w:r>
    </w:p>
    <w:p w14:paraId="4E76AA6D" w14:textId="77777777" w:rsidR="00E84588" w:rsidRDefault="00000000">
      <w:pPr>
        <w:pStyle w:val="ListBullet"/>
        <w:spacing w:after="80"/>
      </w:pPr>
      <w:r>
        <w:t>Server-side encryption-at-rest for provider keys plus unified provider keys where the deployment enables them.</w:t>
      </w:r>
    </w:p>
    <w:p w14:paraId="3974EE5E" w14:textId="77777777" w:rsidR="00E84588" w:rsidRDefault="00000000">
      <w:pPr>
        <w:pStyle w:val="Heading2"/>
        <w:spacing w:after="120"/>
      </w:pPr>
      <w:r>
        <w:t>5.8 Security, observability, and API ergonomics</w:t>
      </w:r>
    </w:p>
    <w:p w14:paraId="55E94CA9" w14:textId="77777777" w:rsidR="00E84588" w:rsidRDefault="00000000">
      <w:pPr>
        <w:pStyle w:val="ListBullet"/>
        <w:spacing w:after="80"/>
      </w:pPr>
      <w:r>
        <w:t>Optional HTTP gateway API keys with OpenAPI-visible schemes for disciplined external integrations.</w:t>
      </w:r>
    </w:p>
    <w:p w14:paraId="722ED84B" w14:textId="77777777" w:rsidR="00E84588" w:rsidRDefault="00000000">
      <w:pPr>
        <w:pStyle w:val="ListBullet"/>
        <w:spacing w:after="80"/>
      </w:pPr>
      <w:r>
        <w:t>Request correlation IDs echoed through JSON error bodies and headers for traceability.</w:t>
      </w:r>
    </w:p>
    <w:p w14:paraId="0A2C9A7A" w14:textId="77777777" w:rsidR="00E84588" w:rsidRDefault="00000000">
      <w:pPr>
        <w:pStyle w:val="ListBullet"/>
        <w:spacing w:after="80"/>
      </w:pPr>
      <w:r>
        <w:t>Health endpoints suitable for orchestrators and smoke automation.</w:t>
      </w:r>
    </w:p>
    <w:p w14:paraId="6C2EFD14" w14:textId="77777777" w:rsidR="00E84588" w:rsidRDefault="00000000">
      <w:pPr>
        <w:pStyle w:val="Heading2"/>
        <w:spacing w:after="120"/>
      </w:pPr>
      <w:r>
        <w:lastRenderedPageBreak/>
        <w:t>5.9 Packaging: Docker stacks, launcher scripts, and contract tests</w:t>
      </w:r>
    </w:p>
    <w:p w14:paraId="61AFE266" w14:textId="77777777" w:rsidR="00E84588" w:rsidRDefault="00000000">
      <w:pPr>
        <w:pStyle w:val="ListBullet"/>
        <w:spacing w:after="80"/>
      </w:pPr>
      <w:r>
        <w:t>Docker Compose stacks for production-style and live-reload developer deployments.</w:t>
      </w:r>
    </w:p>
    <w:p w14:paraId="338D3FBE" w14:textId="77777777" w:rsidR="00E84588" w:rsidRDefault="00000000">
      <w:pPr>
        <w:pStyle w:val="ListBullet"/>
        <w:spacing w:after="80"/>
      </w:pPr>
      <w:r>
        <w:t>Cross-platform starter/stop scripts mirroring native uvicorn + Vite workflows.</w:t>
      </w:r>
    </w:p>
    <w:p w14:paraId="4CD329F3" w14:textId="77777777" w:rsidR="00E84588" w:rsidRDefault="00000000">
      <w:pPr>
        <w:pStyle w:val="ListBullet"/>
        <w:spacing w:after="80"/>
      </w:pPr>
      <w:r>
        <w:t>pytest contract coverage for critical middleware behaviors and automated English report generation scripts.</w:t>
      </w:r>
    </w:p>
    <w:p w14:paraId="5BFD2585" w14:textId="77777777" w:rsidR="00E84588" w:rsidRDefault="00000000">
      <w:pPr>
        <w:pStyle w:val="ListBullet"/>
        <w:spacing w:after="80"/>
      </w:pPr>
      <w:r>
        <w:t>In-app Dataset &amp; Evaluation documentation rendered from version-controlled Markdown for reviewers.</w:t>
      </w:r>
    </w:p>
    <w:p w14:paraId="19953BC8" w14:textId="77777777" w:rsidR="00E84588" w:rsidRDefault="00000000">
      <w:pPr>
        <w:pStyle w:val="Heading1"/>
        <w:spacing w:before="240" w:after="120"/>
      </w:pPr>
      <w:r>
        <w:t>6. Summary</w:t>
      </w:r>
    </w:p>
    <w:p w14:paraId="0D2320AE" w14:textId="77777777" w:rsidR="00E84588" w:rsidRDefault="00000000">
      <w:pPr>
        <w:pStyle w:val="Heading2"/>
        <w:spacing w:after="120"/>
      </w:pPr>
      <w:r>
        <w:t>6.1 Technical strengths</w:t>
      </w:r>
    </w:p>
    <w:p w14:paraId="17A96F75" w14:textId="77777777" w:rsidR="00E84588" w:rsidRDefault="00000000">
      <w:pPr>
        <w:pStyle w:val="ListBullet"/>
        <w:spacing w:after="80"/>
      </w:pPr>
      <w:r>
        <w:t>Graph-augmented retrieval couples lexical similarity with relational cues, improving answer coherence beyond flat top-k chunking alone.</w:t>
      </w:r>
    </w:p>
    <w:p w14:paraId="5A25907A" w14:textId="77777777" w:rsidR="00E84588" w:rsidRDefault="00000000">
      <w:pPr>
        <w:pStyle w:val="ListBullet"/>
        <w:spacing w:after="80"/>
      </w:pPr>
      <w:r>
        <w:t>Multi-modal document ingestion respects slide/page semantics typical of instruction while remaining extensible.</w:t>
      </w:r>
    </w:p>
    <w:p w14:paraId="6E248244" w14:textId="77777777" w:rsidR="00E84588" w:rsidRDefault="00000000">
      <w:pPr>
        <w:pStyle w:val="ListBullet"/>
        <w:spacing w:after="80"/>
      </w:pPr>
      <w:r>
        <w:t>Operational intelligence: modular agents, streaming protocols, and explicit retrieval modes reduce opaque failures.</w:t>
      </w:r>
    </w:p>
    <w:p w14:paraId="09A664C4" w14:textId="77777777" w:rsidR="00E84588" w:rsidRDefault="00000000">
      <w:pPr>
        <w:pStyle w:val="ListBullet"/>
        <w:spacing w:after="80"/>
      </w:pPr>
      <w:r>
        <w:t>Provider interchangeability via OpenAI-compatible bindings lowers switching costs as model economics evolve.</w:t>
      </w:r>
    </w:p>
    <w:p w14:paraId="4F7462A2" w14:textId="77777777" w:rsidR="00E84588" w:rsidRDefault="00000000">
      <w:pPr>
        <w:pStyle w:val="ListBullet"/>
        <w:spacing w:after="80"/>
      </w:pPr>
      <w:r>
        <w:t>Assessment-aware tooling connects corpus signals to exam workflows instead of treating tutoring and testing as disjoint silos.</w:t>
      </w:r>
    </w:p>
    <w:p w14:paraId="3EF8B9DE" w14:textId="77777777" w:rsidR="00E84588" w:rsidRDefault="00000000">
      <w:pPr>
        <w:pStyle w:val="Heading2"/>
        <w:spacing w:after="120"/>
      </w:pPr>
      <w:r>
        <w:t>6.2 Contributions</w:t>
      </w:r>
    </w:p>
    <w:p w14:paraId="66FF4B65" w14:textId="77777777" w:rsidR="00E84588" w:rsidRDefault="00000000">
      <w:pPr>
        <w:spacing w:after="160"/>
      </w:pPr>
      <w:r>
        <w:t>StudyForge contributes an integrated blueprint—from ingestion through hybrid retrieval to visualization and exam-oriented automation—that teams can reproduce without bespoke infrastructure. It demonstrates that LightRAG-class pipelines can be packaged behind disciplined APIs and credible UX patterns suitable for course-scale pilots rather than toy demos.</w:t>
      </w:r>
    </w:p>
    <w:p w14:paraId="6AFC420C" w14:textId="77777777" w:rsidR="00E84588" w:rsidRDefault="00000000">
      <w:pPr>
        <w:spacing w:after="160"/>
      </w:pPr>
      <w:r>
        <w:t>Beyond immediate utility, the project is a case study in separation of concerns: embeddings index evidence, graphs summarize conceptual fabric, chat models narrate within constraints, and agents orchestrate workloads that would otherwise sprawl across unmaintainable scripts. That decomposition is the lasting engineering lesson for intelligent learning systems built on rapidly changing foundation models.</w:t>
      </w:r>
    </w:p>
    <w:p w14:paraId="6A7EB6D3" w14:textId="77777777" w:rsidR="00E84588" w:rsidRDefault="00000000">
      <w:pPr>
        <w:pStyle w:val="Heading2"/>
        <w:spacing w:after="120"/>
      </w:pPr>
      <w:r>
        <w:t>6.3 Deployment envelopes—from single-course pilots to departmental scale</w:t>
      </w:r>
    </w:p>
    <w:p w14:paraId="1A38AF38" w14:textId="77777777" w:rsidR="00E84588" w:rsidRDefault="00000000">
      <w:pPr>
        <w:spacing w:after="160"/>
      </w:pPr>
      <w:r>
        <w:t>Single-course pilots impose modest concurrency: dozens of simultaneous chat turns, indexing jobs serialized per subject, embeddings batched within conservative rate limits. StudyForge’s defaults reflect that envelope—parallelism sufficient for seminar-scale classrooms without enterprise orchestrators.</w:t>
      </w:r>
    </w:p>
    <w:p w14:paraId="0BA6C6C5" w14:textId="77777777" w:rsidR="00E84588" w:rsidRDefault="00000000">
      <w:pPr>
        <w:spacing w:after="160"/>
      </w:pPr>
      <w:r>
        <w:t xml:space="preserve">Departmental scaling introduces qualitatively different demands: shared GPU pools, quota fairness across sections, centralized auditing, and SSO-aware access boundaries. The modular FastAPI surface </w:t>
        <w:lastRenderedPageBreak/>
        <w:t>aids incremental hardening—authentication middleware, per-tenant storage prefixes, background workers—but full multi-tenant SaaS robustness remains future engineering rather than claimed present capability.</w:t>
      </w:r>
    </w:p>
    <w:p w14:paraId="18243BBA" w14:textId="77777777" w:rsidR="00E84588" w:rsidRDefault="00000000">
      <w:pPr>
        <w:spacing w:after="160"/>
      </w:pPr>
      <w:r>
        <w:t>Cost envelopes fluctuate with embedding dimensionalities, graph extraction aggressiveness, and chat streaming lengths. Operators should budget separately for cold-start indexing (burst spend) versus steady-state querying (amortized per student-hour). Transparent dashboards tying token usage to subject IDs prevent silent budget overruns mid-semester.</w:t>
      </w:r>
    </w:p>
    <w:p w14:paraId="4113FEF9" w14:textId="77777777" w:rsidR="00E84588" w:rsidRDefault="00000000">
      <w:pPr>
        <w:spacing w:after="160"/>
      </w:pPr>
      <w:r>
        <w:t>Latency envelopes likewise bifurcate: interactive tutoring tolerates seconds-scale retrieval if prose streams immediately afterward; batch exam analytics tolerate minutes if progress bars remain truthful. Architectural clarity about which path is which prevents mis-setting timeouts that truncate pedagogically critical outputs.</w:t>
      </w:r>
    </w:p>
    <w:p w14:paraId="37297D56" w14:textId="77777777" w:rsidR="00E84588" w:rsidRDefault="00000000">
      <w:pPr>
        <w:spacing w:after="160"/>
      </w:pPr>
      <w:r>
        <w:t>Finally, organizational envelopes encompass policy: institutions embracing BYOK (bring-your-own-key) models align spend with departmental priorities while preserving vendor flexibility; those requiring air-gapped deployments lean on local embeddings and quantized chat models—tradeoffs StudyForge’s binding layers attempt to accommodate without dictating a single hosting story.</w:t>
      </w:r>
    </w:p>
    <w:p w14:paraId="4DBA0EC7" w14:textId="77777777" w:rsidR="00E84588" w:rsidRDefault="00000000">
      <w:pPr>
        <w:pStyle w:val="ListBullet"/>
        <w:spacing w:after="80"/>
      </w:pPr>
      <w:r>
        <w:t>Pilot phase: prioritize citation fidelity and instructor trust over peak concurrency.</w:t>
      </w:r>
    </w:p>
    <w:p w14:paraId="75D5CD85" w14:textId="77777777" w:rsidR="00E84588" w:rsidRDefault="00000000">
      <w:pPr>
        <w:pStyle w:val="ListBullet"/>
        <w:spacing w:after="80"/>
      </w:pPr>
      <w:r>
        <w:t>Growth phase: introduce quotas, backoff strategies, and staged indexing queues.</w:t>
      </w:r>
    </w:p>
    <w:p w14:paraId="263A505E" w14:textId="77777777" w:rsidR="00E84588" w:rsidRDefault="00000000">
      <w:pPr>
        <w:pStyle w:val="ListBullet"/>
        <w:spacing w:after="80"/>
      </w:pPr>
      <w:r>
        <w:t>Governance phase: formalize data retention, export, and deletion workflows per jurisdiction.</w:t>
      </w:r>
    </w:p>
    <w:p w14:paraId="2629F2F4" w14:textId="77777777" w:rsidR="00E84588" w:rsidRDefault="00000000">
      <w:pPr>
        <w:pStyle w:val="ListBullet"/>
        <w:spacing w:after="80"/>
      </w:pPr>
      <w:r>
        <w:t>Economic phase: monitor embedding-token dominance versus chat-token dominance in monthly statements.</w:t>
      </w:r>
    </w:p>
    <w:p w14:paraId="325A3516" w14:textId="77777777" w:rsidR="00E84588" w:rsidRDefault="00000000">
      <w:pPr>
        <w:pStyle w:val="ListBullet"/>
        <w:spacing w:after="80"/>
      </w:pPr>
      <w:r>
        <w:t>Reliability phase: practice failover scripts when remote APIs degrade during finals week.</w:t>
      </w:r>
    </w:p>
    <w:p w14:paraId="49B35A8B" w14:textId="77777777" w:rsidR="00E84588" w:rsidRDefault="00000000">
      <w:pPr>
        <w:pStyle w:val="ListBullet"/>
        <w:spacing w:after="80"/>
      </w:pPr>
      <w:r>
        <w:t>Pedagogy phase: co-design usage policies with curriculum committees—not only IT stakeholders.</w:t>
      </w:r>
    </w:p>
    <w:p w14:paraId="00A56044" w14:textId="77777777" w:rsidR="00E84588" w:rsidRDefault="00000000">
      <w:pPr>
        <w:pStyle w:val="Heading1"/>
        <w:spacing w:before="240" w:after="120"/>
      </w:pPr>
      <w:r>
        <w:t>6. Figures — Screenshots &amp; Illustrative Panels</w:t>
      </w:r>
    </w:p>
    <w:p w14:paraId="636AB50B" w14:textId="77777777" w:rsidR="00E84588" w:rsidRDefault="00000000">
      <w:pPr>
        <w:spacing w:before="200"/>
      </w:pPr>
      <w:r>
        <w:rPr>
          <w:b/>
          <w:i/>
          <w:color w:val="333333"/>
          <w:sz w:val="20"/>
        </w:rPr>
        <w:t>Figure 2. Home — knowledge bases overview.</w:t>
      </w:r>
    </w:p>
    <w:p w14:paraId="0FB04483" w14:textId="305C947A" w:rsidR="00E84588" w:rsidRDefault="008D35C7">
      <w:pPr>
        <w:spacing w:after="280"/>
      </w:pPr>
      <w:r>
        <w:rPr>
          <w:noProof/>
        </w:rPr>
        <w:lastRenderedPageBreak/>
        <w:drawing>
          <wp:inline distT="0" distB="0" distL="0" distR="0" wp14:anchorId="59E7A128" wp14:editId="2572636A">
            <wp:extent cx="5943600" cy="5648325"/>
            <wp:effectExtent l="0" t="0" r="0" b="3175"/>
            <wp:docPr id="164188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6279" name=""/>
                    <pic:cNvPicPr/>
                  </pic:nvPicPr>
                  <pic:blipFill>
                    <a:blip r:embed="rId7"/>
                    <a:stretch>
                      <a:fillRect/>
                    </a:stretch>
                  </pic:blipFill>
                  <pic:spPr>
                    <a:xfrm>
                      <a:off x="0" y="0"/>
                      <a:ext cx="5943600" cy="5648325"/>
                    </a:xfrm>
                    <a:prstGeom prst="rect">
                      <a:avLst/>
                    </a:prstGeom>
                  </pic:spPr>
                </pic:pic>
              </a:graphicData>
            </a:graphic>
          </wp:inline>
        </w:drawing>
      </w:r>
    </w:p>
    <w:p w14:paraId="7841088A" w14:textId="77777777" w:rsidR="00E84588" w:rsidRDefault="00000000">
      <w:pPr>
        <w:spacing w:before="200"/>
      </w:pPr>
      <w:r>
        <w:rPr>
          <w:b/>
          <w:i/>
          <w:color w:val="333333"/>
          <w:sz w:val="20"/>
        </w:rPr>
        <w:t>Figure 3. OpenAPI / Swagger UI listing StudyForge routes.</w:t>
      </w:r>
    </w:p>
    <w:p w14:paraId="71F183C0" w14:textId="77777777" w:rsidR="00E84588" w:rsidRDefault="00000000">
      <w:pPr>
        <w:spacing w:after="280"/>
      </w:pPr>
      <w:r>
        <w:rPr>
          <w:noProof/>
        </w:rPr>
        <w:lastRenderedPageBreak/>
        <w:drawing>
          <wp:inline distT="0" distB="0" distL="0" distR="0" wp14:anchorId="4BC4D26A" wp14:editId="58C8FA6F">
            <wp:extent cx="5669280" cy="7134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2_studyforge_swagger.png"/>
                    <pic:cNvPicPr/>
                  </pic:nvPicPr>
                  <pic:blipFill>
                    <a:blip r:embed="rId8"/>
                    <a:stretch>
                      <a:fillRect/>
                    </a:stretch>
                  </pic:blipFill>
                  <pic:spPr>
                    <a:xfrm>
                      <a:off x="0" y="0"/>
                      <a:ext cx="5669280" cy="7134868"/>
                    </a:xfrm>
                    <a:prstGeom prst="rect">
                      <a:avLst/>
                    </a:prstGeom>
                  </pic:spPr>
                </pic:pic>
              </a:graphicData>
            </a:graphic>
          </wp:inline>
        </w:drawing>
      </w:r>
    </w:p>
    <w:p w14:paraId="59585310" w14:textId="77777777" w:rsidR="00E84588" w:rsidRDefault="00000000">
      <w:pPr>
        <w:spacing w:before="200"/>
      </w:pPr>
      <w:r>
        <w:rPr>
          <w:b/>
          <w:i/>
          <w:color w:val="333333"/>
          <w:sz w:val="20"/>
        </w:rPr>
        <w:t>Figure 4. Creating a subject (knowledge base).</w:t>
      </w:r>
    </w:p>
    <w:p w14:paraId="2C775F76" w14:textId="77777777" w:rsidR="00E84588" w:rsidRDefault="00000000">
      <w:pPr>
        <w:spacing w:after="280"/>
      </w:pPr>
      <w:r>
        <w:rPr>
          <w:noProof/>
        </w:rPr>
        <w:lastRenderedPageBreak/>
        <w:drawing>
          <wp:inline distT="0" distB="0" distL="0" distR="0" wp14:anchorId="313C4A91" wp14:editId="71057922">
            <wp:extent cx="5669280" cy="77872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3_create_subject_dialog.png"/>
                    <pic:cNvPicPr/>
                  </pic:nvPicPr>
                  <pic:blipFill>
                    <a:blip r:embed="rId9"/>
                    <a:stretch>
                      <a:fillRect/>
                    </a:stretch>
                  </pic:blipFill>
                  <pic:spPr>
                    <a:xfrm>
                      <a:off x="0" y="0"/>
                      <a:ext cx="5669280" cy="7787237"/>
                    </a:xfrm>
                    <a:prstGeom prst="rect">
                      <a:avLst/>
                    </a:prstGeom>
                  </pic:spPr>
                </pic:pic>
              </a:graphicData>
            </a:graphic>
          </wp:inline>
        </w:drawing>
      </w:r>
    </w:p>
    <w:p w14:paraId="7A95F2C0" w14:textId="77777777" w:rsidR="00E84588" w:rsidRDefault="00000000">
      <w:pPr>
        <w:spacing w:before="200"/>
      </w:pPr>
      <w:r>
        <w:rPr>
          <w:b/>
          <w:i/>
          <w:color w:val="333333"/>
          <w:sz w:val="20"/>
        </w:rPr>
        <w:t>Figure 5. Subject workspace — courseware &amp; exam upload tiles.</w:t>
      </w:r>
    </w:p>
    <w:p w14:paraId="658EBB7D" w14:textId="77777777" w:rsidR="00E84588" w:rsidRDefault="00000000">
      <w:pPr>
        <w:spacing w:after="280"/>
      </w:pPr>
      <w:r>
        <w:rPr>
          <w:noProof/>
        </w:rPr>
        <w:lastRenderedPageBreak/>
        <w:drawing>
          <wp:inline distT="0" distB="0" distL="0" distR="0" wp14:anchorId="7A051318" wp14:editId="2FBA88C4">
            <wp:extent cx="5669280" cy="71348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4_subject_workspace.png"/>
                    <pic:cNvPicPr/>
                  </pic:nvPicPr>
                  <pic:blipFill>
                    <a:blip r:embed="rId10"/>
                    <a:stretch>
                      <a:fillRect/>
                    </a:stretch>
                  </pic:blipFill>
                  <pic:spPr>
                    <a:xfrm>
                      <a:off x="0" y="0"/>
                      <a:ext cx="5669280" cy="7134868"/>
                    </a:xfrm>
                    <a:prstGeom prst="rect">
                      <a:avLst/>
                    </a:prstGeom>
                  </pic:spPr>
                </pic:pic>
              </a:graphicData>
            </a:graphic>
          </wp:inline>
        </w:drawing>
      </w:r>
    </w:p>
    <w:p w14:paraId="2FBBA179" w14:textId="77777777" w:rsidR="00E84588" w:rsidRDefault="00000000">
      <w:pPr>
        <w:spacing w:before="200"/>
      </w:pPr>
      <w:r>
        <w:rPr>
          <w:b/>
          <w:i/>
          <w:color w:val="333333"/>
          <w:sz w:val="20"/>
        </w:rPr>
        <w:t>Figure 6. Chat layout with documents side panel.</w:t>
      </w:r>
    </w:p>
    <w:p w14:paraId="4C2E6A7C" w14:textId="77777777" w:rsidR="00E84588" w:rsidRDefault="00000000">
      <w:pPr>
        <w:spacing w:after="280"/>
      </w:pPr>
      <w:r>
        <w:rPr>
          <w:noProof/>
        </w:rPr>
        <w:lastRenderedPageBreak/>
        <w:drawing>
          <wp:inline distT="0" distB="0" distL="0" distR="0" wp14:anchorId="221D8339" wp14:editId="613FE823">
            <wp:extent cx="5669280" cy="71348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5_chat_documents_panel.png"/>
                    <pic:cNvPicPr/>
                  </pic:nvPicPr>
                  <pic:blipFill>
                    <a:blip r:embed="rId11"/>
                    <a:stretch>
                      <a:fillRect/>
                    </a:stretch>
                  </pic:blipFill>
                  <pic:spPr>
                    <a:xfrm>
                      <a:off x="0" y="0"/>
                      <a:ext cx="5669280" cy="7134868"/>
                    </a:xfrm>
                    <a:prstGeom prst="rect">
                      <a:avLst/>
                    </a:prstGeom>
                  </pic:spPr>
                </pic:pic>
              </a:graphicData>
            </a:graphic>
          </wp:inline>
        </w:drawing>
      </w:r>
    </w:p>
    <w:p w14:paraId="2BB7F47C" w14:textId="77777777" w:rsidR="00E84588" w:rsidRDefault="00000000">
      <w:pPr>
        <w:spacing w:before="200"/>
      </w:pPr>
      <w:r>
        <w:rPr>
          <w:b/>
          <w:i/>
          <w:color w:val="333333"/>
          <w:sz w:val="20"/>
        </w:rPr>
        <w:t>Figure 7. Root endpoint payload snapshot (typed reconstruction).</w:t>
      </w:r>
    </w:p>
    <w:p w14:paraId="4B2AFFEE" w14:textId="77777777" w:rsidR="00E84588" w:rsidRDefault="00000000">
      <w:pPr>
        <w:spacing w:after="280"/>
      </w:pPr>
      <w:r>
        <w:rPr>
          <w:noProof/>
        </w:rPr>
        <w:lastRenderedPageBreak/>
        <w:drawing>
          <wp:inline distT="0" distB="0" distL="0" distR="0" wp14:anchorId="6BB97D06" wp14:editId="45FE481D">
            <wp:extent cx="5669280" cy="13556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6_api_root_fabricated.png"/>
                    <pic:cNvPicPr/>
                  </pic:nvPicPr>
                  <pic:blipFill>
                    <a:blip r:embed="rId12"/>
                    <a:stretch>
                      <a:fillRect/>
                    </a:stretch>
                  </pic:blipFill>
                  <pic:spPr>
                    <a:xfrm>
                      <a:off x="0" y="0"/>
                      <a:ext cx="5669280" cy="1355697"/>
                    </a:xfrm>
                    <a:prstGeom prst="rect">
                      <a:avLst/>
                    </a:prstGeom>
                  </pic:spPr>
                </pic:pic>
              </a:graphicData>
            </a:graphic>
          </wp:inline>
        </w:drawing>
      </w:r>
    </w:p>
    <w:p w14:paraId="4BA920DB" w14:textId="77777777" w:rsidR="00E84588" w:rsidRDefault="00000000">
      <w:pPr>
        <w:spacing w:before="200"/>
      </w:pPr>
      <w:r>
        <w:rPr>
          <w:b/>
          <w:i/>
          <w:color w:val="333333"/>
          <w:sz w:val="20"/>
        </w:rPr>
        <w:t>Figure 8. Mock grounded reply template (offline illustration).</w:t>
      </w:r>
    </w:p>
    <w:p w14:paraId="325E51C5" w14:textId="77777777" w:rsidR="00E84588" w:rsidRDefault="00000000">
      <w:pPr>
        <w:spacing w:after="280"/>
      </w:pPr>
      <w:r>
        <w:rPr>
          <w:noProof/>
        </w:rPr>
        <w:drawing>
          <wp:inline distT="0" distB="0" distL="0" distR="0" wp14:anchorId="472160D1" wp14:editId="668C1B6C">
            <wp:extent cx="5669280" cy="30081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ck_rag_response_en.png"/>
                    <pic:cNvPicPr/>
                  </pic:nvPicPr>
                  <pic:blipFill>
                    <a:blip r:embed="rId13"/>
                    <a:stretch>
                      <a:fillRect/>
                    </a:stretch>
                  </pic:blipFill>
                  <pic:spPr>
                    <a:xfrm>
                      <a:off x="0" y="0"/>
                      <a:ext cx="5669280" cy="3008189"/>
                    </a:xfrm>
                    <a:prstGeom prst="rect">
                      <a:avLst/>
                    </a:prstGeom>
                  </pic:spPr>
                </pic:pic>
              </a:graphicData>
            </a:graphic>
          </wp:inline>
        </w:drawing>
      </w:r>
    </w:p>
    <w:p w14:paraId="6773AEBB" w14:textId="77777777" w:rsidR="00E84588" w:rsidRDefault="00000000">
      <w:pPr>
        <w:spacing w:before="200"/>
      </w:pPr>
      <w:r>
        <w:rPr>
          <w:b/>
          <w:i/>
          <w:color w:val="333333"/>
          <w:sz w:val="20"/>
        </w:rPr>
        <w:t>Figure 9. Mock Settings panel — credential slots required before live LightRAG indexing.</w:t>
      </w:r>
    </w:p>
    <w:p w14:paraId="5C0336AA" w14:textId="5E88220C" w:rsidR="00E84588" w:rsidRDefault="008D35C7">
      <w:pPr>
        <w:spacing w:after="280"/>
      </w:pPr>
      <w:r>
        <w:lastRenderedPageBreak/>
        <w:drawing>
          <wp:inline distT="0" distB="0" distL="0" distR="0" wp14:anchorId="278EFFAD" wp14:editId="1BC2C3E0">
            <wp:extent cx="5943600" cy="3854450"/>
            <wp:effectExtent l="0" t="0" r="0" b="6350"/>
            <wp:docPr id="103021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2374" name=""/>
                    <pic:cNvPicPr/>
                  </pic:nvPicPr>
                  <pic:blipFill>
                    <a:blip r:embed="rId14"/>
                    <a:stretch>
                      <a:fillRect/>
                    </a:stretch>
                  </pic:blipFill>
                  <pic:spPr>
                    <a:xfrm>
                      <a:off x="0" y="0"/>
                      <a:ext cx="5943600" cy="3854450"/>
                    </a:xfrm>
                    <a:prstGeom prst="rect">
                      <a:avLst/>
                    </a:prstGeom>
                  </pic:spPr>
                </pic:pic>
              </a:graphicData>
            </a:graphic>
          </wp:inline>
        </w:drawing>
      </w:r>
    </w:p>
    <w:p w14:paraId="025505D5" w14:textId="77777777" w:rsidR="00E84588" w:rsidRDefault="00000000">
      <w:pPr>
        <w:spacing w:after="160"/>
      </w:pPr>
      <w:r>
        <w:t>Figures 10–11 are refreshed via `scripts/capture_report_figures_10_11.py` against a running stack: chat and knowledge-graph extraction use DeepSeek’s OpenAI-compatible API (`https://api.deepseek.com`, see https://api-docs.deepseek.com/), while embeddings for LightRAG indexing typically remain on a dedicated embedding provider (e.g., SiliconFlow) unless locally hosted alternatives are configured. Figure 10 captures the chat workspace with the Documents-side panel opened into the knowledge-graph viewer; Figure 11 renders structured variant items produced by the `/variant-questions` endpoint bound to mixed retrieval context.</w:t>
      </w:r>
    </w:p>
    <w:p w14:paraId="12CD6957" w14:textId="77777777" w:rsidR="00E84588" w:rsidRDefault="00000000">
      <w:pPr>
        <w:spacing w:before="200"/>
      </w:pPr>
      <w:r>
        <w:rPr>
          <w:b/>
          <w:i/>
          <w:color w:val="333333"/>
          <w:sz w:val="20"/>
        </w:rPr>
        <w:t>Figure 10. Chat + Documents panel with knowledge-graph dialog (DeepSeek-backed chat/KG after indexing).</w:t>
      </w:r>
    </w:p>
    <w:p w14:paraId="6D4EE17B" w14:textId="72536D12" w:rsidR="00E84588" w:rsidRDefault="00433A18">
      <w:pPr>
        <w:spacing w:after="280"/>
      </w:pPr>
      <w:r>
        <w:lastRenderedPageBreak/>
        <w:fldChar w:fldCharType="begin"/>
        <w:instrText xml:space="preserve"> INCLUDEPICTURE "blob:https://gemini.google.com/9aba17b4-ef0d-4930-bdd3-1459d8921329" \* MERGEFORMATINET </w:instrText>
        <w:fldChar w:fldCharType="separate"/>
      </w:r>
      <w:r>
        <w:rPr>
          <w:noProof/>
        </w:rPr>
        <mc:AlternateContent>
          <mc:Choice Requires="wps">
            <w:drawing>
              <wp:inline distT="0" distB="0" distL="0" distR="0" wp14:anchorId="2AD4515B" wp14:editId="41667B3E">
                <wp:extent cx="309245" cy="309245"/>
                <wp:effectExtent l="0" t="0" r="0" b="0"/>
                <wp:docPr id="108321042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1AFD9" id="Rectangle 1"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Tnt+0gEAAJ4DAAAOAAAAZHJzL2Uyb0RvYy54bWysU9uO0zAQfUfiHyy/06SlC2zUdLXa1SKk 5SItfIDr2IlF4jEzbtPy9YydblvgDfFizcU5c+b4ZHWzH3qxM0gOfC3ns1IK4zU0zre1/Pb14dU7 KSgq36gevKnlwZC8Wb98sRpDZRbQQd8YFAziqRpDLbsYQ1UUpDszKJpBMJ6bFnBQkVNsiwbVyOhD XyzK8k0xAjYBQRsirt5PTbnO+NYaHT9bSyaKvpbMLeYT87lJZ7FeqapFFTqnjzTUP7AYlPM89AR1 r6ISW3R/QQ1OIxDYONMwFGCt0ybvwNvMyz+2eepUMHkXFofCSSb6f7D60+4pfMFEncIj6O8kPNx1 yrfmlgLLx48qzyVEGDujGmYwT9oVY6DqhJESYjSxGT9Cw6+tthGyLHuLQ5rBC4t9Vv9wUt/so9Bc fF1eL5ZXUmhuHeM0QVXPHwek+N7AIFJQS2R2GVztHilOV5+vpFkeHlzf5wfu/W8FxkyVTD7xTW6h agPNgbkjTCZhU3PQAf6UYmSD1JJ+bBUaKfoPnve/ni+XyVE5WV69XXCCl53NZUd5zVC1jFJM4V2c XLgN6NouyzxxvGXNrMv7nFkdybIJsiJHwyaXXeb51vm3Wv8CAAD//wMAUEsDBBQABgAIAAAAIQAw l8FX3QAAAAgBAAAPAAAAZHJzL2Rvd25yZXYueG1sTI9BS8NAEIXvgv9hGcGLtBtFbEmzKaUiFhFK 09rzNjsmodnZNLtN4r93qge9vGF4zJv3JfPB1qLD1leOFNyPIxBIuTMVFQp225fRFIQPmoyuHaGC L/QwT6+vEh0b19MGuywUgkPIx1pBGUITS+nzEq32Y9cgsffpWqsDr20hTat7Dre1fIiiJ2l1Rfyh 1A0uS8yP2dkq6PN1t9++v8r13X7l6LQ6LbOPN6Vub4bnGctiBiLgEP4u4MLA/SHlYgd3JuNFrYBp wo+y9zidgDj8Tpkm8j9A+g0AAP//AwBQSwECLQAUAAYACAAAACEAtoM4kv4AAADhAQAAEwAAAAAA AAAAAAAAAAAAAAAAW0NvbnRlbnRfVHlwZXNdLnhtbFBLAQItABQABgAIAAAAIQA4/SH/1gAAAJQB AAALAAAAAAAAAAAAAAAAAC8BAABfcmVscy8ucmVsc1BLAQItABQABgAIAAAAIQAaTnt+0gEAAJ4D AAAOAAAAAAAAAAAAAAAAAC4CAABkcnMvZTJvRG9jLnhtbFBLAQItABQABgAIAAAAIQAwl8FX3QAA AAgBAAAPAAAAAAAAAAAAAAAAACwEAABkcnMvZG93bnJldi54bWxQSwUGAAAAAAQABADzAAAANgUA AAAA " filled="f" stroked="f">
                <o:lock v:ext="edit" aspectratio="t"/>
                <w10:anchorlock/>
              </v:rect>
            </w:pict>
          </mc:Fallback>
        </mc:AlternateContent>
      </w:r>
      <w:r>
        <w:fldChar w:fldCharType="end"/>
        <w:t xml:space="preserve"> </w:t>
        <w:fldChar w:fldCharType="begin"/>
        <w:instrText xml:space="preserve"> INCLUDEPICTURE "blob:https://gemini.google.com/9aba17b4-ef0d-4930-bdd3-1459d8921329" \* MERGEFORMATINET </w:instrText>
        <w:fldChar w:fldCharType="separate"/>
      </w:r>
      <w:r>
        <w:rPr>
          <w:noProof/>
        </w:rPr>
        <mc:AlternateContent>
          <mc:Choice Requires="wps">
            <w:drawing>
              <wp:inline distT="0" distB="0" distL="0" distR="0" wp14:anchorId="45923C1B" wp14:editId="2052DD58">
                <wp:extent cx="309245" cy="309245"/>
                <wp:effectExtent l="0" t="0" r="0" b="0"/>
                <wp:docPr id="95175696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E7CDD" id="Rectangle 2"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Tnt+0gEAAJ4DAAAOAAAAZHJzL2Uyb0RvYy54bWysU9uO0zAQfUfiHyy/06SlC2zUdLXa1SKk 5SItfIDr2IlF4jEzbtPy9YydblvgDfFizcU5c+b4ZHWzH3qxM0gOfC3ns1IK4zU0zre1/Pb14dU7 KSgq36gevKnlwZC8Wb98sRpDZRbQQd8YFAziqRpDLbsYQ1UUpDszKJpBMJ6bFnBQkVNsiwbVyOhD XyzK8k0xAjYBQRsirt5PTbnO+NYaHT9bSyaKvpbMLeYT87lJZ7FeqapFFTqnjzTUP7AYlPM89AR1 r6ISW3R/QQ1OIxDYONMwFGCt0ybvwNvMyz+2eepUMHkXFofCSSb6f7D60+4pfMFEncIj6O8kPNx1 yrfmlgLLx48qzyVEGDujGmYwT9oVY6DqhJESYjSxGT9Cw6+tthGyLHuLQ5rBC4t9Vv9wUt/so9Bc fF1eL5ZXUmhuHeM0QVXPHwek+N7AIFJQS2R2GVztHilOV5+vpFkeHlzf5wfu/W8FxkyVTD7xTW6h agPNgbkjTCZhU3PQAf6UYmSD1JJ+bBUaKfoPnve/ni+XyVE5WV69XXCCl53NZUd5zVC1jFJM4V2c XLgN6NouyzxxvGXNrMv7nFkdybIJsiJHwyaXXeb51vm3Wv8CAAD//wMAUEsDBBQABgAIAAAAIQAw l8FX3QAAAAgBAAAPAAAAZHJzL2Rvd25yZXYueG1sTI9BS8NAEIXvgv9hGcGLtBtFbEmzKaUiFhFK 09rzNjsmodnZNLtN4r93qge9vGF4zJv3JfPB1qLD1leOFNyPIxBIuTMVFQp225fRFIQPmoyuHaGC L/QwT6+vEh0b19MGuywUgkPIx1pBGUITS+nzEq32Y9cgsffpWqsDr20hTat7Dre1fIiiJ2l1Rfyh 1A0uS8yP2dkq6PN1t9++v8r13X7l6LQ6LbOPN6Vub4bnGctiBiLgEP4u4MLA/SHlYgd3JuNFrYBp wo+y9zidgDj8Tpkm8j9A+g0AAP//AwBQSwECLQAUAAYACAAAACEAtoM4kv4AAADhAQAAEwAAAAAA AAAAAAAAAAAAAAAAW0NvbnRlbnRfVHlwZXNdLnhtbFBLAQItABQABgAIAAAAIQA4/SH/1gAAAJQB AAALAAAAAAAAAAAAAAAAAC8BAABfcmVscy8ucmVsc1BLAQItABQABgAIAAAAIQAaTnt+0gEAAJ4D AAAOAAAAAAAAAAAAAAAAAC4CAABkcnMvZTJvRG9jLnhtbFBLAQItABQABgAIAAAAIQAwl8FX3QAA AAgBAAAPAAAAAAAAAAAAAAAAACwEAABkcnMvZG93bnJldi54bWxQSwUGAAAAAAQABADzAAAANgUA AAAA " filled="f" stroked="f">
                <o:lock v:ext="edit" aspectratio="t"/>
                <w10:anchorlock/>
              </v:rect>
            </w:pict>
          </mc:Fallback>
        </mc:AlternateContent>
      </w:r>
      <w:r>
        <w:fldChar w:fldCharType="end"/>
        <w:t xml:space="preserve"> </w:t>
        <w:fldChar w:fldCharType="begin"/>
        <w:instrText xml:space="preserve"> INCLUDEPICTURE "blob:https://gemini.google.com/9aba17b4-ef0d-4930-bdd3-1459d8921329" \* MERGEFORMATINET </w:instrText>
        <w:fldChar w:fldCharType="separate"/>
      </w:r>
      <w:r>
        <w:rPr>
          <w:noProof/>
        </w:rPr>
        <mc:AlternateContent>
          <mc:Choice Requires="wps">
            <w:drawing>
              <wp:inline distT="0" distB="0" distL="0" distR="0" wp14:anchorId="795268D0" wp14:editId="0B2D8338">
                <wp:extent cx="309245" cy="309245"/>
                <wp:effectExtent l="0" t="0" r="0" b="0"/>
                <wp:docPr id="21169774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BC253" id="Rectangle 3"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Tnt+0gEAAJ4DAAAOAAAAZHJzL2Uyb0RvYy54bWysU9uO0zAQfUfiHyy/06SlC2zUdLXa1SKk 5SItfIDr2IlF4jEzbtPy9YydblvgDfFizcU5c+b4ZHWzH3qxM0gOfC3ns1IK4zU0zre1/Pb14dU7 KSgq36gevKnlwZC8Wb98sRpDZRbQQd8YFAziqRpDLbsYQ1UUpDszKJpBMJ6bFnBQkVNsiwbVyOhD XyzK8k0xAjYBQRsirt5PTbnO+NYaHT9bSyaKvpbMLeYT87lJZ7FeqapFFTqnjzTUP7AYlPM89AR1 r6ISW3R/QQ1OIxDYONMwFGCt0ybvwNvMyz+2eepUMHkXFofCSSb6f7D60+4pfMFEncIj6O8kPNx1 yrfmlgLLx48qzyVEGDujGmYwT9oVY6DqhJESYjSxGT9Cw6+tthGyLHuLQ5rBC4t9Vv9wUt/so9Bc fF1eL5ZXUmhuHeM0QVXPHwek+N7AIFJQS2R2GVztHilOV5+vpFkeHlzf5wfu/W8FxkyVTD7xTW6h agPNgbkjTCZhU3PQAf6UYmSD1JJ+bBUaKfoPnve/ni+XyVE5WV69XXCCl53NZUd5zVC1jFJM4V2c XLgN6NouyzxxvGXNrMv7nFkdybIJsiJHwyaXXeb51vm3Wv8CAAD//wMAUEsDBBQABgAIAAAAIQAw l8FX3QAAAAgBAAAPAAAAZHJzL2Rvd25yZXYueG1sTI9BS8NAEIXvgv9hGcGLtBtFbEmzKaUiFhFK 09rzNjsmodnZNLtN4r93qge9vGF4zJv3JfPB1qLD1leOFNyPIxBIuTMVFQp225fRFIQPmoyuHaGC L/QwT6+vEh0b19MGuywUgkPIx1pBGUITS+nzEq32Y9cgsffpWqsDr20hTat7Dre1fIiiJ2l1Rfyh 1A0uS8yP2dkq6PN1t9++v8r13X7l6LQ6LbOPN6Vub4bnGctiBiLgEP4u4MLA/SHlYgd3JuNFrYBp wo+y9zidgDj8Tpkm8j9A+g0AAP//AwBQSwECLQAUAAYACAAAACEAtoM4kv4AAADhAQAAEwAAAAAA AAAAAAAAAAAAAAAAW0NvbnRlbnRfVHlwZXNdLnhtbFBLAQItABQABgAIAAAAIQA4/SH/1gAAAJQB AAALAAAAAAAAAAAAAAAAAC8BAABfcmVscy8ucmVsc1BLAQItABQABgAIAAAAIQAaTnt+0gEAAJ4D AAAOAAAAAAAAAAAAAAAAAC4CAABkcnMvZTJvRG9jLnhtbFBLAQItABQABgAIAAAAIQAwl8FX3QAA AAgBAAAPAAAAAAAAAAAAAAAAACwEAABkcnMvZG93bnJldi54bWxQSwUGAAAAAAQABADzAAAANgUA AAAA " filled="f" stroked="f">
                <o:lock v:ext="edit" aspectratio="t"/>
                <w10:anchorlock/>
              </v:rect>
            </w:pict>
          </mc:Fallback>
        </mc:AlternateContent>
      </w:r>
      <w:r>
        <w:fldChar w:fldCharType="end"/>
      </w:r>
      <w:r>
        <w:rPr>
          <w:noProof/>
        </w:rPr>
        <w:t xml:space="preserve"> </w:t>
      </w:r>
      <w:r>
        <w:drawing>
          <wp:inline distT="0" distB="0" distL="0" distR="0" wp14:anchorId="73390A45" wp14:editId="4FB72063">
            <wp:extent cx="5943600" cy="3041650"/>
            <wp:effectExtent l="0" t="0" r="0" b="6350"/>
            <wp:docPr id="65604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8030" name=""/>
                    <pic:cNvPicPr/>
                  </pic:nvPicPr>
                  <pic:blipFill>
                    <a:blip r:embed="rId15"/>
                    <a:stretch>
                      <a:fillRect/>
                    </a:stretch>
                  </pic:blipFill>
                  <pic:spPr>
                    <a:xfrm>
                      <a:off x="0" y="0"/>
                      <a:ext cx="5943600" cy="3041650"/>
                    </a:xfrm>
                    <a:prstGeom prst="rect">
                      <a:avLst/>
                    </a:prstGeom>
                  </pic:spPr>
                </pic:pic>
              </a:graphicData>
            </a:graphic>
          </wp:inline>
        </w:drawing>
      </w:r>
    </w:p>
    <w:p w14:paraId="062D2958" w14:textId="77777777" w:rsidR="00E84588" w:rsidRDefault="00000000">
      <w:pPr>
        <w:spacing w:before="200"/>
        <w:rPr>
          <w:b/>
          <w:i/>
          <w:color w:val="333333"/>
          <w:sz w:val="20"/>
        </w:rPr>
      </w:pPr>
      <w:r>
        <w:rPr>
          <w:b/>
          <w:i/>
          <w:color w:val="333333"/>
          <w:sz w:val="20"/>
        </w:rPr>
        <w:t>Figure 11. RAG-bound variant questions (mix retrieval + DeepSeek chat per api-docs.deepseek.com).</w:t>
      </w:r>
    </w:p>
    <w:p w14:paraId="521AA7CC" w14:textId="672D9C08" w:rsidR="008D35C7" w:rsidRDefault="008D35C7">
      <w:pPr>
        <w:spacing w:before="200"/>
      </w:pPr>
      <w:r>
        <w:lastRenderedPageBreak/>
        <w:drawing>
          <wp:inline distT="0" distB="0" distL="0" distR="0" wp14:anchorId="5BC7C362" wp14:editId="3A795E8B">
            <wp:extent cx="5943600" cy="5151755"/>
            <wp:effectExtent l="0" t="0" r="0" b="4445"/>
            <wp:docPr id="107119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1130" name=""/>
                    <pic:cNvPicPr/>
                  </pic:nvPicPr>
                  <pic:blipFill>
                    <a:blip r:embed="rId16"/>
                    <a:stretch>
                      <a:fillRect/>
                    </a:stretch>
                  </pic:blipFill>
                  <pic:spPr>
                    <a:xfrm>
                      <a:off x="0" y="0"/>
                      <a:ext cx="5943600" cy="5151755"/>
                    </a:xfrm>
                    <a:prstGeom prst="rect">
                      <a:avLst/>
                    </a:prstGeom>
                  </pic:spPr>
                </pic:pic>
              </a:graphicData>
            </a:graphic>
          </wp:inline>
        </w:drawing>
      </w:r>
    </w:p>
    <w:p w14:paraId="0D97B99D" w14:textId="74FBBD96" w:rsidR="00E84588" w:rsidRDefault="00433A18">
      <w:pPr>
        <w:spacing w:after="280"/>
      </w:pPr>
      <w:r>
        <w:lastRenderedPageBreak/>
        <w:drawing>
          <wp:inline distT="0" distB="0" distL="0" distR="0" wp14:anchorId="78A50DE3" wp14:editId="6EC5651C">
            <wp:extent cx="5943600" cy="5943600"/>
            <wp:effectExtent l="0" t="0" r="0" b="0"/>
            <wp:docPr id="6308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08083" name=""/>
                    <pic:cNvPicPr/>
                  </pic:nvPicPr>
                  <pic:blipFill>
                    <a:blip r:embed="rId17"/>
                    <a:stretch>
                      <a:fillRect/>
                    </a:stretch>
                  </pic:blipFill>
                  <pic:spPr>
                    <a:xfrm>
                      <a:off x="0" y="0"/>
                      <a:ext cx="5943600" cy="5943600"/>
                    </a:xfrm>
                    <a:prstGeom prst="rect">
                      <a:avLst/>
                    </a:prstGeom>
                  </pic:spPr>
                </pic:pic>
              </a:graphicData>
            </a:graphic>
          </wp:inline>
        </w:drawing>
      </w:r>
    </w:p>
    <w:p w14:paraId="10B868B2" w14:textId="77777777" w:rsidR="00E84588" w:rsidRDefault="00000000">
      <w:pPr>
        <w:spacing w:after="160"/>
      </w:pPr>
      <w:r>
        <w:t>Indexing still requires a working embedding provider (SiliconFlow, OpenAI-compatible embeddings, or local Ollama) in addition to chat/extraction keys; without embeddings, document status remains incomplete even when chat completes successfully.</w:t>
      </w:r>
    </w:p>
    <w:p w14:paraId="0D953209" w14:textId="77777777" w:rsidR="00E84588" w:rsidRDefault="00000000">
      <w:pPr>
        <w:pStyle w:val="Heading1"/>
        <w:spacing w:before="240" w:after="120"/>
      </w:pPr>
      <w:r>
        <w:t>7. Conclusion and Outlook</w:t>
      </w:r>
    </w:p>
    <w:p w14:paraId="2FAD2DAE" w14:textId="77777777" w:rsidR="00E84588" w:rsidRDefault="00000000">
      <w:pPr>
        <w:spacing w:after="160"/>
      </w:pPr>
      <w:r>
        <w:t>StudyForge situates contemporary foundation models inside a retrieval discipline appropriate for education: evidence-first answering, inspectable graph structure, and workflows that reuse shared primitives across chat, visualization, and exam analytics. Continued work belongs where deployments always do—latency-aware indexing, richer evaluation harnesses tied to course outcomes, and tighter governance patterns for tenant isolation when institutions adopt the stack beyond single-subject pilots.</w:t>
      </w:r>
    </w:p>
    <w:p w14:paraId="21BE3EB6" w14:textId="77777777" w:rsidR="00E84588" w:rsidRDefault="00000000">
      <w:pPr>
        <w:pStyle w:val="Heading1"/>
        <w:spacing w:before="240" w:after="120"/>
      </w:pPr>
      <w:r>
        <w:lastRenderedPageBreak/>
        <w:t>References</w:t>
      </w:r>
    </w:p>
    <w:p w14:paraId="1A787F12" w14:textId="77777777" w:rsidR="00E84588" w:rsidRDefault="00000000">
      <w:pPr>
        <w:spacing w:after="160"/>
      </w:pPr>
      <w:r>
        <w:t>StudyForge source repository: https://github.com/arthurpanhku/studyforge</w:t>
      </w:r>
    </w:p>
    <w:p w14:paraId="1BAF9CCC" w14:textId="77777777" w:rsidR="00E84588" w:rsidRDefault="00000000">
      <w:pPr>
        <w:spacing w:after="160"/>
      </w:pPr>
      <w:r>
        <w:t>DeepSeek API documentation (OpenAI-compatible integration): https://api-docs.deepseek.com/</w:t>
      </w:r>
    </w:p>
    <w:p w14:paraId="3B1F0DFC" w14:textId="697C5FB4" w:rsidR="00E84588" w:rsidRDefault="00BA1361">
      <w:pPr>
        <w:spacing w:after="160"/>
      </w:pPr>
      <w:r>
        <w:rPr>
          <w:lang w:eastAsia="zh-CN"/>
        </w:rPr>
        <w:t xml:space="preserve">LightRAG: </w:t>
      </w:r>
      <w:r>
        <w:t>https://github.com/hkuds/lightrag</w:t>
      </w:r>
    </w:p>
    <w:sectPr w:rsidR="00E845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203584">
    <w:abstractNumId w:val="8"/>
  </w:num>
  <w:num w:numId="2" w16cid:durableId="646783531">
    <w:abstractNumId w:val="6"/>
  </w:num>
  <w:num w:numId="3" w16cid:durableId="1616981469">
    <w:abstractNumId w:val="5"/>
  </w:num>
  <w:num w:numId="4" w16cid:durableId="344669385">
    <w:abstractNumId w:val="4"/>
  </w:num>
  <w:num w:numId="5" w16cid:durableId="1245840115">
    <w:abstractNumId w:val="7"/>
  </w:num>
  <w:num w:numId="6" w16cid:durableId="106589480">
    <w:abstractNumId w:val="3"/>
  </w:num>
  <w:num w:numId="7" w16cid:durableId="1400208826">
    <w:abstractNumId w:val="2"/>
  </w:num>
  <w:num w:numId="8" w16cid:durableId="1163005759">
    <w:abstractNumId w:val="1"/>
  </w:num>
  <w:num w:numId="9" w16cid:durableId="44573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A18"/>
    <w:rsid w:val="006D763F"/>
    <w:rsid w:val="008D35C7"/>
    <w:rsid w:val="00AA1D8D"/>
    <w:rsid w:val="00B47730"/>
    <w:rsid w:val="00BA1361"/>
    <w:rsid w:val="00CB0664"/>
    <w:rsid w:val="00E845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AD482"/>
  <w14:defaultImageDpi w14:val="300"/>
  <w15:docId w15:val="{E0D324D6-1796-654E-932A-892124CD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7340</Words>
  <Characters>41840</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Chao Pan</cp:lastModifiedBy>
  <cp:revision>4</cp:revision>
  <dcterms:created xsi:type="dcterms:W3CDTF">2013-12-23T23:15:00Z</dcterms:created>
  <dcterms:modified xsi:type="dcterms:W3CDTF">2026-05-03T09:17:00Z</dcterms:modified>
  <cp:category/>
</cp:coreProperties>
</file>