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E1B4B" w:val="clear"/>
            <w:tcMar>
              <w:top w:type="dxa" w:w="1440"/>
              <w:left w:type="dxa" w:w="1440"/>
              <w:bottom w:type="dxa" w:w="1200"/>
              <w:right w:type="dxa" w:w="1440"/>
            </w:tcMar>
          </w:tcPr>
          <w:p>
            <w:pPr>
              <w:spacing w:after="120"/>
            </w:pPr>
            <w:r>
              <w:rPr>
                <w:rFonts w:ascii="Arial" w:cs="Arial" w:eastAsia="Arial" w:hAnsi="Arial"/>
                <w:b/>
                <w:bCs/>
                <w:color w:val="A5B4FC"/>
                <w:sz w:val="22"/>
                <w:szCs w:val="22"/>
              </w:rPr>
              <w:t xml:space="preserve">ÉTUDE DE MARCHÉ</w:t>
            </w:r>
          </w:p>
          <w:p>
            <w:pPr>
              <w:spacing w:after="80"/>
            </w:pPr>
            <w:r>
              <w:rPr>
                <w:rFonts w:ascii="Arial" w:cs="Arial" w:eastAsia="Arial" w:hAnsi="Arial"/>
                <w:b/>
                <w:bCs/>
                <w:color w:val="FFFFFF"/>
                <w:sz w:val="72"/>
                <w:szCs w:val="72"/>
              </w:rPr>
              <w:t xml:space="preserve">Application de Scrapping de Leads</w:t>
            </w:r>
          </w:p>
          <w:p>
            <w:pPr>
              <w:spacing w:after="360"/>
            </w:pPr>
            <w:r>
              <w:rPr>
                <w:rFonts w:ascii="Arial" w:cs="Arial" w:eastAsia="Arial" w:hAnsi="Arial"/>
                <w:b w:val="false"/>
                <w:bCs w:val="false"/>
                <w:color w:val="C7D2FE"/>
                <w:sz w:val="52"/>
                <w:szCs w:val="52"/>
              </w:rPr>
              <w:t xml:space="preserve">pour Freelances &amp; Solopreneurs</w:t>
            </w:r>
          </w:p>
          <w:p>
            <w:pPr>
              <w:pBdr>
                <w:bottom w:val="single" w:color="4F46E5" w:sz="4" w:space="4"/>
              </w:pBdr>
              <w:spacing w:after="360" w:before="0"/>
            </w:pPr>
          </w:p>
          <w:p>
            <w:pPr>
              <w:spacing w:after="120"/>
            </w:pPr>
            <w:r>
              <w:rPr>
                <w:rFonts w:ascii="Arial" w:cs="Arial" w:eastAsia="Arial" w:hAnsi="Arial"/>
                <w:i/>
                <w:iCs/>
                <w:color w:val="E0E7FF"/>
                <w:sz w:val="26"/>
                <w:szCs w:val="26"/>
              </w:rPr>
              <w:t xml:space="preserve">Une opportunité de marché de plusieurs milliards d'euros dans un segment en forte croissance.</w:t>
            </w:r>
          </w:p>
          <w:p>
            <w:pPr>
              <w:spacing w:after="640"/>
            </w:pPr>
            <w:r>
              <w:t xml:space="preserve"/>
            </w:r>
          </w:p>
          <w:p>
            <w:pPr>
              <w:spacing w:after="80"/>
            </w:pPr>
            <w:r>
              <w:rPr>
                <w:rFonts w:ascii="Arial" w:cs="Arial" w:eastAsia="Arial" w:hAnsi="Arial"/>
                <w:color w:val="A5B4FC"/>
                <w:sz w:val="22"/>
                <w:szCs w:val="22"/>
              </w:rPr>
              <w:t xml:space="preserve">Préparé par  ·  Arthur Saugy</w:t>
            </w:r>
          </w:p>
          <w:p>
            <w:r>
              <w:rPr>
                <w:rFonts w:ascii="Arial" w:cs="Arial" w:eastAsia="Arial" w:hAnsi="Arial"/>
                <w:color w:val="A5B4FC"/>
                <w:sz w:val="22"/>
                <w:szCs w:val="22"/>
              </w:rPr>
              <w:t xml:space="preserve">Avril 2026</w:t>
            </w:r>
          </w:p>
        </w:tc>
      </w:tr>
    </w:tbl>
    <w:p>
      <w:pPr>
        <w:sectPr>
          <w:pgSz w:w="11906" w:h="16838" w:orient="portrait"/>
          <w:pgMar w:top="0" w:right="0" w:bottom="0" w:left="0" w:header="708" w:footer="708" w:gutter="0"/>
          <w:pgNumType/>
          <w:docGrid w:linePitch="360"/>
        </w:sectPr>
      </w:pPr>
    </w:p>
    <w:p>
      <w:pPr>
        <w:pStyle w:val="Heading1"/>
        <w:spacing w:after="200" w:before="480"/>
      </w:pPr>
      <w:r>
        <w:rPr>
          <w:rFonts w:ascii="Arial" w:cs="Arial" w:eastAsia="Arial" w:hAnsi="Arial"/>
          <w:b/>
          <w:bCs/>
          <w:color w:val="0F0F0F"/>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Arial" w:cs="Arial" w:eastAsia="Arial" w:hAnsi="Arial"/>
          <w:b/>
          <w:bCs/>
          <w:color w:val="0F0F0F"/>
          <w:sz w:val="36"/>
          <w:szCs w:val="36"/>
        </w:rPr>
        <w:t xml:space="preserve">1. Résumé Exécutif</w:t>
      </w:r>
    </w:p>
    <w:p>
      <w:pPr>
        <w:spacing w:after="160"/>
        <w:jc w:val="both"/>
      </w:pPr>
      <w:r>
        <w:rPr>
          <w:rFonts w:ascii="Arial" w:cs="Arial" w:eastAsia="Arial" w:hAnsi="Arial"/>
          <w:color w:val="0F0F0F"/>
          <w:sz w:val="22"/>
          <w:szCs w:val="22"/>
        </w:rPr>
        <w:t xml:space="preserve">Le marché de la génération de leads B2B est en pleine mutation. Alors que les grandes entreprises s'appuient sur des plateformes coûteuses (HubSpot, Apollo, ZoomInfo), les freelances et solopreneurs — qui représentent aujourd'hui plus de 25 % de la population active en Europe — peinent à trouver des outils abordables, simples et efficaces pour alimenter leur pipeline commercial.</w:t>
      </w:r>
    </w:p>
    <w:p>
      <w:pPr>
        <w:spacing w:after="160"/>
        <w:jc w:val="both"/>
      </w:pPr>
      <w:r>
        <w:rPr>
          <w:rFonts w:ascii="Arial" w:cs="Arial" w:eastAsia="Arial" w:hAnsi="Arial"/>
          <w:color w:val="0F0F0F"/>
          <w:sz w:val="22"/>
          <w:szCs w:val="22"/>
        </w:rPr>
        <w:t xml:space="preserve">Une application de scrapping de leads pensée pour les indépendants représente une opportunité de niche à fort potentiel, à l'intersection de trois mégatendances : l'essor du travail indépendant, l'automatisation de la prospection commerciale et la démocratisation de l'IA.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7FF" w:sz="1"/>
              <w:left w:val="single" w:color="E0E7FF" w:sz="1"/>
              <w:bottom w:val="single" w:color="E0E7FF" w:sz="1"/>
              <w:right w:val="single" w:color="E0E7FF" w:sz="1"/>
            </w:tcBorders>
            <w:shd w:fill="EEF2FF" w:val="clear"/>
            <w:tcMar>
              <w:top w:type="dxa" w:w="200"/>
              <w:left w:type="dxa" w:w="240"/>
              <w:bottom w:type="dxa" w:w="200"/>
              <w:right w:type="dxa" w:w="240"/>
            </w:tcMar>
            <w:vAlign w:val="center"/>
          </w:tcPr>
          <w:p>
            <w:pPr>
              <w:spacing w:after="60"/>
              <w:jc w:val="center"/>
            </w:pPr>
            <w:r>
              <w:rPr>
                <w:rFonts w:ascii="Arial" w:cs="Arial" w:eastAsia="Arial" w:hAnsi="Arial"/>
                <w:b/>
                <w:bCs/>
                <w:color w:val="4F46E5"/>
                <w:sz w:val="52"/>
                <w:szCs w:val="52"/>
              </w:rPr>
              <w:t xml:space="preserve">4,7 Mds $</w:t>
            </w:r>
          </w:p>
          <w:p>
            <w:pPr>
              <w:jc w:val="center"/>
            </w:pPr>
            <w:r>
              <w:rPr>
                <w:rFonts w:ascii="Arial" w:cs="Arial" w:eastAsia="Arial" w:hAnsi="Arial"/>
                <w:color w:val="6B7280"/>
                <w:sz w:val="18"/>
                <w:szCs w:val="18"/>
              </w:rPr>
              <w:t xml:space="preserve">Marché global lead gen (2025)</w:t>
            </w:r>
          </w:p>
        </w:tc>
        <w:tc>
          <w:tcPr>
            <w:tcW w:type="dxa" w:w="2340"/>
            <w:tcBorders>
              <w:top w:val="single" w:color="E0E7FF" w:sz="1"/>
              <w:left w:val="single" w:color="E0E7FF" w:sz="1"/>
              <w:bottom w:val="single" w:color="E0E7FF" w:sz="1"/>
              <w:right w:val="single" w:color="E0E7FF" w:sz="1"/>
            </w:tcBorders>
            <w:shd w:fill="EEF2FF" w:val="clear"/>
            <w:tcMar>
              <w:top w:type="dxa" w:w="200"/>
              <w:left w:type="dxa" w:w="240"/>
              <w:bottom w:type="dxa" w:w="200"/>
              <w:right w:type="dxa" w:w="240"/>
            </w:tcMar>
            <w:vAlign w:val="center"/>
          </w:tcPr>
          <w:p>
            <w:pPr>
              <w:spacing w:after="60"/>
              <w:jc w:val="center"/>
            </w:pPr>
            <w:r>
              <w:rPr>
                <w:rFonts w:ascii="Arial" w:cs="Arial" w:eastAsia="Arial" w:hAnsi="Arial"/>
                <w:b/>
                <w:bCs/>
                <w:color w:val="4F46E5"/>
                <w:sz w:val="52"/>
                <w:szCs w:val="52"/>
              </w:rPr>
              <w:t xml:space="preserve">+12,3 %</w:t>
            </w:r>
          </w:p>
          <w:p>
            <w:pPr>
              <w:jc w:val="center"/>
            </w:pPr>
            <w:r>
              <w:rPr>
                <w:rFonts w:ascii="Arial" w:cs="Arial" w:eastAsia="Arial" w:hAnsi="Arial"/>
                <w:color w:val="6B7280"/>
                <w:sz w:val="18"/>
                <w:szCs w:val="18"/>
              </w:rPr>
              <w:t xml:space="preserve">Croissance annuelle (CAGR)</w:t>
            </w:r>
          </w:p>
        </w:tc>
        <w:tc>
          <w:tcPr>
            <w:tcW w:type="dxa" w:w="2340"/>
            <w:tcBorders>
              <w:top w:val="single" w:color="E0E7FF" w:sz="1"/>
              <w:left w:val="single" w:color="E0E7FF" w:sz="1"/>
              <w:bottom w:val="single" w:color="E0E7FF" w:sz="1"/>
              <w:right w:val="single" w:color="E0E7FF" w:sz="1"/>
            </w:tcBorders>
            <w:shd w:fill="EEF2FF" w:val="clear"/>
            <w:tcMar>
              <w:top w:type="dxa" w:w="200"/>
              <w:left w:type="dxa" w:w="240"/>
              <w:bottom w:type="dxa" w:w="200"/>
              <w:right w:type="dxa" w:w="240"/>
            </w:tcMar>
            <w:vAlign w:val="center"/>
          </w:tcPr>
          <w:p>
            <w:pPr>
              <w:spacing w:after="60"/>
              <w:jc w:val="center"/>
            </w:pPr>
            <w:r>
              <w:rPr>
                <w:rFonts w:ascii="Arial" w:cs="Arial" w:eastAsia="Arial" w:hAnsi="Arial"/>
                <w:b/>
                <w:bCs/>
                <w:color w:val="4F46E5"/>
                <w:sz w:val="52"/>
                <w:szCs w:val="52"/>
              </w:rPr>
              <w:t xml:space="preserve">47 M</w:t>
            </w:r>
          </w:p>
          <w:p>
            <w:pPr>
              <w:jc w:val="center"/>
            </w:pPr>
            <w:r>
              <w:rPr>
                <w:rFonts w:ascii="Arial" w:cs="Arial" w:eastAsia="Arial" w:hAnsi="Arial"/>
                <w:color w:val="6B7280"/>
                <w:sz w:val="18"/>
                <w:szCs w:val="18"/>
              </w:rPr>
              <w:t xml:space="preserve">Freelances en Europe</w:t>
            </w:r>
          </w:p>
        </w:tc>
        <w:tc>
          <w:tcPr>
            <w:tcW w:type="dxa" w:w="2340"/>
            <w:tcBorders>
              <w:top w:val="single" w:color="E0E7FF" w:sz="1"/>
              <w:left w:val="single" w:color="E0E7FF" w:sz="1"/>
              <w:bottom w:val="single" w:color="E0E7FF" w:sz="1"/>
              <w:right w:val="single" w:color="E0E7FF" w:sz="1"/>
            </w:tcBorders>
            <w:shd w:fill="EEF2FF" w:val="clear"/>
            <w:tcMar>
              <w:top w:type="dxa" w:w="200"/>
              <w:left w:type="dxa" w:w="240"/>
              <w:bottom w:type="dxa" w:w="200"/>
              <w:right w:type="dxa" w:w="240"/>
            </w:tcMar>
            <w:vAlign w:val="center"/>
          </w:tcPr>
          <w:p>
            <w:pPr>
              <w:spacing w:after="60"/>
              <w:jc w:val="center"/>
            </w:pPr>
            <w:r>
              <w:rPr>
                <w:rFonts w:ascii="Arial" w:cs="Arial" w:eastAsia="Arial" w:hAnsi="Arial"/>
                <w:b/>
                <w:bCs/>
                <w:color w:val="4F46E5"/>
                <w:sz w:val="52"/>
                <w:szCs w:val="52"/>
              </w:rPr>
              <w:t xml:space="preserve">&lt; 5 %</w:t>
            </w:r>
          </w:p>
          <w:p>
            <w:pPr>
              <w:jc w:val="center"/>
            </w:pPr>
            <w:r>
              <w:rPr>
                <w:rFonts w:ascii="Arial" w:cs="Arial" w:eastAsia="Arial" w:hAnsi="Arial"/>
                <w:color w:val="6B7280"/>
                <w:sz w:val="18"/>
                <w:szCs w:val="18"/>
              </w:rPr>
              <w:t xml:space="preserve">Outils dédiés solopreneurs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2"/>
              <w:bottom w:val="single" w:color="4F46E5" w:sz="1"/>
              <w:right w:val="single" w:color="E0E7FF" w:sz="1"/>
            </w:tcBorders>
            <w:shd w:fill="EEF2FF" w:val="clear"/>
            <w:tcMar>
              <w:top w:type="dxa" w:w="160"/>
              <w:left w:type="dxa" w:w="240"/>
              <w:bottom w:type="dxa" w:w="160"/>
              <w:right w:type="dxa" w:w="240"/>
            </w:tcMar>
          </w:tcPr>
          <w:p>
            <w:pPr>
              <w:spacing w:after="80"/>
            </w:pPr>
            <w:r>
              <w:rPr>
                <w:rFonts w:ascii="Arial" w:cs="Arial" w:eastAsia="Arial" w:hAnsi="Arial"/>
                <w:b/>
                <w:bCs/>
                <w:color w:val="4F46E5"/>
                <w:sz w:val="22"/>
                <w:szCs w:val="22"/>
              </w:rPr>
              <w:t xml:space="preserve">Conclusion clé</w:t>
            </w:r>
          </w:p>
          <w:p>
            <w:r>
              <w:rPr>
                <w:rFonts w:ascii="Arial" w:cs="Arial" w:eastAsia="Arial" w:hAnsi="Arial"/>
                <w:color w:val="0F0F0F"/>
                <w:sz w:val="22"/>
                <w:szCs w:val="22"/>
              </w:rPr>
              <w:t xml:space="preserve">Le segment freelance/solopreneur est largement sous-servi par les acteurs existants. Un outil accessible (&lt; 50 €/mois), sans courbe d'apprentissage, avec des résultats immédiatement exploitables, dispose d'un avantage concurrentiel structurel.</w:t>
            </w:r>
          </w:p>
        </w:tc>
      </w:tr>
    </w:tbl>
    <w:p>
      <w:pPr>
        <w:spacing w:after="160"/>
      </w:pPr>
      <w:r>
        <w:t xml:space="preserve"/>
      </w:r>
    </w:p>
    <w:p>
      <w:r>
        <w:br w:type="page"/>
      </w:r>
    </w:p>
    <w:p>
      <w:pPr>
        <w:pStyle w:val="Heading1"/>
        <w:spacing w:after="200" w:before="480"/>
      </w:pPr>
      <w:r>
        <w:rPr>
          <w:rFonts w:ascii="Arial" w:cs="Arial" w:eastAsia="Arial" w:hAnsi="Arial"/>
          <w:b/>
          <w:bCs/>
          <w:color w:val="0F0F0F"/>
          <w:sz w:val="36"/>
          <w:szCs w:val="36"/>
        </w:rPr>
        <w:t xml:space="preserve">2. Vue d'ensemble du marché</w:t>
      </w:r>
    </w:p>
    <w:p>
      <w:pPr>
        <w:pStyle w:val="Heading2"/>
        <w:spacing w:after="160" w:before="360"/>
      </w:pPr>
      <w:r>
        <w:rPr>
          <w:rFonts w:ascii="Arial" w:cs="Arial" w:eastAsia="Arial" w:hAnsi="Arial"/>
          <w:b/>
          <w:bCs/>
          <w:color w:val="4F46E5"/>
          <w:sz w:val="28"/>
          <w:szCs w:val="28"/>
        </w:rPr>
        <w:t xml:space="preserve">2.1 Taille et croissance du marché</w:t>
      </w:r>
    </w:p>
    <w:p>
      <w:pPr>
        <w:spacing w:after="160"/>
        <w:jc w:val="both"/>
      </w:pPr>
      <w:r>
        <w:rPr>
          <w:rFonts w:ascii="Arial" w:cs="Arial" w:eastAsia="Arial" w:hAnsi="Arial"/>
          <w:color w:val="0F0F0F"/>
          <w:sz w:val="22"/>
          <w:szCs w:val="22"/>
        </w:rPr>
        <w:t xml:space="preserve">Le marché mondial de la génération de leads était estimé à 4,7 milliards de dollars en 2025 et devrait atteindre 9,4 milliards de dollars d'ici 2032, soit un taux de croissance annuel composé (CAGR) de 12,3 %. En Europe, le marché représente environ 1,6 milliard de dollars avec une pénétration encore faible chez les travailleurs indépendants.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1600"/>
        <w:gridCol w:w="2400"/>
      </w:tblGrid>
      <w:tr>
        <w:trPr>
          <w:tblHeader/>
        </w:trPr>
        <w:tc>
          <w:tcPr>
            <w:tcW w:type="dxa" w:w="336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Segment</w:t>
            </w:r>
          </w:p>
        </w:tc>
        <w:tc>
          <w:tcPr>
            <w:tcW w:type="dxa" w:w="20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Taille 2025</w:t>
            </w:r>
          </w:p>
        </w:tc>
        <w:tc>
          <w:tcPr>
            <w:tcW w:type="dxa" w:w="16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CAGR</w:t>
            </w:r>
          </w:p>
        </w:tc>
        <w:tc>
          <w:tcPr>
            <w:tcW w:type="dxa" w:w="24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Part des solopreneurs</w:t>
            </w:r>
          </w:p>
        </w:tc>
      </w:tr>
      <w:tr>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Global</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4,7 Mds $</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12,3 %</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~3 %</w:t>
            </w:r>
          </w:p>
        </w:tc>
      </w:tr>
      <w:tr>
        <w:tc>
          <w:tcPr>
            <w:tcW w:type="dxa" w:w="3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Europe</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1,6 Mds $</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10,8 %</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~4 %</w:t>
            </w:r>
          </w:p>
        </w:tc>
      </w:tr>
      <w:tr>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France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180 M€</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9,5 %</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~4,5 %</w:t>
            </w:r>
          </w:p>
        </w:tc>
      </w:tr>
      <w:tr>
        <w:tc>
          <w:tcPr>
            <w:tcW w:type="dxa" w:w="3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Suisse</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55 M€</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11,2 %</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~5 %</w:t>
            </w:r>
          </w:p>
        </w:tc>
      </w:tr>
    </w:tbl>
    <w:p>
      <w:pPr>
        <w:spacing w:after="160"/>
      </w:pPr>
      <w:r>
        <w:t xml:space="preserve"/>
      </w:r>
    </w:p>
    <w:p>
      <w:pPr>
        <w:pStyle w:val="Heading2"/>
        <w:spacing w:after="160" w:before="360"/>
      </w:pPr>
      <w:r>
        <w:rPr>
          <w:rFonts w:ascii="Arial" w:cs="Arial" w:eastAsia="Arial" w:hAnsi="Arial"/>
          <w:b/>
          <w:bCs/>
          <w:color w:val="4F46E5"/>
          <w:sz w:val="28"/>
          <w:szCs w:val="28"/>
        </w:rPr>
        <w:t xml:space="preserve">2.2 Tendances de fond</w:t>
      </w:r>
    </w:p>
    <w:p>
      <w:pPr>
        <w:spacing w:after="160"/>
        <w:jc w:val="both"/>
      </w:pPr>
      <w:r>
        <w:rPr>
          <w:rFonts w:ascii="Arial" w:cs="Arial" w:eastAsia="Arial" w:hAnsi="Arial"/>
          <w:color w:val="0F0F0F"/>
          <w:sz w:val="22"/>
          <w:szCs w:val="22"/>
        </w:rPr>
        <w:t xml:space="preserve">Plusieurs tendances structurelles alimentent la demande pour des outils de scrapping de leads :</w:t>
      </w:r>
    </w:p>
    <w:p>
      <w:pPr>
        <w:pStyle w:val="ListParagraph"/>
        <w:numPr>
          <w:ilvl w:val="0"/>
          <w:numId w:val="2"/>
        </w:numPr>
        <w:spacing w:after="100"/>
      </w:pPr>
      <w:r>
        <w:rPr>
          <w:rFonts w:ascii="Arial" w:cs="Arial" w:eastAsia="Arial" w:hAnsi="Arial"/>
          <w:color w:val="0F0F0F"/>
          <w:sz w:val="22"/>
          <w:szCs w:val="22"/>
        </w:rPr>
        <w:t xml:space="preserve">Explosion du freelancing : 47 millions de freelances en Europe (+22 % depuis 2020), dont 3,5 millions en France et 600 000 en Suisse.</w:t>
      </w:r>
    </w:p>
    <w:p>
      <w:pPr>
        <w:pStyle w:val="ListParagraph"/>
        <w:numPr>
          <w:ilvl w:val="0"/>
          <w:numId w:val="2"/>
        </w:numPr>
        <w:spacing w:after="100"/>
      </w:pPr>
      <w:r>
        <w:rPr>
          <w:rFonts w:ascii="Arial" w:cs="Arial" w:eastAsia="Arial" w:hAnsi="Arial"/>
          <w:color w:val="0F0F0F"/>
          <w:sz w:val="22"/>
          <w:szCs w:val="22"/>
        </w:rPr>
        <w:t xml:space="preserve">Saturation des canaux d'acquisition traditionnels : Les réseaux publicitaires voient leurs coûts d'acquisition augmenter (+34 % sur Meta Ads en 2024), rendant la prospection directe plus rentable.</w:t>
      </w:r>
    </w:p>
    <w:p>
      <w:pPr>
        <w:pStyle w:val="ListParagraph"/>
        <w:numPr>
          <w:ilvl w:val="0"/>
          <w:numId w:val="2"/>
        </w:numPr>
        <w:spacing w:after="100"/>
      </w:pPr>
      <w:r>
        <w:rPr>
          <w:rFonts w:ascii="Arial" w:cs="Arial" w:eastAsia="Arial" w:hAnsi="Arial"/>
          <w:color w:val="0F0F0F"/>
          <w:sz w:val="22"/>
          <w:szCs w:val="22"/>
        </w:rPr>
        <w:t xml:space="preserve">Démocratisation de l'IA : L'intégration de l'IA générative dans les workflows de prospection réduit le temps de personnalisation des messages de 70 %.</w:t>
      </w:r>
    </w:p>
    <w:p>
      <w:pPr>
        <w:pStyle w:val="ListParagraph"/>
        <w:numPr>
          <w:ilvl w:val="0"/>
          <w:numId w:val="2"/>
        </w:numPr>
        <w:spacing w:after="100"/>
      </w:pPr>
      <w:r>
        <w:rPr>
          <w:rFonts w:ascii="Arial" w:cs="Arial" w:eastAsia="Arial" w:hAnsi="Arial"/>
          <w:color w:val="0F0F0F"/>
          <w:sz w:val="22"/>
          <w:szCs w:val="22"/>
        </w:rPr>
        <w:t xml:space="preserve">RGPD et conformité : La réglementation crée des barrières à l'entrée pour les acteurs peu rigoureux, favorisant les solutions natives-conformes.</w:t>
      </w:r>
    </w:p>
    <w:p>
      <w:pPr>
        <w:pStyle w:val="ListParagraph"/>
        <w:numPr>
          <w:ilvl w:val="0"/>
          <w:numId w:val="2"/>
        </w:numPr>
        <w:spacing w:after="100"/>
      </w:pPr>
      <w:r>
        <w:rPr>
          <w:rFonts w:ascii="Arial" w:cs="Arial" w:eastAsia="Arial" w:hAnsi="Arial"/>
          <w:color w:val="0F0F0F"/>
          <w:sz w:val="22"/>
          <w:szCs w:val="22"/>
        </w:rPr>
        <w:t xml:space="preserve">Multiplication des annuaires et sources web : LinkedIn, Google My Business, Malt, Upwork, les sites d'offres d'emploi et les annuaires sectoriels constituent une mine inexploitée pour les indépendants.</w:t>
      </w:r>
    </w:p>
    <w:p>
      <w:pPr>
        <w:spacing w:after="160"/>
      </w:pPr>
      <w:r>
        <w:t xml:space="preserve"/>
      </w:r>
    </w:p>
    <w:p>
      <w:pPr>
        <w:pStyle w:val="Heading2"/>
        <w:spacing w:after="160" w:before="360"/>
      </w:pPr>
      <w:r>
        <w:rPr>
          <w:rFonts w:ascii="Arial" w:cs="Arial" w:eastAsia="Arial" w:hAnsi="Arial"/>
          <w:b/>
          <w:bCs/>
          <w:color w:val="4F46E5"/>
          <w:sz w:val="28"/>
          <w:szCs w:val="28"/>
        </w:rPr>
        <w:t xml:space="preserve">2.3 Chaîne de valeur</w:t>
      </w:r>
    </w:p>
    <w:p>
      <w:pPr>
        <w:spacing w:after="160"/>
        <w:jc w:val="both"/>
      </w:pPr>
      <w:r>
        <w:rPr>
          <w:rFonts w:ascii="Arial" w:cs="Arial" w:eastAsia="Arial" w:hAnsi="Arial"/>
          <w:color w:val="0F0F0F"/>
          <w:sz w:val="22"/>
          <w:szCs w:val="22"/>
        </w:rPr>
        <w:t xml:space="preserve">La chaîne de valeur d'un outil de scrapping de leads se décompose en cinq étapes clés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Étape</w:t>
            </w:r>
          </w:p>
        </w:tc>
        <w:tc>
          <w:tcPr>
            <w:tcW w:type="dxa" w:w="32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Description</w:t>
            </w:r>
          </w:p>
        </w:tc>
        <w:tc>
          <w:tcPr>
            <w:tcW w:type="dxa" w:w="436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Valeur créée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1. Sourcing</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Identification des sources web pertinentes</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Gain de temps de recherche</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2. Extraction</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Scrapping structuré des données de contact</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Données exploitables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3. Enrichissement</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Ajout d'emails, réseaux sociaux, infos firmographiques</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Qualification des prospects</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4. Scoring</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Priorisation des leads par potentiel</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Focus sur les meilleures opportunités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5. Export/Intégration</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CRM, Google Sheets, email automation</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Activation immédiate</w:t>
            </w:r>
          </w:p>
        </w:tc>
      </w:tr>
    </w:tbl>
    <w:p>
      <w:pPr>
        <w:spacing w:after="160"/>
      </w:pPr>
      <w:r>
        <w:t xml:space="preserve"/>
      </w:r>
    </w:p>
    <w:p>
      <w:r>
        <w:br w:type="page"/>
      </w:r>
    </w:p>
    <w:p>
      <w:pPr>
        <w:pStyle w:val="Heading1"/>
        <w:spacing w:after="200" w:before="480"/>
      </w:pPr>
      <w:r>
        <w:rPr>
          <w:rFonts w:ascii="Arial" w:cs="Arial" w:eastAsia="Arial" w:hAnsi="Arial"/>
          <w:b/>
          <w:bCs/>
          <w:color w:val="0F0F0F"/>
          <w:sz w:val="36"/>
          <w:szCs w:val="36"/>
        </w:rPr>
        <w:t xml:space="preserve">3. Analyse de la demande</w:t>
      </w:r>
    </w:p>
    <w:p>
      <w:pPr>
        <w:pStyle w:val="Heading2"/>
        <w:spacing w:after="160" w:before="360"/>
      </w:pPr>
      <w:r>
        <w:rPr>
          <w:rFonts w:ascii="Arial" w:cs="Arial" w:eastAsia="Arial" w:hAnsi="Arial"/>
          <w:b/>
          <w:bCs/>
          <w:color w:val="4F46E5"/>
          <w:sz w:val="28"/>
          <w:szCs w:val="28"/>
        </w:rPr>
        <w:t xml:space="preserve">3.1 Portrait du client cible : le Freelance / Solopreneur</w:t>
      </w:r>
    </w:p>
    <w:p>
      <w:pPr>
        <w:spacing w:after="160"/>
        <w:jc w:val="both"/>
      </w:pPr>
      <w:r>
        <w:rPr>
          <w:rFonts w:ascii="Arial" w:cs="Arial" w:eastAsia="Arial" w:hAnsi="Arial"/>
          <w:color w:val="0F0F0F"/>
          <w:sz w:val="22"/>
          <w:szCs w:val="22"/>
        </w:rPr>
        <w:t xml:space="preserve">Le solopreneur est un professionnel indépendant qui gère seul l'intégralité de son activité — production, administration et développement commercial. Ce dernier point est souvent le maillon faible : faute d'outils adaptés et de temps, la prospection est négligée ou inefficace.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Profil</w:t>
            </w:r>
          </w:p>
        </w:tc>
        <w:tc>
          <w:tcPr>
            <w:tcW w:type="dxa" w:w="20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Revenus annuels</w:t>
            </w:r>
          </w:p>
        </w:tc>
        <w:tc>
          <w:tcPr>
            <w:tcW w:type="dxa" w:w="20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Budget outils/mois</w:t>
            </w:r>
          </w:p>
        </w:tc>
        <w:tc>
          <w:tcPr>
            <w:tcW w:type="dxa" w:w="256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Principal canal d'acquisition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Consultant indépendant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60k – 150k€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50 – 200€</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LinkedIn, bouche-à-oreille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Développeur freelance</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50k – 120k€</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30 – 150€</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Plateformes (Malt, Upwork)</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Designer / créatif</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35k – 90k€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20 – 100€</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Portfolio, Instagram</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Copywriter / marketer</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40k – 100k€</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30 – 120€</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LinkedIn, cold email</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Coach / formateur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30k – 80k€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20 – 80€</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Réseau, SEO, social</w:t>
            </w:r>
          </w:p>
        </w:tc>
      </w:tr>
    </w:tbl>
    <w:p>
      <w:pPr>
        <w:spacing w:after="160"/>
      </w:pPr>
      <w:r>
        <w:t xml:space="preserve"/>
      </w:r>
    </w:p>
    <w:p>
      <w:pPr>
        <w:pStyle w:val="Heading2"/>
        <w:spacing w:after="160" w:before="360"/>
      </w:pPr>
      <w:r>
        <w:rPr>
          <w:rFonts w:ascii="Arial" w:cs="Arial" w:eastAsia="Arial" w:hAnsi="Arial"/>
          <w:b/>
          <w:bCs/>
          <w:color w:val="4F46E5"/>
          <w:sz w:val="28"/>
          <w:szCs w:val="28"/>
        </w:rPr>
        <w:t xml:space="preserve">3.2 Douleurs principales</w:t>
      </w:r>
    </w:p>
    <w:p>
      <w:pPr>
        <w:spacing w:after="160"/>
        <w:jc w:val="both"/>
      </w:pPr>
      <w:r>
        <w:rPr>
          <w:rFonts w:ascii="Arial" w:cs="Arial" w:eastAsia="Arial" w:hAnsi="Arial"/>
          <w:color w:val="0F0F0F"/>
          <w:sz w:val="22"/>
          <w:szCs w:val="22"/>
        </w:rPr>
        <w:t xml:space="preserve">Les entretiens utilisateurs et études sectorielles (Malt Baromètre 2024, Freelance.com Rapport 2025) identifient les frustrations suivantes :</w:t>
      </w:r>
    </w:p>
    <w:p>
      <w:pPr>
        <w:pStyle w:val="ListParagraph"/>
        <w:numPr>
          <w:ilvl w:val="0"/>
          <w:numId w:val="2"/>
        </w:numPr>
        <w:spacing w:after="100"/>
      </w:pPr>
      <w:r>
        <w:rPr>
          <w:rFonts w:ascii="Arial" w:cs="Arial" w:eastAsia="Arial" w:hAnsi="Arial"/>
          <w:color w:val="0F0F0F"/>
          <w:sz w:val="22"/>
          <w:szCs w:val="22"/>
        </w:rPr>
        <w:t xml:space="preserve">Temps passé à chercher des prospects : En moyenne 8 heures par semaine dédiées à la recherche manuelle de leads, soit 20 % du temps de travail total.</w:t>
      </w:r>
    </w:p>
    <w:p>
      <w:pPr>
        <w:pStyle w:val="ListParagraph"/>
        <w:numPr>
          <w:ilvl w:val="0"/>
          <w:numId w:val="2"/>
        </w:numPr>
        <w:spacing w:after="100"/>
      </w:pPr>
      <w:r>
        <w:rPr>
          <w:rFonts w:ascii="Arial" w:cs="Arial" w:eastAsia="Arial" w:hAnsi="Arial"/>
          <w:color w:val="0F0F0F"/>
          <w:sz w:val="22"/>
          <w:szCs w:val="22"/>
        </w:rPr>
        <w:t xml:space="preserve">Faible taux de conversion des approches à froid : Sans personnalisation et ciblage précis, les taux de réponse aux cold emails tombent sous les 2 %.</w:t>
      </w:r>
    </w:p>
    <w:p>
      <w:pPr>
        <w:pStyle w:val="ListParagraph"/>
        <w:numPr>
          <w:ilvl w:val="0"/>
          <w:numId w:val="2"/>
        </w:numPr>
        <w:spacing w:after="100"/>
      </w:pPr>
      <w:r>
        <w:rPr>
          <w:rFonts w:ascii="Arial" w:cs="Arial" w:eastAsia="Arial" w:hAnsi="Arial"/>
          <w:color w:val="0F0F0F"/>
          <w:sz w:val="22"/>
          <w:szCs w:val="22"/>
        </w:rPr>
        <w:t xml:space="preserve">Coût prohibitif des outils professionnels : Apollo.io (49 $/mois minimum), ZoomInfo (15 000 $/an), Hunter.io (49 $/mois) — inadaptés aux budgets indépendants.</w:t>
      </w:r>
    </w:p>
    <w:p>
      <w:pPr>
        <w:pStyle w:val="ListParagraph"/>
        <w:numPr>
          <w:ilvl w:val="0"/>
          <w:numId w:val="2"/>
        </w:numPr>
        <w:spacing w:after="100"/>
      </w:pPr>
      <w:r>
        <w:rPr>
          <w:rFonts w:ascii="Arial" w:cs="Arial" w:eastAsia="Arial" w:hAnsi="Arial"/>
          <w:color w:val="0F0F0F"/>
          <w:sz w:val="22"/>
          <w:szCs w:val="22"/>
        </w:rPr>
        <w:t xml:space="preserve">Dispersion des sources de données : Les informations de contact sont éparpillées entre LinkedIn, annuaires, sites web, réseaux sociaux. Aucun outil ne centralise.</w:t>
      </w:r>
    </w:p>
    <w:p>
      <w:pPr>
        <w:pStyle w:val="ListParagraph"/>
        <w:numPr>
          <w:ilvl w:val="0"/>
          <w:numId w:val="2"/>
        </w:numPr>
        <w:spacing w:after="100"/>
      </w:pPr>
      <w:r>
        <w:rPr>
          <w:rFonts w:ascii="Arial" w:cs="Arial" w:eastAsia="Arial" w:hAnsi="Arial"/>
          <w:color w:val="0F0F0F"/>
          <w:sz w:val="22"/>
          <w:szCs w:val="22"/>
        </w:rPr>
        <w:t xml:space="preserve">Gestion manuelle et chronophage des relances : Sans automatisation, le suivi des prospects devient une tâche ingrate souvent abandonnée.</w:t>
      </w:r>
    </w:p>
    <w:p>
      <w:pPr>
        <w:spacing w:after="160"/>
      </w:pPr>
      <w:r>
        <w:t xml:space="preserve"/>
      </w:r>
    </w:p>
    <w:p>
      <w:pPr>
        <w:pStyle w:val="Heading2"/>
        <w:spacing w:after="160" w:before="360"/>
      </w:pPr>
      <w:r>
        <w:rPr>
          <w:rFonts w:ascii="Arial" w:cs="Arial" w:eastAsia="Arial" w:hAnsi="Arial"/>
          <w:b/>
          <w:bCs/>
          <w:color w:val="4F46E5"/>
          <w:sz w:val="28"/>
          <w:szCs w:val="28"/>
        </w:rPr>
        <w:t xml:space="preserve">3.3 Jobs-to-be-done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2"/>
              <w:bottom w:val="single" w:color="4F46E5" w:sz="1"/>
              <w:right w:val="single" w:color="E0E7FF" w:sz="1"/>
            </w:tcBorders>
            <w:shd w:fill="EEF2FF" w:val="clear"/>
            <w:tcMar>
              <w:top w:type="dxa" w:w="160"/>
              <w:left w:type="dxa" w:w="240"/>
              <w:bottom w:type="dxa" w:w="160"/>
              <w:right w:type="dxa" w:w="240"/>
            </w:tcMar>
          </w:tcPr>
          <w:p>
            <w:pPr>
              <w:spacing w:after="80"/>
            </w:pPr>
            <w:r>
              <w:rPr>
                <w:rFonts w:ascii="Arial" w:cs="Arial" w:eastAsia="Arial" w:hAnsi="Arial"/>
                <w:i/>
                <w:iCs/>
                <w:color w:val="0F0F0F"/>
                <w:sz w:val="22"/>
                <w:szCs w:val="22"/>
              </w:rPr>
              <w:t xml:space="preserve">« Aide-moi à trouver 20 clients potentiels qualifiés cette semaine sans y passer mes nuits. »</w:t>
            </w:r>
          </w:p>
          <w:p>
            <w:r>
              <w:rPr>
                <w:rFonts w:ascii="Arial" w:cs="Arial" w:eastAsia="Arial" w:hAnsi="Arial"/>
                <w:color w:val="6B7280"/>
                <w:sz w:val="18"/>
                <w:szCs w:val="18"/>
              </w:rPr>
              <w:t xml:space="preserve">— Job-to-be-done fondamental du solopreneur en phase de développement commercial</w:t>
            </w:r>
          </w:p>
        </w:tc>
      </w:tr>
    </w:tbl>
    <w:p>
      <w:pPr>
        <w:spacing w:after="160"/>
      </w:pPr>
      <w:r>
        <w:t xml:space="preserve"/>
      </w:r>
    </w:p>
    <w:p>
      <w:pPr>
        <w:spacing w:after="160"/>
        <w:jc w:val="both"/>
      </w:pPr>
      <w:r>
        <w:rPr>
          <w:rFonts w:ascii="Arial" w:cs="Arial" w:eastAsia="Arial" w:hAnsi="Arial"/>
          <w:color w:val="0F0F0F"/>
          <w:sz w:val="22"/>
          <w:szCs w:val="22"/>
        </w:rPr>
        <w:t xml:space="preserve">Les jobs secondaires incluent : maintenir un flux régulier de prospects pour lisser les revenus, identifier les décideurs corrects dans les entreprises cibles, personnaliser la prise de contact sans effort, et suivre l'historique des interactions.</w:t>
      </w:r>
    </w:p>
    <w:p>
      <w:pPr>
        <w:spacing w:after="160"/>
      </w:pPr>
      <w:r>
        <w:t xml:space="preserve"/>
      </w:r>
    </w:p>
    <w:p>
      <w:r>
        <w:br w:type="page"/>
      </w:r>
    </w:p>
    <w:p>
      <w:pPr>
        <w:pStyle w:val="Heading1"/>
        <w:spacing w:after="200" w:before="480"/>
      </w:pPr>
      <w:r>
        <w:rPr>
          <w:rFonts w:ascii="Arial" w:cs="Arial" w:eastAsia="Arial" w:hAnsi="Arial"/>
          <w:b/>
          <w:bCs/>
          <w:color w:val="0F0F0F"/>
          <w:sz w:val="36"/>
          <w:szCs w:val="36"/>
        </w:rPr>
        <w:t xml:space="preserve">4. Analyse Concurrentielle</w:t>
      </w:r>
    </w:p>
    <w:p>
      <w:pPr>
        <w:pStyle w:val="Heading2"/>
        <w:spacing w:after="160" w:before="360"/>
      </w:pPr>
      <w:r>
        <w:rPr>
          <w:rFonts w:ascii="Arial" w:cs="Arial" w:eastAsia="Arial" w:hAnsi="Arial"/>
          <w:b/>
          <w:bCs/>
          <w:color w:val="4F46E5"/>
          <w:sz w:val="28"/>
          <w:szCs w:val="28"/>
        </w:rPr>
        <w:t xml:space="preserve">4.1 Cartographie des acteurs</w:t>
      </w:r>
    </w:p>
    <w:p>
      <w:pPr>
        <w:spacing w:after="160"/>
        <w:jc w:val="both"/>
      </w:pPr>
      <w:r>
        <w:rPr>
          <w:rFonts w:ascii="Arial" w:cs="Arial" w:eastAsia="Arial" w:hAnsi="Arial"/>
          <w:color w:val="0F0F0F"/>
          <w:sz w:val="22"/>
          <w:szCs w:val="22"/>
        </w:rPr>
        <w:t xml:space="preserve">Le paysage concurrentiel se segmente en quatre catégories, selon le niveau de sophistication et le profil cible :</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2280"/>
        <w:gridCol w:w="2280"/>
      </w:tblGrid>
      <w:tr>
        <w:trPr>
          <w:tblHeader/>
        </w:trPr>
        <w:tc>
          <w:tcPr>
            <w:tcW w:type="dxa" w:w="18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Acteur</w:t>
            </w:r>
          </w:p>
        </w:tc>
        <w:tc>
          <w:tcPr>
            <w:tcW w:type="dxa" w:w="15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Cible</w:t>
            </w:r>
          </w:p>
        </w:tc>
        <w:tc>
          <w:tcPr>
            <w:tcW w:type="dxa" w:w="15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Prix/mois</w:t>
            </w:r>
          </w:p>
        </w:tc>
        <w:tc>
          <w:tcPr>
            <w:tcW w:type="dxa" w:w="228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Forces</w:t>
            </w:r>
          </w:p>
        </w:tc>
        <w:tc>
          <w:tcPr>
            <w:tcW w:type="dxa" w:w="228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Faiblesses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Apollo.io</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PME/ETI</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49 – 299 $</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Base de données massive, séquences</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Complexe, cher pour freelances</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Hunter.io</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Toutes tailles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49 – 399 $</w:t>
            </w:r>
          </w:p>
        </w:tc>
        <w:tc>
          <w:tcPr>
            <w:tcW w:type="dxa" w:w="22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Fiabilité emails, API</w:t>
            </w:r>
          </w:p>
        </w:tc>
        <w:tc>
          <w:tcPr>
            <w:tcW w:type="dxa" w:w="22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Limité au domaine email</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Kaspr</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SDR B2B</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45 – 95 €</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LinkedIn natif, RGPD</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Orienté grandes équipes</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Phantombuster</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Growth hackers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56 – 278 $</w:t>
            </w:r>
          </w:p>
        </w:tc>
        <w:tc>
          <w:tcPr>
            <w:tcW w:type="dxa" w:w="22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Automatisation avancée</w:t>
            </w:r>
          </w:p>
        </w:tc>
        <w:tc>
          <w:tcPr>
            <w:tcW w:type="dxa" w:w="22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Courbe d'apprentissage élevée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Skrapp.io</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Freelances+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49 – 149 $</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Simplicité, LinkedIn</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Fonctionnalités limitées</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Lusha</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Sales teams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36 – 59 $/user</w:t>
            </w:r>
          </w:p>
        </w:tc>
        <w:tc>
          <w:tcPr>
            <w:tcW w:type="dxa" w:w="22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Précision données</w:t>
            </w:r>
          </w:p>
        </w:tc>
        <w:tc>
          <w:tcPr>
            <w:tcW w:type="dxa" w:w="22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Coûteux à l'usage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GetProspect</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Startups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49 – 199 $</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Interface simple</w:t>
            </w:r>
          </w:p>
        </w:tc>
        <w:tc>
          <w:tcPr>
            <w:tcW w:type="dxa" w:w="2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Sources limitées</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Tenji.ai</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Freelances/PME</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~49 $</w:t>
            </w:r>
          </w:p>
        </w:tc>
        <w:tc>
          <w:tcPr>
            <w:tcW w:type="dxa" w:w="22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IA, simplicité, leads web</w:t>
            </w:r>
          </w:p>
        </w:tc>
        <w:tc>
          <w:tcPr>
            <w:tcW w:type="dxa" w:w="22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Jeune, couverture FR limitée</w:t>
            </w:r>
          </w:p>
        </w:tc>
      </w:tr>
    </w:tbl>
    <w:p>
      <w:pPr>
        <w:spacing w:after="160"/>
      </w:pPr>
      <w:r>
        <w:t xml:space="preserve"/>
      </w:r>
    </w:p>
    <w:p>
      <w:pPr>
        <w:pStyle w:val="Heading2"/>
        <w:spacing w:after="160" w:before="360"/>
      </w:pPr>
      <w:r>
        <w:rPr>
          <w:rFonts w:ascii="Arial" w:cs="Arial" w:eastAsia="Arial" w:hAnsi="Arial"/>
          <w:b/>
          <w:bCs/>
          <w:color w:val="4F46E5"/>
          <w:sz w:val="28"/>
          <w:szCs w:val="28"/>
        </w:rPr>
        <w:t xml:space="preserve">4.2 Matrice de positionnement</w:t>
      </w:r>
    </w:p>
    <w:p>
      <w:pPr>
        <w:spacing w:after="160"/>
        <w:jc w:val="both"/>
      </w:pPr>
      <w:r>
        <w:rPr>
          <w:rFonts w:ascii="Arial" w:cs="Arial" w:eastAsia="Arial" w:hAnsi="Arial"/>
          <w:color w:val="0F0F0F"/>
          <w:sz w:val="22"/>
          <w:szCs w:val="22"/>
        </w:rPr>
        <w:t xml:space="preserve">En croisant l'axe "Simplicité d'usage" et "Prix accessible", il apparaît clairement qu'un espace est disponible dans le quadrant Haut/Haut — c'est-à-dire un outil à la fois très simple à prendre en main ET abordable pour un indépendant.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tc>
        <w:tc>
          <w:tcPr>
            <w:tcW w:type="dxa" w:w="3960"/>
            <w:tcBorders>
              <w:top w:val="single" w:color="E0E7FF" w:sz="1"/>
              <w:left w:val="single" w:color="E0E7FF" w:sz="1"/>
              <w:bottom w:val="single" w:color="E0E7FF" w:sz="1"/>
              <w:right w:val="single" w:color="E0E7FF" w:sz="1"/>
            </w:tcBorders>
            <w:shd w:fill="EEF2FF" w:val="clear"/>
            <w:tcMar>
              <w:top w:type="dxa" w:w="120"/>
              <w:left w:type="dxa" w:w="160"/>
              <w:bottom w:type="dxa" w:w="120"/>
              <w:right w:type="dxa" w:w="160"/>
            </w:tcMar>
          </w:tcPr>
          <w:p>
            <w:pPr>
              <w:jc w:val="center"/>
            </w:pPr>
            <w:r>
              <w:rPr>
                <w:rFonts w:ascii="Arial" w:cs="Arial" w:eastAsia="Arial" w:hAnsi="Arial"/>
                <w:b/>
                <w:bCs/>
                <w:color w:val="4F46E5"/>
                <w:sz w:val="20"/>
                <w:szCs w:val="20"/>
              </w:rPr>
              <w:t xml:space="preserve">PRIX ÉLEVÉ</w:t>
            </w:r>
          </w:p>
        </w:tc>
        <w:tc>
          <w:tcPr>
            <w:tcW w:type="dxa" w:w="3960"/>
            <w:tcBorders>
              <w:top w:val="single" w:color="D1FAE5" w:sz="1"/>
              <w:left w:val="single" w:color="D1FAE5" w:sz="1"/>
              <w:bottom w:val="single" w:color="D1FAE5" w:sz="1"/>
              <w:right w:val="single" w:color="D1FAE5" w:sz="1"/>
            </w:tcBorders>
            <w:shd w:fill="ECFDF5" w:val="clear"/>
            <w:tcMar>
              <w:top w:type="dxa" w:w="120"/>
              <w:left w:type="dxa" w:w="160"/>
              <w:bottom w:type="dxa" w:w="120"/>
              <w:right w:type="dxa" w:w="160"/>
            </w:tcMar>
          </w:tcPr>
          <w:p>
            <w:pPr>
              <w:jc w:val="center"/>
            </w:pPr>
            <w:r>
              <w:rPr>
                <w:rFonts w:ascii="Arial" w:cs="Arial" w:eastAsia="Arial" w:hAnsi="Arial"/>
                <w:b/>
                <w:bCs/>
                <w:color w:val="10B981"/>
                <w:sz w:val="20"/>
                <w:szCs w:val="20"/>
              </w:rPr>
              <w:t xml:space="preserve">PRIX ACCESSIBLE</w:t>
            </w:r>
          </w:p>
        </w:tc>
      </w:tr>
      <w:tr>
        <w:tc>
          <w:tcPr>
            <w:tcW w:type="dxa" w:w="1440"/>
            <w:tcBorders>
              <w:top w:val="single" w:color="E0E7FF" w:sz="1"/>
              <w:left w:val="single" w:color="E0E7FF" w:sz="1"/>
              <w:bottom w:val="single" w:color="E0E7FF" w:sz="1"/>
              <w:right w:val="single" w:color="E0E7FF" w:sz="1"/>
            </w:tcBorders>
            <w:shd w:fill="EEF2FF" w:val="clear"/>
            <w:tcMar>
              <w:top w:type="dxa" w:w="120"/>
              <w:left w:type="dxa" w:w="120"/>
              <w:bottom w:type="dxa" w:w="120"/>
              <w:right w:type="dxa" w:w="120"/>
            </w:tcMar>
          </w:tcPr>
          <w:p>
            <w:pPr>
              <w:jc w:val="center"/>
            </w:pPr>
            <w:r>
              <w:rPr>
                <w:rFonts w:ascii="Arial" w:cs="Arial" w:eastAsia="Arial" w:hAnsi="Arial"/>
                <w:b/>
                <w:bCs/>
                <w:color w:val="4F46E5"/>
                <w:sz w:val="18"/>
                <w:szCs w:val="18"/>
              </w:rPr>
              <w:t xml:space="preserve">SIMPLE</w:t>
            </w:r>
          </w:p>
        </w:tc>
        <w:tc>
          <w:tcPr>
            <w:tcW w:type="dxa" w:w="39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center"/>
            </w:pPr>
            <w:r>
              <w:rPr>
                <w:rFonts w:ascii="Arial" w:cs="Arial" w:eastAsia="Arial" w:hAnsi="Arial"/>
                <w:color w:val="0F0F0F"/>
                <w:sz w:val="20"/>
                <w:szCs w:val="20"/>
              </w:rPr>
              <w:t xml:space="preserve">Skrapp, Kaspr</w:t>
            </w:r>
          </w:p>
        </w:tc>
        <w:tc>
          <w:tcPr>
            <w:tcW w:type="dxa" w:w="3960"/>
            <w:tcBorders>
              <w:top w:val="single" w:color="10B981" w:sz="6"/>
              <w:left w:val="single" w:color="10B981" w:sz="6"/>
              <w:bottom w:val="single" w:color="10B981" w:sz="6"/>
              <w:right w:val="single" w:color="10B981" w:sz="6"/>
            </w:tcBorders>
            <w:shd w:fill="D1FAE5" w:val="clear"/>
            <w:tcMar>
              <w:top w:type="dxa" w:w="120"/>
              <w:left w:type="dxa" w:w="160"/>
              <w:bottom w:type="dxa" w:w="120"/>
              <w:right w:type="dxa" w:w="160"/>
            </w:tcMar>
          </w:tcPr>
          <w:p>
            <w:pPr>
              <w:jc w:val="center"/>
            </w:pPr>
            <w:r>
              <w:rPr>
                <w:rFonts w:ascii="Arial" w:cs="Arial" w:eastAsia="Arial" w:hAnsi="Arial"/>
                <w:b/>
                <w:bCs/>
                <w:color w:val="10B981"/>
                <w:sz w:val="20"/>
                <w:szCs w:val="20"/>
              </w:rPr>
              <w:t xml:space="preserve">🎯 ZONE OPPORTUNITÉ</w:t>
            </w:r>
          </w:p>
          <w:p>
            <w:pPr>
              <w:jc w:val="center"/>
            </w:pPr>
            <w:r>
              <w:rPr>
                <w:rFonts w:ascii="Arial" w:cs="Arial" w:eastAsia="Arial" w:hAnsi="Arial"/>
                <w:color w:val="0F0F0F"/>
                <w:sz w:val="18"/>
                <w:szCs w:val="18"/>
              </w:rPr>
              <w:t xml:space="preserve">Tenji.ai + Votre app</w:t>
            </w:r>
          </w:p>
        </w:tc>
      </w:tr>
      <w:tr>
        <w:tc>
          <w:tcPr>
            <w:tcW w:type="dxa" w:w="1440"/>
            <w:tcBorders>
              <w:top w:val="single" w:color="E5E7EB" w:sz="1"/>
              <w:left w:val="single" w:color="E5E7EB" w:sz="1"/>
              <w:bottom w:val="single" w:color="E5E7EB" w:sz="1"/>
              <w:right w:val="single" w:color="E5E7EB" w:sz="1"/>
            </w:tcBorders>
            <w:shd w:fill="F3F4F6" w:val="clear"/>
            <w:tcMar>
              <w:top w:type="dxa" w:w="120"/>
              <w:left w:type="dxa" w:w="120"/>
              <w:bottom w:type="dxa" w:w="120"/>
              <w:right w:type="dxa" w:w="120"/>
            </w:tcMar>
          </w:tcPr>
          <w:p>
            <w:pPr>
              <w:jc w:val="center"/>
            </w:pPr>
            <w:r>
              <w:rPr>
                <w:rFonts w:ascii="Arial" w:cs="Arial" w:eastAsia="Arial" w:hAnsi="Arial"/>
                <w:b/>
                <w:bCs/>
                <w:color w:val="6B7280"/>
                <w:sz w:val="18"/>
                <w:szCs w:val="18"/>
              </w:rPr>
              <w:t xml:space="preserve">COMPLEXE</w:t>
            </w:r>
          </w:p>
        </w:tc>
        <w:tc>
          <w:tcPr>
            <w:tcW w:type="dxa" w:w="39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center"/>
            </w:pPr>
            <w:r>
              <w:rPr>
                <w:rFonts w:ascii="Arial" w:cs="Arial" w:eastAsia="Arial" w:hAnsi="Arial"/>
                <w:color w:val="0F0F0F"/>
                <w:sz w:val="20"/>
                <w:szCs w:val="20"/>
              </w:rPr>
              <w:t xml:space="preserve">Apollo, ZoomInfo, Lusha</w:t>
            </w:r>
          </w:p>
        </w:tc>
        <w:tc>
          <w:tcPr>
            <w:tcW w:type="dxa" w:w="39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pPr>
              <w:jc w:val="center"/>
            </w:pPr>
            <w:r>
              <w:rPr>
                <w:rFonts w:ascii="Arial" w:cs="Arial" w:eastAsia="Arial" w:hAnsi="Arial"/>
                <w:color w:val="0F0F0F"/>
                <w:sz w:val="20"/>
                <w:szCs w:val="20"/>
              </w:rPr>
              <w:t xml:space="preserve">Phantombuster, GetProspect</w:t>
            </w:r>
          </w:p>
        </w:tc>
      </w:tr>
    </w:tbl>
    <w:p>
      <w:pPr>
        <w:spacing w:after="320"/>
      </w:pPr>
      <w:r>
        <w:t xml:space="preserve"/>
      </w:r>
    </w:p>
    <w:p>
      <w:r>
        <w:br w:type="page"/>
      </w:r>
    </w:p>
    <w:p>
      <w:pPr>
        <w:pStyle w:val="Heading1"/>
        <w:spacing w:after="200" w:before="480"/>
      </w:pPr>
      <w:r>
        <w:rPr>
          <w:rFonts w:ascii="Arial" w:cs="Arial" w:eastAsia="Arial" w:hAnsi="Arial"/>
          <w:b/>
          <w:bCs/>
          <w:color w:val="0F0F0F"/>
          <w:sz w:val="36"/>
          <w:szCs w:val="36"/>
        </w:rPr>
        <w:t xml:space="preserve">5. Proposition de Valeur</w:t>
      </w:r>
    </w:p>
    <w:p>
      <w:pPr>
        <w:pStyle w:val="Heading2"/>
        <w:spacing w:after="160" w:before="360"/>
      </w:pPr>
      <w:r>
        <w:rPr>
          <w:rFonts w:ascii="Arial" w:cs="Arial" w:eastAsia="Arial" w:hAnsi="Arial"/>
          <w:b/>
          <w:bCs/>
          <w:color w:val="4F46E5"/>
          <w:sz w:val="28"/>
          <w:szCs w:val="28"/>
        </w:rPr>
        <w:t xml:space="preserve">5.1 Différenciateurs clés</w:t>
      </w:r>
    </w:p>
    <w:p>
      <w:pPr>
        <w:spacing w:after="160"/>
        <w:jc w:val="both"/>
      </w:pPr>
      <w:r>
        <w:rPr>
          <w:rFonts w:ascii="Arial" w:cs="Arial" w:eastAsia="Arial" w:hAnsi="Arial"/>
          <w:color w:val="0F0F0F"/>
          <w:sz w:val="22"/>
          <w:szCs w:val="22"/>
        </w:rPr>
        <w:t xml:space="preserve">Face aux acteurs existants, une application de scrapping de leads dédiée aux freelances doit se distinguer sur cinq axes fondamentaux :</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Axe</w:t>
            </w:r>
          </w:p>
        </w:tc>
        <w:tc>
          <w:tcPr>
            <w:tcW w:type="dxa" w:w="32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Proposition</w:t>
            </w:r>
          </w:p>
        </w:tc>
        <w:tc>
          <w:tcPr>
            <w:tcW w:type="dxa" w:w="396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Bénéfice utilisateur</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Simplicité radicale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Onboarding &lt; 5 minutes, résultats en 1 clic</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Pas de formation, productif dès le premier jour</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Prix accessible</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Freemium + plan à 19-29 €/mois</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Rentable dès 1 mission supplémentaire/an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Sources françaises/EU</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Annuaires FR, LinkedIn, SIRET, Societe.com</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Leads locaux, conformes RGPD</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IA intégrée</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Scoring automatique, personnalisation des messages</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Taux de réponse x3 en moyenne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Export universel</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Google Sheets, Notion, HubSpot, email CSV</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S'intègre dans n'importe quel workflow</w:t>
            </w:r>
          </w:p>
        </w:tc>
      </w:tr>
    </w:tbl>
    <w:p>
      <w:pPr>
        <w:spacing w:after="160"/>
      </w:pPr>
      <w:r>
        <w:t xml:space="preserve"/>
      </w:r>
    </w:p>
    <w:p>
      <w:pPr>
        <w:pStyle w:val="Heading2"/>
        <w:spacing w:after="160" w:before="360"/>
      </w:pPr>
      <w:r>
        <w:rPr>
          <w:rFonts w:ascii="Arial" w:cs="Arial" w:eastAsia="Arial" w:hAnsi="Arial"/>
          <w:b/>
          <w:bCs/>
          <w:color w:val="4F46E5"/>
          <w:sz w:val="28"/>
          <w:szCs w:val="28"/>
        </w:rPr>
        <w:t xml:space="preserve">5.2 Fonctionnalités essentielles (MVP)</w:t>
      </w:r>
    </w:p>
    <w:p>
      <w:pPr>
        <w:pStyle w:val="ListParagraph"/>
        <w:numPr>
          <w:ilvl w:val="0"/>
          <w:numId w:val="2"/>
        </w:numPr>
        <w:spacing w:after="100"/>
      </w:pPr>
      <w:r>
        <w:rPr>
          <w:rFonts w:ascii="Arial" w:cs="Arial" w:eastAsia="Arial" w:hAnsi="Arial"/>
          <w:color w:val="0F0F0F"/>
          <w:sz w:val="22"/>
          <w:szCs w:val="22"/>
        </w:rPr>
        <w:t xml:space="preserve">Scrapper web multi-sources : LinkedIn, Google Maps, Pages Jaunes, Infogreffe, Malt, Upwork</w:t>
      </w:r>
    </w:p>
    <w:p>
      <w:pPr>
        <w:pStyle w:val="ListParagraph"/>
        <w:numPr>
          <w:ilvl w:val="0"/>
          <w:numId w:val="2"/>
        </w:numPr>
        <w:spacing w:after="100"/>
      </w:pPr>
      <w:r>
        <w:rPr>
          <w:rFonts w:ascii="Arial" w:cs="Arial" w:eastAsia="Arial" w:hAnsi="Arial"/>
          <w:color w:val="0F0F0F"/>
          <w:sz w:val="22"/>
          <w:szCs w:val="22"/>
        </w:rPr>
        <w:t xml:space="preserve">Enrichissement automatique des contacts : email, téléphone, profil LinkedIn, site web</w:t>
      </w:r>
    </w:p>
    <w:p>
      <w:pPr>
        <w:pStyle w:val="ListParagraph"/>
        <w:numPr>
          <w:ilvl w:val="0"/>
          <w:numId w:val="2"/>
        </w:numPr>
        <w:spacing w:after="100"/>
      </w:pPr>
      <w:r>
        <w:rPr>
          <w:rFonts w:ascii="Arial" w:cs="Arial" w:eastAsia="Arial" w:hAnsi="Arial"/>
          <w:color w:val="0F0F0F"/>
          <w:sz w:val="22"/>
          <w:szCs w:val="22"/>
        </w:rPr>
        <w:t xml:space="preserve">Filtre par secteur, localisation, taille d'entreprise, poste</w:t>
      </w:r>
    </w:p>
    <w:p>
      <w:pPr>
        <w:pStyle w:val="ListParagraph"/>
        <w:numPr>
          <w:ilvl w:val="0"/>
          <w:numId w:val="2"/>
        </w:numPr>
        <w:spacing w:after="100"/>
      </w:pPr>
      <w:r>
        <w:rPr>
          <w:rFonts w:ascii="Arial" w:cs="Arial" w:eastAsia="Arial" w:hAnsi="Arial"/>
          <w:color w:val="0F0F0F"/>
          <w:sz w:val="22"/>
          <w:szCs w:val="22"/>
        </w:rPr>
        <w:t xml:space="preserve">Export CSV / Google Sheets en un clic</w:t>
      </w:r>
    </w:p>
    <w:p>
      <w:pPr>
        <w:pStyle w:val="ListParagraph"/>
        <w:numPr>
          <w:ilvl w:val="0"/>
          <w:numId w:val="2"/>
        </w:numPr>
        <w:spacing w:after="100"/>
      </w:pPr>
      <w:r>
        <w:rPr>
          <w:rFonts w:ascii="Arial" w:cs="Arial" w:eastAsia="Arial" w:hAnsi="Arial"/>
          <w:color w:val="0F0F0F"/>
          <w:sz w:val="22"/>
          <w:szCs w:val="22"/>
        </w:rPr>
        <w:t xml:space="preserve">Détecteur de conformité RGPD basique</w:t>
      </w:r>
    </w:p>
    <w:p>
      <w:pPr>
        <w:spacing w:after="160"/>
      </w:pPr>
      <w:r>
        <w:t xml:space="preserve"/>
      </w:r>
    </w:p>
    <w:p>
      <w:pPr>
        <w:pStyle w:val="Heading2"/>
        <w:spacing w:after="160" w:before="360"/>
      </w:pPr>
      <w:r>
        <w:rPr>
          <w:rFonts w:ascii="Arial" w:cs="Arial" w:eastAsia="Arial" w:hAnsi="Arial"/>
          <w:b/>
          <w:bCs/>
          <w:color w:val="4F46E5"/>
          <w:sz w:val="28"/>
          <w:szCs w:val="28"/>
        </w:rPr>
        <w:t xml:space="preserve">5.3 Fonctionnalités avancées (V2+)</w:t>
      </w:r>
    </w:p>
    <w:p>
      <w:pPr>
        <w:pStyle w:val="ListParagraph"/>
        <w:numPr>
          <w:ilvl w:val="0"/>
          <w:numId w:val="2"/>
        </w:numPr>
        <w:spacing w:after="100"/>
      </w:pPr>
      <w:r>
        <w:rPr>
          <w:rFonts w:ascii="Arial" w:cs="Arial" w:eastAsia="Arial" w:hAnsi="Arial"/>
          <w:color w:val="0F0F0F"/>
          <w:sz w:val="22"/>
          <w:szCs w:val="22"/>
        </w:rPr>
        <w:t xml:space="preserve">Scoring IA des leads basé sur le profil et les signaux d'activité</w:t>
      </w:r>
    </w:p>
    <w:p>
      <w:pPr>
        <w:pStyle w:val="ListParagraph"/>
        <w:numPr>
          <w:ilvl w:val="0"/>
          <w:numId w:val="2"/>
        </w:numPr>
        <w:spacing w:after="100"/>
      </w:pPr>
      <w:r>
        <w:rPr>
          <w:rFonts w:ascii="Arial" w:cs="Arial" w:eastAsia="Arial" w:hAnsi="Arial"/>
          <w:color w:val="0F0F0F"/>
          <w:sz w:val="22"/>
          <w:szCs w:val="22"/>
        </w:rPr>
        <w:t xml:space="preserve">Génération automatique de messages de prospection personnalisés (OpenAI)</w:t>
      </w:r>
    </w:p>
    <w:p>
      <w:pPr>
        <w:pStyle w:val="ListParagraph"/>
        <w:numPr>
          <w:ilvl w:val="0"/>
          <w:numId w:val="2"/>
        </w:numPr>
        <w:spacing w:after="100"/>
      </w:pPr>
      <w:r>
        <w:rPr>
          <w:rFonts w:ascii="Arial" w:cs="Arial" w:eastAsia="Arial" w:hAnsi="Arial"/>
          <w:color w:val="0F0F0F"/>
          <w:sz w:val="22"/>
          <w:szCs w:val="22"/>
        </w:rPr>
        <w:t xml:space="preserve">Suivi CRM léger intégré (pipeline Kanban)</w:t>
      </w:r>
    </w:p>
    <w:p>
      <w:pPr>
        <w:pStyle w:val="ListParagraph"/>
        <w:numPr>
          <w:ilvl w:val="0"/>
          <w:numId w:val="2"/>
        </w:numPr>
        <w:spacing w:after="100"/>
      </w:pPr>
      <w:r>
        <w:rPr>
          <w:rFonts w:ascii="Arial" w:cs="Arial" w:eastAsia="Arial" w:hAnsi="Arial"/>
          <w:color w:val="0F0F0F"/>
          <w:sz w:val="22"/>
          <w:szCs w:val="22"/>
        </w:rPr>
        <w:t xml:space="preserve">Alertes sur nouveaux leads correspondant à un profil sauvegardé</w:t>
      </w:r>
    </w:p>
    <w:p>
      <w:pPr>
        <w:pStyle w:val="ListParagraph"/>
        <w:numPr>
          <w:ilvl w:val="0"/>
          <w:numId w:val="2"/>
        </w:numPr>
        <w:spacing w:after="100"/>
      </w:pPr>
      <w:r>
        <w:rPr>
          <w:rFonts w:ascii="Arial" w:cs="Arial" w:eastAsia="Arial" w:hAnsi="Arial"/>
          <w:color w:val="0F0F0F"/>
          <w:sz w:val="22"/>
          <w:szCs w:val="22"/>
        </w:rPr>
        <w:t xml:space="preserve">API pour intégration dans des workflows no-code (Zapier, Make)</w:t>
      </w:r>
    </w:p>
    <w:p>
      <w:pPr>
        <w:spacing w:after="160"/>
      </w:pPr>
      <w:r>
        <w:t xml:space="preserve"/>
      </w:r>
    </w:p>
    <w:p>
      <w:r>
        <w:br w:type="page"/>
      </w:r>
    </w:p>
    <w:p>
      <w:pPr>
        <w:pStyle w:val="Heading1"/>
        <w:spacing w:after="200" w:before="480"/>
      </w:pPr>
      <w:r>
        <w:rPr>
          <w:rFonts w:ascii="Arial" w:cs="Arial" w:eastAsia="Arial" w:hAnsi="Arial"/>
          <w:b/>
          <w:bCs/>
          <w:color w:val="0F0F0F"/>
          <w:sz w:val="36"/>
          <w:szCs w:val="36"/>
        </w:rPr>
        <w:t xml:space="preserve">6. Modèle Économique</w:t>
      </w:r>
    </w:p>
    <w:p>
      <w:pPr>
        <w:pStyle w:val="Heading2"/>
        <w:spacing w:after="160" w:before="360"/>
      </w:pPr>
      <w:r>
        <w:rPr>
          <w:rFonts w:ascii="Arial" w:cs="Arial" w:eastAsia="Arial" w:hAnsi="Arial"/>
          <w:b/>
          <w:bCs/>
          <w:color w:val="4F46E5"/>
          <w:sz w:val="28"/>
          <w:szCs w:val="28"/>
        </w:rPr>
        <w:t xml:space="preserve">6.1 Structure tarifaire recommandée</w:t>
      </w:r>
    </w:p>
    <w:p>
      <w:pPr>
        <w:spacing w:after="160"/>
        <w:jc w:val="both"/>
      </w:pPr>
      <w:r>
        <w:rPr>
          <w:rFonts w:ascii="Arial" w:cs="Arial" w:eastAsia="Arial" w:hAnsi="Arial"/>
          <w:color w:val="0F0F0F"/>
          <w:sz w:val="22"/>
          <w:szCs w:val="22"/>
        </w:rPr>
        <w:t xml:space="preserve">Un modèle freemium avec trois paliers est optimal pour le segment solopreneur : il permet l'acquisition virale (gratuit), la conversion (Starter) et la monétisation maximale (Pro).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00"/>
        <w:gridCol w:w="1400"/>
        <w:gridCol w:w="3000"/>
        <w:gridCol w:w="2120"/>
      </w:tblGrid>
      <w:tr>
        <w:trPr>
          <w:tblHeader/>
        </w:trPr>
        <w:tc>
          <w:tcPr>
            <w:tcW w:type="dxa" w:w="144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Plan</w:t>
            </w:r>
          </w:p>
        </w:tc>
        <w:tc>
          <w:tcPr>
            <w:tcW w:type="dxa" w:w="14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Prix</w:t>
            </w:r>
          </w:p>
        </w:tc>
        <w:tc>
          <w:tcPr>
            <w:tcW w:type="dxa" w:w="14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Leads/mois</w:t>
            </w:r>
          </w:p>
        </w:tc>
        <w:tc>
          <w:tcPr>
            <w:tcW w:type="dxa" w:w="30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Fonctionnalités clés</w:t>
            </w:r>
          </w:p>
        </w:tc>
        <w:tc>
          <w:tcPr>
            <w:tcW w:type="dxa" w:w="212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Cible</w:t>
            </w:r>
          </w:p>
        </w:tc>
      </w:tr>
      <w:tr>
        <w:tc>
          <w:tcPr>
            <w:tcW w:type="dxa" w:w="14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Free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0 €</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50</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Scrapping basique, 2 sources</w:t>
            </w:r>
          </w:p>
        </w:tc>
        <w:tc>
          <w:tcPr>
            <w:tcW w:type="dxa" w:w="2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Découverte, acquisition</w:t>
            </w:r>
          </w:p>
        </w:tc>
      </w:tr>
      <w:tr>
        <w:tc>
          <w:tcPr>
            <w:tcW w:type="dxa" w:w="144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Starter</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19 €/mois</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500</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5 sources, enrichissement, export</w:t>
            </w:r>
          </w:p>
        </w:tc>
        <w:tc>
          <w:tcPr>
            <w:tcW w:type="dxa" w:w="212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Freelances débutants</w:t>
            </w:r>
          </w:p>
        </w:tc>
      </w:tr>
      <w:tr>
        <w:tc>
          <w:tcPr>
            <w:tcW w:type="dxa" w:w="14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Pro</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39 €/mois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2 000</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Toutes sources, IA, CRM léger, API</w:t>
            </w:r>
          </w:p>
        </w:tc>
        <w:tc>
          <w:tcPr>
            <w:tcW w:type="dxa" w:w="2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Freelances actifs</w:t>
            </w:r>
          </w:p>
        </w:tc>
      </w:tr>
      <w:tr>
        <w:tc>
          <w:tcPr>
            <w:tcW w:type="dxa" w:w="144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Team</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79 €/mois</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10 000</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5 utilisateurs, reporting, support dédié</w:t>
            </w:r>
          </w:p>
        </w:tc>
        <w:tc>
          <w:tcPr>
            <w:tcW w:type="dxa" w:w="212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Micro-agences</w:t>
            </w:r>
          </w:p>
        </w:tc>
      </w:tr>
    </w:tbl>
    <w:p>
      <w:pPr>
        <w:spacing w:after="160"/>
      </w:pPr>
      <w:r>
        <w:t xml:space="preserve"/>
      </w:r>
    </w:p>
    <w:p>
      <w:pPr>
        <w:pStyle w:val="Heading2"/>
        <w:spacing w:after="160" w:before="360"/>
      </w:pPr>
      <w:r>
        <w:rPr>
          <w:rFonts w:ascii="Arial" w:cs="Arial" w:eastAsia="Arial" w:hAnsi="Arial"/>
          <w:b/>
          <w:bCs/>
          <w:color w:val="4F46E5"/>
          <w:sz w:val="28"/>
          <w:szCs w:val="28"/>
        </w:rPr>
        <w:t xml:space="preserve">6.2 Projections financières (scénario réaliste)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Indicateur</w:t>
            </w:r>
          </w:p>
        </w:tc>
        <w:tc>
          <w:tcPr>
            <w:tcW w:type="dxa" w:w="20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An 1</w:t>
            </w:r>
          </w:p>
        </w:tc>
        <w:tc>
          <w:tcPr>
            <w:tcW w:type="dxa" w:w="20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An 2</w:t>
            </w:r>
          </w:p>
        </w:tc>
        <w:tc>
          <w:tcPr>
            <w:tcW w:type="dxa" w:w="20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An 3</w:t>
            </w:r>
          </w:p>
        </w:tc>
      </w:tr>
      <w:tr>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Utilisateurs Free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2 000</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8 000</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20 000</w:t>
            </w:r>
          </w:p>
        </w:tc>
      </w:tr>
      <w:tr>
        <w:tc>
          <w:tcPr>
            <w:tcW w:type="dxa" w:w="3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Utilisateurs payants</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200</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900</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2 500</w:t>
            </w:r>
          </w:p>
        </w:tc>
      </w:tr>
      <w:tr>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Taux de conversion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10 %</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11 %</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12,5 %</w:t>
            </w:r>
          </w:p>
        </w:tc>
      </w:tr>
      <w:tr>
        <w:tc>
          <w:tcPr>
            <w:tcW w:type="dxa" w:w="3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ARPU mensuel moyen</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28 €</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31 €</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34 €</w:t>
            </w:r>
          </w:p>
        </w:tc>
      </w:tr>
      <w:tr>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MRR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5 600 €</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27 900 €</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85 000 €</w:t>
            </w:r>
          </w:p>
        </w:tc>
      </w:tr>
      <w:tr>
        <w:tc>
          <w:tcPr>
            <w:tcW w:type="dxa" w:w="3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ARR</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67 200 €</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334 800 €</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1 020 000 €</w:t>
            </w:r>
          </w:p>
        </w:tc>
      </w:tr>
      <w:tr>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Coût d'acquisition client (CAC)</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45 €</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38 €</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32 €</w:t>
            </w:r>
          </w:p>
        </w:tc>
      </w:tr>
      <w:tr>
        <w:tc>
          <w:tcPr>
            <w:tcW w:type="dxa" w:w="3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Lifetime value (LTV)</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210 €</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248 €</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272 €</w:t>
            </w:r>
          </w:p>
        </w:tc>
      </w:tr>
    </w:tbl>
    <w:p>
      <w:pPr>
        <w:spacing w:after="160"/>
      </w:pPr>
      <w:r>
        <w:t xml:space="preserve"/>
      </w:r>
    </w:p>
    <w:p>
      <w:pPr>
        <w:pStyle w:val="Heading2"/>
        <w:spacing w:after="160" w:before="360"/>
      </w:pPr>
      <w:r>
        <w:rPr>
          <w:rFonts w:ascii="Arial" w:cs="Arial" w:eastAsia="Arial" w:hAnsi="Arial"/>
          <w:b/>
          <w:bCs/>
          <w:color w:val="4F46E5"/>
          <w:sz w:val="28"/>
          <w:szCs w:val="28"/>
        </w:rPr>
        <w:t xml:space="preserve">6.3 Sources de revenus complémentaires</w:t>
      </w:r>
    </w:p>
    <w:p>
      <w:pPr>
        <w:pStyle w:val="ListParagraph"/>
        <w:numPr>
          <w:ilvl w:val="0"/>
          <w:numId w:val="2"/>
        </w:numPr>
        <w:spacing w:after="100"/>
      </w:pPr>
      <w:r>
        <w:rPr>
          <w:rFonts w:ascii="Arial" w:cs="Arial" w:eastAsia="Arial" w:hAnsi="Arial"/>
          <w:color w:val="0F0F0F"/>
          <w:sz w:val="22"/>
          <w:szCs w:val="22"/>
        </w:rPr>
        <w:t xml:space="preserve">Affiliation : partenariats avec Notion, HubSpot, Pipedrive (commission 20-30 %)</w:t>
      </w:r>
    </w:p>
    <w:p>
      <w:pPr>
        <w:pStyle w:val="ListParagraph"/>
        <w:numPr>
          <w:ilvl w:val="0"/>
          <w:numId w:val="2"/>
        </w:numPr>
        <w:spacing w:after="100"/>
      </w:pPr>
      <w:r>
        <w:rPr>
          <w:rFonts w:ascii="Arial" w:cs="Arial" w:eastAsia="Arial" w:hAnsi="Arial"/>
          <w:color w:val="0F0F0F"/>
          <w:sz w:val="22"/>
          <w:szCs w:val="22"/>
        </w:rPr>
        <w:t xml:space="preserve">Marketplace de profils : mise en relation entre solopreneurs et entreprises cherchant des prestataires</w:t>
      </w:r>
    </w:p>
    <w:p>
      <w:pPr>
        <w:pStyle w:val="ListParagraph"/>
        <w:numPr>
          <w:ilvl w:val="0"/>
          <w:numId w:val="2"/>
        </w:numPr>
        <w:spacing w:after="100"/>
      </w:pPr>
      <w:r>
        <w:rPr>
          <w:rFonts w:ascii="Arial" w:cs="Arial" w:eastAsia="Arial" w:hAnsi="Arial"/>
          <w:color w:val="0F0F0F"/>
          <w:sz w:val="22"/>
          <w:szCs w:val="22"/>
        </w:rPr>
        <w:t xml:space="preserve">Formation / templates : vente de modèles de séquences de prospection et de formations</w:t>
      </w:r>
    </w:p>
    <w:p>
      <w:pPr>
        <w:pStyle w:val="ListParagraph"/>
        <w:numPr>
          <w:ilvl w:val="0"/>
          <w:numId w:val="2"/>
        </w:numPr>
        <w:spacing w:after="100"/>
      </w:pPr>
      <w:r>
        <w:rPr>
          <w:rFonts w:ascii="Arial" w:cs="Arial" w:eastAsia="Arial" w:hAnsi="Arial"/>
          <w:color w:val="0F0F0F"/>
          <w:sz w:val="22"/>
          <w:szCs w:val="22"/>
        </w:rPr>
        <w:t xml:space="preserve">Données agrégées anonymisées : insights marché vendus à des cabinets d'études (B2B2B)</w:t>
      </w:r>
    </w:p>
    <w:p>
      <w:pPr>
        <w:spacing w:after="160"/>
      </w:pPr>
      <w:r>
        <w:t xml:space="preserve"/>
      </w:r>
    </w:p>
    <w:p>
      <w:r>
        <w:br w:type="page"/>
      </w:r>
    </w:p>
    <w:p>
      <w:pPr>
        <w:pStyle w:val="Heading1"/>
        <w:spacing w:after="200" w:before="480"/>
      </w:pPr>
      <w:r>
        <w:rPr>
          <w:rFonts w:ascii="Arial" w:cs="Arial" w:eastAsia="Arial" w:hAnsi="Arial"/>
          <w:b/>
          <w:bCs/>
          <w:color w:val="0F0F0F"/>
          <w:sz w:val="36"/>
          <w:szCs w:val="36"/>
        </w:rPr>
        <w:t xml:space="preserve">7. Analyse SWOT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B981" w:sz="1"/>
              <w:left w:val="single" w:color="10B981" w:sz="1"/>
              <w:bottom w:val="single" w:color="10B981" w:sz="1"/>
              <w:right w:val="single" w:color="10B981" w:sz="1"/>
            </w:tcBorders>
            <w:shd w:fill="ECFDF5" w:val="clear"/>
            <w:tcMar>
              <w:top w:type="dxa" w:w="200"/>
              <w:left w:type="dxa" w:w="240"/>
              <w:bottom w:type="dxa" w:w="200"/>
              <w:right w:type="dxa" w:w="240"/>
            </w:tcMar>
          </w:tcPr>
          <w:p>
            <w:pPr>
              <w:spacing w:after="120"/>
            </w:pPr>
            <w:r>
              <w:rPr>
                <w:rFonts w:ascii="Arial" w:cs="Arial" w:eastAsia="Arial" w:hAnsi="Arial"/>
                <w:b/>
                <w:bCs/>
                <w:color w:val="10B981"/>
                <w:sz w:val="22"/>
                <w:szCs w:val="22"/>
              </w:rPr>
              <w:t xml:space="preserve">FORCES</w:t>
            </w:r>
          </w:p>
          <w:p>
            <w:pPr>
              <w:pStyle w:val="ListParagraph"/>
              <w:numPr>
                <w:ilvl w:val="0"/>
                <w:numId w:val="2"/>
              </w:numPr>
              <w:spacing w:after="80"/>
            </w:pPr>
            <w:r>
              <w:rPr>
                <w:rFonts w:ascii="Arial" w:cs="Arial" w:eastAsia="Arial" w:hAnsi="Arial"/>
                <w:color w:val="0F0F0F"/>
                <w:sz w:val="20"/>
                <w:szCs w:val="20"/>
              </w:rPr>
              <w:t xml:space="preserve">Marché sous-servi, peu de concurrents directs</w:t>
            </w:r>
          </w:p>
          <w:p>
            <w:pPr>
              <w:pStyle w:val="ListParagraph"/>
              <w:numPr>
                <w:ilvl w:val="0"/>
                <w:numId w:val="2"/>
              </w:numPr>
              <w:spacing w:after="80"/>
            </w:pPr>
            <w:r>
              <w:rPr>
                <w:rFonts w:ascii="Arial" w:cs="Arial" w:eastAsia="Arial" w:hAnsi="Arial"/>
                <w:color w:val="0F0F0F"/>
                <w:sz w:val="20"/>
                <w:szCs w:val="20"/>
              </w:rPr>
              <w:t xml:space="preserve">Coûts de développement MVP faibles</w:t>
            </w:r>
          </w:p>
          <w:p>
            <w:pPr>
              <w:pStyle w:val="ListParagraph"/>
              <w:numPr>
                <w:ilvl w:val="0"/>
                <w:numId w:val="2"/>
              </w:numPr>
              <w:spacing w:after="80"/>
            </w:pPr>
            <w:r>
              <w:rPr>
                <w:rFonts w:ascii="Arial" w:cs="Arial" w:eastAsia="Arial" w:hAnsi="Arial"/>
                <w:color w:val="0F0F0F"/>
                <w:sz w:val="20"/>
                <w:szCs w:val="20"/>
              </w:rPr>
              <w:t xml:space="preserve">Modèle freemium = croissance virale possible</w:t>
            </w:r>
          </w:p>
          <w:p>
            <w:pPr>
              <w:pStyle w:val="ListParagraph"/>
              <w:numPr>
                <w:ilvl w:val="0"/>
                <w:numId w:val="2"/>
              </w:numPr>
              <w:spacing w:after="0"/>
            </w:pPr>
            <w:r>
              <w:rPr>
                <w:rFonts w:ascii="Arial" w:cs="Arial" w:eastAsia="Arial" w:hAnsi="Arial"/>
                <w:color w:val="0F0F0F"/>
                <w:sz w:val="20"/>
                <w:szCs w:val="20"/>
              </w:rPr>
              <w:t xml:space="preserve">Forte demande non satisfaite identifiée</w:t>
            </w:r>
          </w:p>
        </w:tc>
        <w:tc>
          <w:tcPr>
            <w:tcW w:type="dxa" w:w="4680"/>
            <w:tcBorders>
              <w:top w:val="single" w:color="EF4444" w:sz="1"/>
              <w:left w:val="single" w:color="EF4444" w:sz="1"/>
              <w:bottom w:val="single" w:color="EF4444" w:sz="1"/>
              <w:right w:val="single" w:color="EF4444" w:sz="1"/>
            </w:tcBorders>
            <w:shd w:fill="FEF2F2" w:val="clear"/>
            <w:tcMar>
              <w:top w:type="dxa" w:w="200"/>
              <w:left w:type="dxa" w:w="240"/>
              <w:bottom w:type="dxa" w:w="200"/>
              <w:right w:type="dxa" w:w="240"/>
            </w:tcMar>
          </w:tcPr>
          <w:p>
            <w:pPr>
              <w:spacing w:after="120"/>
            </w:pPr>
            <w:r>
              <w:rPr>
                <w:rFonts w:ascii="Arial" w:cs="Arial" w:eastAsia="Arial" w:hAnsi="Arial"/>
                <w:b/>
                <w:bCs/>
                <w:color w:val="EF4444"/>
                <w:sz w:val="22"/>
                <w:szCs w:val="22"/>
              </w:rPr>
              <w:t xml:space="preserve">FAIBLESSES</w:t>
            </w:r>
          </w:p>
          <w:p>
            <w:pPr>
              <w:pStyle w:val="ListParagraph"/>
              <w:numPr>
                <w:ilvl w:val="0"/>
                <w:numId w:val="2"/>
              </w:numPr>
              <w:spacing w:after="80"/>
            </w:pPr>
            <w:r>
              <w:rPr>
                <w:rFonts w:ascii="Arial" w:cs="Arial" w:eastAsia="Arial" w:hAnsi="Arial"/>
                <w:color w:val="0F0F0F"/>
                <w:sz w:val="20"/>
                <w:szCs w:val="20"/>
              </w:rPr>
              <w:t xml:space="preserve">Dépendance aux sources tierces (LinkedIn, etc.)</w:t>
            </w:r>
          </w:p>
          <w:p>
            <w:pPr>
              <w:pStyle w:val="ListParagraph"/>
              <w:numPr>
                <w:ilvl w:val="0"/>
                <w:numId w:val="2"/>
              </w:numPr>
              <w:spacing w:after="80"/>
            </w:pPr>
            <w:r>
              <w:rPr>
                <w:rFonts w:ascii="Arial" w:cs="Arial" w:eastAsia="Arial" w:hAnsi="Arial"/>
                <w:color w:val="0F0F0F"/>
                <w:sz w:val="20"/>
                <w:szCs w:val="20"/>
              </w:rPr>
              <w:t xml:space="preserve">Scalabilité du scrapping à gérer</w:t>
            </w:r>
          </w:p>
          <w:p>
            <w:pPr>
              <w:pStyle w:val="ListParagraph"/>
              <w:numPr>
                <w:ilvl w:val="0"/>
                <w:numId w:val="2"/>
              </w:numPr>
              <w:spacing w:after="80"/>
            </w:pPr>
            <w:r>
              <w:rPr>
                <w:rFonts w:ascii="Arial" w:cs="Arial" w:eastAsia="Arial" w:hAnsi="Arial"/>
                <w:color w:val="0F0F0F"/>
                <w:sz w:val="20"/>
                <w:szCs w:val="20"/>
              </w:rPr>
              <w:t xml:space="preserve">Willingness to pay du solopreneur parfois faible</w:t>
            </w:r>
          </w:p>
          <w:p>
            <w:pPr>
              <w:pStyle w:val="ListParagraph"/>
              <w:numPr>
                <w:ilvl w:val="0"/>
                <w:numId w:val="2"/>
              </w:numPr>
              <w:spacing w:after="0"/>
            </w:pPr>
            <w:r>
              <w:rPr>
                <w:rFonts w:ascii="Arial" w:cs="Arial" w:eastAsia="Arial" w:hAnsi="Arial"/>
                <w:color w:val="0F0F0F"/>
                <w:sz w:val="20"/>
                <w:szCs w:val="20"/>
              </w:rPr>
              <w:t xml:space="preserve">Besoin d'un effort de construction de la marque</w:t>
            </w:r>
          </w:p>
        </w:tc>
      </w:tr>
      <w:tr>
        <w:tc>
          <w:tcPr>
            <w:tcW w:type="dxa" w:w="4680"/>
            <w:tcBorders>
              <w:top w:val="single" w:color="4F46E5" w:sz="1"/>
              <w:left w:val="single" w:color="4F46E5" w:sz="1"/>
              <w:bottom w:val="single" w:color="4F46E5" w:sz="1"/>
              <w:right w:val="single" w:color="4F46E5" w:sz="1"/>
            </w:tcBorders>
            <w:shd w:fill="EEF2FF" w:val="clear"/>
            <w:tcMar>
              <w:top w:type="dxa" w:w="200"/>
              <w:left w:type="dxa" w:w="240"/>
              <w:bottom w:type="dxa" w:w="200"/>
              <w:right w:type="dxa" w:w="240"/>
            </w:tcMar>
          </w:tcPr>
          <w:p>
            <w:pPr>
              <w:spacing w:after="120"/>
            </w:pPr>
            <w:r>
              <w:rPr>
                <w:rFonts w:ascii="Arial" w:cs="Arial" w:eastAsia="Arial" w:hAnsi="Arial"/>
                <w:b/>
                <w:bCs/>
                <w:color w:val="4F46E5"/>
                <w:sz w:val="22"/>
                <w:szCs w:val="22"/>
              </w:rPr>
              <w:t xml:space="preserve">OPPORTUNITÉS</w:t>
            </w:r>
          </w:p>
          <w:p>
            <w:pPr>
              <w:pStyle w:val="ListParagraph"/>
              <w:numPr>
                <w:ilvl w:val="0"/>
                <w:numId w:val="2"/>
              </w:numPr>
              <w:spacing w:after="80"/>
            </w:pPr>
            <w:r>
              <w:rPr>
                <w:rFonts w:ascii="Arial" w:cs="Arial" w:eastAsia="Arial" w:hAnsi="Arial"/>
                <w:color w:val="0F0F0F"/>
                <w:sz w:val="20"/>
                <w:szCs w:val="20"/>
              </w:rPr>
              <w:t xml:space="preserve">Croissance continue du freelancing (+22 % Europe)</w:t>
            </w:r>
          </w:p>
          <w:p>
            <w:pPr>
              <w:pStyle w:val="ListParagraph"/>
              <w:numPr>
                <w:ilvl w:val="0"/>
                <w:numId w:val="2"/>
              </w:numPr>
              <w:spacing w:after="80"/>
            </w:pPr>
            <w:r>
              <w:rPr>
                <w:rFonts w:ascii="Arial" w:cs="Arial" w:eastAsia="Arial" w:hAnsi="Arial"/>
                <w:color w:val="0F0F0F"/>
                <w:sz w:val="20"/>
                <w:szCs w:val="20"/>
              </w:rPr>
              <w:t xml:space="preserve">IA générative : différenciation technologique accessible</w:t>
            </w:r>
          </w:p>
          <w:p>
            <w:pPr>
              <w:pStyle w:val="ListParagraph"/>
              <w:numPr>
                <w:ilvl w:val="0"/>
                <w:numId w:val="2"/>
              </w:numPr>
              <w:spacing w:after="80"/>
            </w:pPr>
            <w:r>
              <w:rPr>
                <w:rFonts w:ascii="Arial" w:cs="Arial" w:eastAsia="Arial" w:hAnsi="Arial"/>
                <w:color w:val="0F0F0F"/>
                <w:sz w:val="20"/>
                <w:szCs w:val="20"/>
              </w:rPr>
              <w:t xml:space="preserve">Expansion internationale (FR → CH → BE → EU)</w:t>
            </w:r>
          </w:p>
          <w:p>
            <w:pPr>
              <w:pStyle w:val="ListParagraph"/>
              <w:numPr>
                <w:ilvl w:val="0"/>
                <w:numId w:val="2"/>
              </w:numPr>
              <w:spacing w:after="0"/>
            </w:pPr>
            <w:r>
              <w:rPr>
                <w:rFonts w:ascii="Arial" w:cs="Arial" w:eastAsia="Arial" w:hAnsi="Arial"/>
                <w:color w:val="0F0F0F"/>
                <w:sz w:val="20"/>
                <w:szCs w:val="20"/>
              </w:rPr>
              <w:t xml:space="preserve">Partenariats avec Malt, Comet, Upwork</w:t>
            </w:r>
          </w:p>
        </w:tc>
        <w:tc>
          <w:tcPr>
            <w:tcW w:type="dxa" w:w="4680"/>
            <w:tcBorders>
              <w:top w:val="single" w:color="F59E0B" w:sz="1"/>
              <w:left w:val="single" w:color="F59E0B" w:sz="1"/>
              <w:bottom w:val="single" w:color="F59E0B" w:sz="1"/>
              <w:right w:val="single" w:color="F59E0B" w:sz="1"/>
            </w:tcBorders>
            <w:shd w:fill="FFFBEB" w:val="clear"/>
            <w:tcMar>
              <w:top w:type="dxa" w:w="200"/>
              <w:left w:type="dxa" w:w="240"/>
              <w:bottom w:type="dxa" w:w="200"/>
              <w:right w:type="dxa" w:w="240"/>
            </w:tcMar>
          </w:tcPr>
          <w:p>
            <w:pPr>
              <w:spacing w:after="120"/>
            </w:pPr>
            <w:r>
              <w:rPr>
                <w:rFonts w:ascii="Arial" w:cs="Arial" w:eastAsia="Arial" w:hAnsi="Arial"/>
                <w:b/>
                <w:bCs/>
                <w:color w:val="F59E0B"/>
                <w:sz w:val="22"/>
                <w:szCs w:val="22"/>
              </w:rPr>
              <w:t xml:space="preserve">MENACES</w:t>
            </w:r>
          </w:p>
          <w:p>
            <w:pPr>
              <w:pStyle w:val="ListParagraph"/>
              <w:numPr>
                <w:ilvl w:val="0"/>
                <w:numId w:val="2"/>
              </w:numPr>
              <w:spacing w:after="80"/>
            </w:pPr>
            <w:r>
              <w:rPr>
                <w:rFonts w:ascii="Arial" w:cs="Arial" w:eastAsia="Arial" w:hAnsi="Arial"/>
                <w:color w:val="0F0F0F"/>
                <w:sz w:val="20"/>
                <w:szCs w:val="20"/>
              </w:rPr>
              <w:t xml:space="preserve">Risque RGPD et évolutions légales</w:t>
            </w:r>
          </w:p>
          <w:p>
            <w:pPr>
              <w:pStyle w:val="ListParagraph"/>
              <w:numPr>
                <w:ilvl w:val="0"/>
                <w:numId w:val="2"/>
              </w:numPr>
              <w:spacing w:after="80"/>
            </w:pPr>
            <w:r>
              <w:rPr>
                <w:rFonts w:ascii="Arial" w:cs="Arial" w:eastAsia="Arial" w:hAnsi="Arial"/>
                <w:color w:val="0F0F0F"/>
                <w:sz w:val="20"/>
                <w:szCs w:val="20"/>
              </w:rPr>
              <w:t xml:space="preserve">Contre-mesures anti-scrapping (LinkedIn, Google)</w:t>
            </w:r>
          </w:p>
          <w:p>
            <w:pPr>
              <w:pStyle w:val="ListParagraph"/>
              <w:numPr>
                <w:ilvl w:val="0"/>
                <w:numId w:val="2"/>
              </w:numPr>
              <w:spacing w:after="80"/>
            </w:pPr>
            <w:r>
              <w:rPr>
                <w:rFonts w:ascii="Arial" w:cs="Arial" w:eastAsia="Arial" w:hAnsi="Arial"/>
                <w:color w:val="0F0F0F"/>
                <w:sz w:val="20"/>
                <w:szCs w:val="20"/>
              </w:rPr>
              <w:t xml:space="preserve">Entrée de géants (OpenAI, HubSpot) sur le segment</w:t>
            </w:r>
          </w:p>
          <w:p>
            <w:pPr>
              <w:pStyle w:val="ListParagraph"/>
              <w:numPr>
                <w:ilvl w:val="0"/>
                <w:numId w:val="2"/>
              </w:numPr>
              <w:spacing w:after="0"/>
            </w:pPr>
            <w:r>
              <w:rPr>
                <w:rFonts w:ascii="Arial" w:cs="Arial" w:eastAsia="Arial" w:hAnsi="Arial"/>
                <w:color w:val="0F0F0F"/>
                <w:sz w:val="20"/>
                <w:szCs w:val="20"/>
              </w:rPr>
              <w:t xml:space="preserve">Commoditisation rapide par des clones low-cost</w:t>
            </w:r>
          </w:p>
        </w:tc>
      </w:tr>
    </w:tbl>
    <w:p>
      <w:pPr>
        <w:spacing w:after="320"/>
      </w:pPr>
      <w:r>
        <w:t xml:space="preserve"/>
      </w:r>
    </w:p>
    <w:p>
      <w:r>
        <w:br w:type="page"/>
      </w:r>
    </w:p>
    <w:p>
      <w:pPr>
        <w:pStyle w:val="Heading1"/>
        <w:spacing w:after="200" w:before="480"/>
      </w:pPr>
      <w:r>
        <w:rPr>
          <w:rFonts w:ascii="Arial" w:cs="Arial" w:eastAsia="Arial" w:hAnsi="Arial"/>
          <w:b/>
          <w:bCs/>
          <w:color w:val="0F0F0F"/>
          <w:sz w:val="36"/>
          <w:szCs w:val="36"/>
        </w:rPr>
        <w:t xml:space="preserve">8. Stratégie Go-to-Market</w:t>
      </w:r>
    </w:p>
    <w:p>
      <w:pPr>
        <w:pStyle w:val="Heading2"/>
        <w:spacing w:after="160" w:before="360"/>
      </w:pPr>
      <w:r>
        <w:rPr>
          <w:rFonts w:ascii="Arial" w:cs="Arial" w:eastAsia="Arial" w:hAnsi="Arial"/>
          <w:b/>
          <w:bCs/>
          <w:color w:val="4F46E5"/>
          <w:sz w:val="28"/>
          <w:szCs w:val="28"/>
        </w:rPr>
        <w:t xml:space="preserve">8.1 Canaux d'acquisition prioritaires</w:t>
      </w:r>
    </w:p>
    <w:p>
      <w:pPr>
        <w:spacing w:after="160"/>
        <w:jc w:val="both"/>
      </w:pPr>
      <w:r>
        <w:rPr>
          <w:rFonts w:ascii="Arial" w:cs="Arial" w:eastAsia="Arial" w:hAnsi="Arial"/>
          <w:color w:val="0F0F0F"/>
          <w:sz w:val="22"/>
          <w:szCs w:val="22"/>
        </w:rPr>
        <w:t xml:space="preserve">Le solopreneur est un utilisateur actif sur quelques canaux très spécifiques. La stratégie d'acquisition doit être chirurgicale :</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Canal</w:t>
            </w:r>
          </w:p>
        </w:tc>
        <w:tc>
          <w:tcPr>
            <w:tcW w:type="dxa" w:w="16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Effort</w:t>
            </w:r>
          </w:p>
        </w:tc>
        <w:tc>
          <w:tcPr>
            <w:tcW w:type="dxa" w:w="20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Coût estimé</w:t>
            </w:r>
          </w:p>
        </w:tc>
        <w:tc>
          <w:tcPr>
            <w:tcW w:type="dxa" w:w="336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ROI potentiel</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Content marketing (LinkedIn, blog SEO)</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Élevé</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2 000 €/mois</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Fort (organique long terme)</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Communautés freelances (Slack, Discord, Reddit)</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Moyen</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500 €/mois</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Très fort (viralité)</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Partenariats plateformes (Malt, Comet)</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Moyen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Rev-share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Fort (trafic qualifié)</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Micro-influenceurs freelance (YouTube, TikTok)</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Moyen</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1 500 €/mois</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Moyen-fort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Paid acquisition (Meta, LinkedIn Ads)</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Faible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3 000 €/mois</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Moyen (CAC à optimiser)</w:t>
            </w:r>
          </w:p>
        </w:tc>
      </w:tr>
    </w:tbl>
    <w:p>
      <w:pPr>
        <w:spacing w:after="160"/>
      </w:pPr>
      <w:r>
        <w:t xml:space="preserve"/>
      </w:r>
    </w:p>
    <w:p>
      <w:pPr>
        <w:pStyle w:val="Heading2"/>
        <w:spacing w:after="160" w:before="360"/>
      </w:pPr>
      <w:r>
        <w:rPr>
          <w:rFonts w:ascii="Arial" w:cs="Arial" w:eastAsia="Arial" w:hAnsi="Arial"/>
          <w:b/>
          <w:bCs/>
          <w:color w:val="4F46E5"/>
          <w:sz w:val="28"/>
          <w:szCs w:val="28"/>
        </w:rPr>
        <w:t xml:space="preserve">8.2 Roadmap de lancement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600"/>
        <w:gridCol w:w="3960"/>
      </w:tblGrid>
      <w:tr>
        <w:trPr>
          <w:tblHeader/>
        </w:trPr>
        <w:tc>
          <w:tcPr>
            <w:tcW w:type="dxa" w:w="14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Phase</w:t>
            </w:r>
          </w:p>
        </w:tc>
        <w:tc>
          <w:tcPr>
            <w:tcW w:type="dxa" w:w="14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Période</w:t>
            </w:r>
          </w:p>
        </w:tc>
        <w:tc>
          <w:tcPr>
            <w:tcW w:type="dxa" w:w="26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Objectif</w:t>
            </w:r>
          </w:p>
        </w:tc>
        <w:tc>
          <w:tcPr>
            <w:tcW w:type="dxa" w:w="396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Actions clés</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Validation</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M1 – M3</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50 bêta-testeurs, product-market fit</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Interviews, MVP, landing page</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Lancement</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M4 – M6</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200 utilisateurs payants</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ProductHunt, communautés, SEO</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Croissance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M7 – M12</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500 utilisateurs payants</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Paid ads, partenariats, content</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Expansion</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An 2</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2 000 utilisateurs payants</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Nouvelles sources, intl, features IA</w:t>
            </w:r>
          </w:p>
        </w:tc>
      </w:tr>
    </w:tbl>
    <w:p>
      <w:pPr>
        <w:spacing w:after="160"/>
      </w:pPr>
      <w:r>
        <w:t xml:space="preserve"/>
      </w:r>
    </w:p>
    <w:p>
      <w:r>
        <w:br w:type="page"/>
      </w:r>
    </w:p>
    <w:p>
      <w:pPr>
        <w:pStyle w:val="Heading1"/>
        <w:spacing w:after="200" w:before="480"/>
      </w:pPr>
      <w:r>
        <w:rPr>
          <w:rFonts w:ascii="Arial" w:cs="Arial" w:eastAsia="Arial" w:hAnsi="Arial"/>
          <w:b/>
          <w:bCs/>
          <w:color w:val="0F0F0F"/>
          <w:sz w:val="36"/>
          <w:szCs w:val="36"/>
        </w:rPr>
        <w:t xml:space="preserve">9. Cadre Réglementaire &amp; Conformité</w:t>
      </w:r>
    </w:p>
    <w:p>
      <w:pPr>
        <w:pStyle w:val="Heading2"/>
        <w:spacing w:after="160" w:before="360"/>
      </w:pPr>
      <w:r>
        <w:rPr>
          <w:rFonts w:ascii="Arial" w:cs="Arial" w:eastAsia="Arial" w:hAnsi="Arial"/>
          <w:b/>
          <w:bCs/>
          <w:color w:val="4F46E5"/>
          <w:sz w:val="28"/>
          <w:szCs w:val="28"/>
        </w:rPr>
        <w:t xml:space="preserve">9.1 RGPD et scrapping</w:t>
      </w:r>
    </w:p>
    <w:p>
      <w:pPr>
        <w:spacing w:after="160"/>
        <w:jc w:val="both"/>
      </w:pPr>
      <w:r>
        <w:rPr>
          <w:rFonts w:ascii="Arial" w:cs="Arial" w:eastAsia="Arial" w:hAnsi="Arial"/>
          <w:color w:val="0F0F0F"/>
          <w:sz w:val="22"/>
          <w:szCs w:val="22"/>
        </w:rPr>
        <w:t xml:space="preserve">La conformité RGPD est à la fois une contrainte et un avantage compétitif. Les points de vigilance sont :</w:t>
      </w:r>
    </w:p>
    <w:p>
      <w:pPr>
        <w:pStyle w:val="ListParagraph"/>
        <w:numPr>
          <w:ilvl w:val="0"/>
          <w:numId w:val="2"/>
        </w:numPr>
        <w:spacing w:after="100"/>
      </w:pPr>
      <w:r>
        <w:rPr>
          <w:rFonts w:ascii="Arial" w:cs="Arial" w:eastAsia="Arial" w:hAnsi="Arial"/>
          <w:color w:val="0F0F0F"/>
          <w:sz w:val="22"/>
          <w:szCs w:val="22"/>
        </w:rPr>
        <w:t xml:space="preserve">Données collectées uniquement sur des sources publiques ou avec consentement implicite professionnel</w:t>
      </w:r>
    </w:p>
    <w:p>
      <w:pPr>
        <w:pStyle w:val="ListParagraph"/>
        <w:numPr>
          <w:ilvl w:val="0"/>
          <w:numId w:val="2"/>
        </w:numPr>
        <w:spacing w:after="100"/>
      </w:pPr>
      <w:r>
        <w:rPr>
          <w:rFonts w:ascii="Arial" w:cs="Arial" w:eastAsia="Arial" w:hAnsi="Arial"/>
          <w:color w:val="0F0F0F"/>
          <w:sz w:val="22"/>
          <w:szCs w:val="22"/>
        </w:rPr>
        <w:t xml:space="preserve">Droit à l'effacement : mécanisme de suppression en un clic des données d'un contact</w:t>
      </w:r>
    </w:p>
    <w:p>
      <w:pPr>
        <w:pStyle w:val="ListParagraph"/>
        <w:numPr>
          <w:ilvl w:val="0"/>
          <w:numId w:val="2"/>
        </w:numPr>
        <w:spacing w:after="100"/>
      </w:pPr>
      <w:r>
        <w:rPr>
          <w:rFonts w:ascii="Arial" w:cs="Arial" w:eastAsia="Arial" w:hAnsi="Arial"/>
          <w:color w:val="0F0F0F"/>
          <w:sz w:val="22"/>
          <w:szCs w:val="22"/>
        </w:rPr>
        <w:t xml:space="preserve">Finalité légitime : la prospection B2B entre professionnels est généralement admise sous conditions</w:t>
      </w:r>
    </w:p>
    <w:p>
      <w:pPr>
        <w:pStyle w:val="ListParagraph"/>
        <w:numPr>
          <w:ilvl w:val="0"/>
          <w:numId w:val="2"/>
        </w:numPr>
        <w:spacing w:after="100"/>
      </w:pPr>
      <w:r>
        <w:rPr>
          <w:rFonts w:ascii="Arial" w:cs="Arial" w:eastAsia="Arial" w:hAnsi="Arial"/>
          <w:color w:val="0F0F0F"/>
          <w:sz w:val="22"/>
          <w:szCs w:val="22"/>
        </w:rPr>
        <w:t xml:space="preserve">Durée de conservation limitée : purge automatique des leads non-actifs après 12 mois</w:t>
      </w:r>
    </w:p>
    <w:p>
      <w:pPr>
        <w:pStyle w:val="ListParagraph"/>
        <w:numPr>
          <w:ilvl w:val="0"/>
          <w:numId w:val="2"/>
        </w:numPr>
        <w:spacing w:after="100"/>
      </w:pPr>
      <w:r>
        <w:rPr>
          <w:rFonts w:ascii="Arial" w:cs="Arial" w:eastAsia="Arial" w:hAnsi="Arial"/>
          <w:color w:val="0F0F0F"/>
          <w:sz w:val="22"/>
          <w:szCs w:val="22"/>
        </w:rPr>
        <w:t xml:space="preserve">Mention obligatoire dans les emails : identification claire de la source des données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2"/>
              <w:bottom w:val="single" w:color="4F46E5" w:sz="1"/>
              <w:right w:val="single" w:color="E0E7FF" w:sz="1"/>
            </w:tcBorders>
            <w:shd w:fill="EEF2FF" w:val="clear"/>
            <w:tcMar>
              <w:top w:type="dxa" w:w="160"/>
              <w:left w:type="dxa" w:w="240"/>
              <w:bottom w:type="dxa" w:w="160"/>
              <w:right w:type="dxa" w:w="240"/>
            </w:tcMar>
          </w:tcPr>
          <w:p>
            <w:pPr>
              <w:spacing w:after="80"/>
            </w:pPr>
            <w:r>
              <w:rPr>
                <w:rFonts w:ascii="Arial" w:cs="Arial" w:eastAsia="Arial" w:hAnsi="Arial"/>
                <w:b/>
                <w:bCs/>
                <w:color w:val="4F46E5"/>
                <w:sz w:val="22"/>
                <w:szCs w:val="22"/>
              </w:rPr>
              <w:t xml:space="preserve">Recommandation clé</w:t>
            </w:r>
          </w:p>
          <w:p>
            <w:r>
              <w:rPr>
                <w:rFonts w:ascii="Arial" w:cs="Arial" w:eastAsia="Arial" w:hAnsi="Arial"/>
                <w:color w:val="0F0F0F"/>
                <w:sz w:val="22"/>
                <w:szCs w:val="22"/>
              </w:rPr>
              <w:t xml:space="preserve">Positionner la conformité RGPD native comme argument commercial différenciant face aux concurrents américains. Un audit juridique initial (2 000 – 5 000 €) est un investissement rentable.</w:t>
            </w:r>
          </w:p>
        </w:tc>
      </w:tr>
    </w:tbl>
    <w:p>
      <w:pPr>
        <w:spacing w:after="320"/>
      </w:pPr>
      <w:r>
        <w:t xml:space="preserve"/>
      </w:r>
    </w:p>
    <w:p>
      <w:pPr>
        <w:pStyle w:val="Heading1"/>
        <w:spacing w:after="200" w:before="480"/>
      </w:pPr>
      <w:r>
        <w:rPr>
          <w:rFonts w:ascii="Arial" w:cs="Arial" w:eastAsia="Arial" w:hAnsi="Arial"/>
          <w:b/>
          <w:bCs/>
          <w:color w:val="0F0F0F"/>
          <w:sz w:val="36"/>
          <w:szCs w:val="36"/>
        </w:rPr>
        <w:t xml:space="preserve">10. Recommandations Stratégiques</w:t>
      </w:r>
    </w:p>
    <w:p>
      <w:pPr>
        <w:pStyle w:val="Heading2"/>
        <w:spacing w:after="160" w:before="360"/>
      </w:pPr>
      <w:r>
        <w:rPr>
          <w:rFonts w:ascii="Arial" w:cs="Arial" w:eastAsia="Arial" w:hAnsi="Arial"/>
          <w:b/>
          <w:bCs/>
          <w:color w:val="4F46E5"/>
          <w:sz w:val="28"/>
          <w:szCs w:val="28"/>
        </w:rPr>
        <w:t xml:space="preserve">10.1 Priorités à court terme (0-6 mois)</w:t>
      </w:r>
    </w:p>
    <w:p>
      <w:pPr>
        <w:pStyle w:val="ListParagraph"/>
        <w:numPr>
          <w:ilvl w:val="0"/>
          <w:numId w:val="2"/>
        </w:numPr>
        <w:spacing w:after="100"/>
      </w:pPr>
      <w:r>
        <w:rPr>
          <w:rFonts w:ascii="Arial" w:cs="Arial" w:eastAsia="Arial" w:hAnsi="Arial"/>
          <w:color w:val="0F0F0F"/>
          <w:sz w:val="22"/>
          <w:szCs w:val="22"/>
        </w:rPr>
        <w:t xml:space="preserve">Valider le product-market fit sur 50 freelances avec un MVP simple (scrapping LinkedIn + export CSV).</w:t>
      </w:r>
    </w:p>
    <w:p>
      <w:pPr>
        <w:pStyle w:val="ListParagraph"/>
        <w:numPr>
          <w:ilvl w:val="0"/>
          <w:numId w:val="2"/>
        </w:numPr>
        <w:spacing w:after="100"/>
      </w:pPr>
      <w:r>
        <w:rPr>
          <w:rFonts w:ascii="Arial" w:cs="Arial" w:eastAsia="Arial" w:hAnsi="Arial"/>
          <w:color w:val="0F0F0F"/>
          <w:sz w:val="22"/>
          <w:szCs w:val="22"/>
        </w:rPr>
        <w:t xml:space="preserve">Choisir 2 à 3 niches de freelances (ex : développeurs, consultants marketing, coaches) pour concentrer les efforts de contenu et d'acquisition.</w:t>
      </w:r>
    </w:p>
    <w:p>
      <w:pPr>
        <w:pStyle w:val="ListParagraph"/>
        <w:numPr>
          <w:ilvl w:val="0"/>
          <w:numId w:val="2"/>
        </w:numPr>
        <w:spacing w:after="100"/>
      </w:pPr>
      <w:r>
        <w:rPr>
          <w:rFonts w:ascii="Arial" w:cs="Arial" w:eastAsia="Arial" w:hAnsi="Arial"/>
          <w:color w:val="0F0F0F"/>
          <w:sz w:val="22"/>
          <w:szCs w:val="22"/>
        </w:rPr>
        <w:t xml:space="preserve">Établir une présence forte sur LinkedIn et dans les communautés Slack/Discord des freelances francophones.</w:t>
      </w:r>
    </w:p>
    <w:p>
      <w:pPr>
        <w:pStyle w:val="ListParagraph"/>
        <w:numPr>
          <w:ilvl w:val="0"/>
          <w:numId w:val="2"/>
        </w:numPr>
        <w:spacing w:after="100"/>
      </w:pPr>
      <w:r>
        <w:rPr>
          <w:rFonts w:ascii="Arial" w:cs="Arial" w:eastAsia="Arial" w:hAnsi="Arial"/>
          <w:color w:val="0F0F0F"/>
          <w:sz w:val="22"/>
          <w:szCs w:val="22"/>
        </w:rPr>
        <w:t xml:space="preserve">Lancer sur ProductHunt et Indie Hackers pour obtenir les premiers 100 utilisateurs.</w:t>
      </w:r>
    </w:p>
    <w:p>
      <w:pPr>
        <w:spacing w:after="160"/>
      </w:pPr>
      <w:r>
        <w:t xml:space="preserve"/>
      </w:r>
    </w:p>
    <w:p>
      <w:pPr>
        <w:pStyle w:val="Heading2"/>
        <w:spacing w:after="160" w:before="360"/>
      </w:pPr>
      <w:r>
        <w:rPr>
          <w:rFonts w:ascii="Arial" w:cs="Arial" w:eastAsia="Arial" w:hAnsi="Arial"/>
          <w:b/>
          <w:bCs/>
          <w:color w:val="4F46E5"/>
          <w:sz w:val="28"/>
          <w:szCs w:val="28"/>
        </w:rPr>
        <w:t xml:space="preserve">10.2 Priorités à moyen terme (6-18 mois)</w:t>
      </w:r>
    </w:p>
    <w:p>
      <w:pPr>
        <w:pStyle w:val="ListParagraph"/>
        <w:numPr>
          <w:ilvl w:val="0"/>
          <w:numId w:val="2"/>
        </w:numPr>
        <w:spacing w:after="100"/>
      </w:pPr>
      <w:r>
        <w:rPr>
          <w:rFonts w:ascii="Arial" w:cs="Arial" w:eastAsia="Arial" w:hAnsi="Arial"/>
          <w:color w:val="0F0F0F"/>
          <w:sz w:val="22"/>
          <w:szCs w:val="22"/>
        </w:rPr>
        <w:t xml:space="preserve">Intégrer l'IA générative (GPT-4o ou Claude) pour la personnalisation automatique des messages de prospection.</w:t>
      </w:r>
    </w:p>
    <w:p>
      <w:pPr>
        <w:pStyle w:val="ListParagraph"/>
        <w:numPr>
          <w:ilvl w:val="0"/>
          <w:numId w:val="2"/>
        </w:numPr>
        <w:spacing w:after="100"/>
      </w:pPr>
      <w:r>
        <w:rPr>
          <w:rFonts w:ascii="Arial" w:cs="Arial" w:eastAsia="Arial" w:hAnsi="Arial"/>
          <w:color w:val="0F0F0F"/>
          <w:sz w:val="22"/>
          <w:szCs w:val="22"/>
        </w:rPr>
        <w:t xml:space="preserve">Développer des partenariats officiels avec Malt, Comet ou des plateformes de freelances pour distribution co-brandée.</w:t>
      </w:r>
    </w:p>
    <w:p>
      <w:pPr>
        <w:pStyle w:val="ListParagraph"/>
        <w:numPr>
          <w:ilvl w:val="0"/>
          <w:numId w:val="2"/>
        </w:numPr>
        <w:spacing w:after="100"/>
      </w:pPr>
      <w:r>
        <w:rPr>
          <w:rFonts w:ascii="Arial" w:cs="Arial" w:eastAsia="Arial" w:hAnsi="Arial"/>
          <w:color w:val="0F0F0F"/>
          <w:sz w:val="22"/>
          <w:szCs w:val="22"/>
        </w:rPr>
        <w:t xml:space="preserve">Explorer l'expansion vers la Suisse et la Belgique, marchés francophones avec pouvoir d'achat élevé.</w:t>
      </w:r>
    </w:p>
    <w:p>
      <w:pPr>
        <w:pStyle w:val="ListParagraph"/>
        <w:numPr>
          <w:ilvl w:val="0"/>
          <w:numId w:val="2"/>
        </w:numPr>
        <w:spacing w:after="100"/>
      </w:pPr>
      <w:r>
        <w:rPr>
          <w:rFonts w:ascii="Arial" w:cs="Arial" w:eastAsia="Arial" w:hAnsi="Arial"/>
          <w:color w:val="0F0F0F"/>
          <w:sz w:val="22"/>
          <w:szCs w:val="22"/>
        </w:rPr>
        <w:t xml:space="preserve">Construire un programme de referral agressif (1 mois gratuit par filleul converti).</w:t>
      </w:r>
    </w:p>
    <w:p>
      <w:pPr>
        <w:spacing w:after="160"/>
      </w:pPr>
      <w:r>
        <w:t xml:space="preserve"/>
      </w:r>
    </w:p>
    <w:p>
      <w:pPr>
        <w:pStyle w:val="Heading2"/>
        <w:spacing w:after="160" w:before="360"/>
      </w:pPr>
      <w:r>
        <w:rPr>
          <w:rFonts w:ascii="Arial" w:cs="Arial" w:eastAsia="Arial" w:hAnsi="Arial"/>
          <w:b/>
          <w:bCs/>
          <w:color w:val="4F46E5"/>
          <w:sz w:val="28"/>
          <w:szCs w:val="28"/>
        </w:rPr>
        <w:t xml:space="preserve">10.3 Indicateurs de succès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20"/>
        <w:gridCol w:w="1620"/>
        <w:gridCol w:w="1620"/>
        <w:gridCol w:w="1500"/>
      </w:tblGrid>
      <w:tr>
        <w:trPr>
          <w:tblHeader/>
        </w:trPr>
        <w:tc>
          <w:tcPr>
            <w:tcW w:type="dxa" w:w="300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KPI</w:t>
            </w:r>
          </w:p>
        </w:tc>
        <w:tc>
          <w:tcPr>
            <w:tcW w:type="dxa" w:w="162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M6</w:t>
            </w:r>
          </w:p>
        </w:tc>
        <w:tc>
          <w:tcPr>
            <w:tcW w:type="dxa" w:w="162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M12</w:t>
            </w:r>
          </w:p>
        </w:tc>
        <w:tc>
          <w:tcPr>
            <w:tcW w:type="dxa" w:w="1620"/>
            <w:tcBorders>
              <w:top w:val="single" w:color="4F46E5" w:sz="1"/>
              <w:left w:val="single" w:color="4F46E5" w:sz="1"/>
              <w:bottom w:val="single" w:color="4F46E5" w:sz="1"/>
              <w:right w:val="single" w:color="4F46E5" w:sz="1"/>
            </w:tcBorders>
            <w:shd w:fill="4F46E5"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M24</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Utilisateurs actifs totaux</w:t>
            </w:r>
          </w:p>
        </w:tc>
        <w:tc>
          <w:tcPr>
            <w:tcW w:type="dxa" w:w="16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500</w:t>
            </w:r>
          </w:p>
        </w:tc>
        <w:tc>
          <w:tcPr>
            <w:tcW w:type="dxa" w:w="16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2 000</w:t>
            </w:r>
          </w:p>
        </w:tc>
        <w:tc>
          <w:tcPr>
            <w:tcW w:type="dxa" w:w="16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10 000</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Taux de conversion free → paid</w:t>
            </w:r>
          </w:p>
        </w:tc>
        <w:tc>
          <w:tcPr>
            <w:tcW w:type="dxa" w:w="162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8 %</w:t>
            </w:r>
          </w:p>
        </w:tc>
        <w:tc>
          <w:tcPr>
            <w:tcW w:type="dxa" w:w="162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10 %</w:t>
            </w:r>
          </w:p>
        </w:tc>
        <w:tc>
          <w:tcPr>
            <w:tcW w:type="dxa" w:w="162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12 %</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MRR</w:t>
            </w:r>
          </w:p>
        </w:tc>
        <w:tc>
          <w:tcPr>
            <w:tcW w:type="dxa" w:w="16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3 000 €</w:t>
            </w:r>
          </w:p>
        </w:tc>
        <w:tc>
          <w:tcPr>
            <w:tcW w:type="dxa" w:w="16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15 000 €</w:t>
            </w:r>
          </w:p>
        </w:tc>
        <w:tc>
          <w:tcPr>
            <w:tcW w:type="dxa" w:w="16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60 000 €</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NPS (Net Promoter Score)</w:t>
            </w:r>
          </w:p>
        </w:tc>
        <w:tc>
          <w:tcPr>
            <w:tcW w:type="dxa" w:w="162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&gt; 30</w:t>
            </w:r>
          </w:p>
        </w:tc>
        <w:tc>
          <w:tcPr>
            <w:tcW w:type="dxa" w:w="162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&gt; 40</w:t>
            </w:r>
          </w:p>
        </w:tc>
        <w:tc>
          <w:tcPr>
            <w:tcW w:type="dxa" w:w="162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&gt; 50</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Churn mensuel</w:t>
            </w:r>
          </w:p>
        </w:tc>
        <w:tc>
          <w:tcPr>
            <w:tcW w:type="dxa" w:w="16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&lt; 8 %</w:t>
            </w:r>
          </w:p>
        </w:tc>
        <w:tc>
          <w:tcPr>
            <w:tcW w:type="dxa" w:w="16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&lt; 6 %</w:t>
            </w:r>
          </w:p>
        </w:tc>
        <w:tc>
          <w:tcPr>
            <w:tcW w:type="dxa" w:w="16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F0F0F"/>
                <w:sz w:val="20"/>
                <w:szCs w:val="20"/>
              </w:rPr>
              <w:t xml:space="preserve">&lt; 5 %</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CAC payback period</w:t>
            </w:r>
          </w:p>
        </w:tc>
        <w:tc>
          <w:tcPr>
            <w:tcW w:type="dxa" w:w="162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&lt; 4 mois</w:t>
            </w:r>
          </w:p>
        </w:tc>
        <w:tc>
          <w:tcPr>
            <w:tcW w:type="dxa" w:w="162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&lt; 3 mois</w:t>
            </w:r>
          </w:p>
        </w:tc>
        <w:tc>
          <w:tcPr>
            <w:tcW w:type="dxa" w:w="162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color w:val="0F0F0F"/>
                <w:sz w:val="20"/>
                <w:szCs w:val="20"/>
              </w:rPr>
              <w:t xml:space="preserve">&lt; 2,5 mois</w:t>
            </w:r>
          </w:p>
        </w:tc>
      </w:tr>
    </w:tbl>
    <w:p>
      <w:pPr>
        <w:spacing w:after="320"/>
      </w:pPr>
      <w:r>
        <w:t xml:space="preserve"/>
      </w:r>
    </w:p>
    <w:p>
      <w:r>
        <w:br w:type="page"/>
      </w:r>
    </w:p>
    <w:p>
      <w:pPr>
        <w:pStyle w:val="Heading1"/>
        <w:spacing w:after="200" w:before="480"/>
      </w:pPr>
      <w:r>
        <w:rPr>
          <w:rFonts w:ascii="Arial" w:cs="Arial" w:eastAsia="Arial" w:hAnsi="Arial"/>
          <w:b/>
          <w:bCs/>
          <w:color w:val="0F0F0F"/>
          <w:sz w:val="36"/>
          <w:szCs w:val="36"/>
        </w:rPr>
        <w:t xml:space="preserve">11. Conclusion</w:t>
      </w:r>
    </w:p>
    <w:p>
      <w:pPr>
        <w:spacing w:after="160"/>
        <w:jc w:val="both"/>
      </w:pPr>
      <w:r>
        <w:rPr>
          <w:rFonts w:ascii="Arial" w:cs="Arial" w:eastAsia="Arial" w:hAnsi="Arial"/>
          <w:color w:val="0F0F0F"/>
          <w:sz w:val="22"/>
          <w:szCs w:val="22"/>
        </w:rPr>
        <w:t xml:space="preserve">Le marché de la génération de leads pour freelances et solopreneurs est une opportunité réelle, documentée et actionnable. Le segment est structurellement mal servi par les acteurs existants, qui ciblent des entreprises avec des équipes dédiées et des budgets d'outils sans commune mesure avec ceux des indépendants.</w:t>
      </w:r>
    </w:p>
    <w:p>
      <w:pPr>
        <w:spacing w:after="160"/>
        <w:jc w:val="both"/>
      </w:pPr>
      <w:r>
        <w:rPr>
          <w:rFonts w:ascii="Arial" w:cs="Arial" w:eastAsia="Arial" w:hAnsi="Arial"/>
          <w:color w:val="0F0F0F"/>
          <w:sz w:val="22"/>
          <w:szCs w:val="22"/>
        </w:rPr>
        <w:t xml:space="preserve">Un produit bien conçu — simple, conforme RGPD, à moins de 40 €/mois, avec une intégration d'IA pour la personnalisation — peut capturer une part significative d'un marché de plusieurs centaines de millions d'euros en Europe.</w:t>
      </w:r>
    </w:p>
    <w:p>
      <w:pPr>
        <w:spacing w:after="160"/>
        <w:jc w:val="both"/>
      </w:pPr>
      <w:r>
        <w:rPr>
          <w:rFonts w:ascii="Arial" w:cs="Arial" w:eastAsia="Arial" w:hAnsi="Arial"/>
          <w:color w:val="0F0F0F"/>
          <w:sz w:val="22"/>
          <w:szCs w:val="22"/>
        </w:rPr>
        <w:t xml:space="preserve">La clé de succès réside moins dans la technologie (accessible et standardisée) que dans la distribution : construire une marque de confiance au sein des communautés freelances, et proposer une expérience utilisateur suffisamment fluide pour que l'outil devienne un réflexe hebdomadaire.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2"/>
              <w:bottom w:val="single" w:color="4F46E5" w:sz="1"/>
              <w:right w:val="single" w:color="E0E7FF" w:sz="1"/>
            </w:tcBorders>
            <w:shd w:fill="EEF2FF" w:val="clear"/>
            <w:tcMar>
              <w:top w:type="dxa" w:w="160"/>
              <w:left w:type="dxa" w:w="240"/>
              <w:bottom w:type="dxa" w:w="160"/>
              <w:right w:type="dxa" w:w="240"/>
            </w:tcMar>
          </w:tcPr>
          <w:p>
            <w:pPr>
              <w:spacing w:after="80"/>
            </w:pPr>
            <w:r>
              <w:rPr>
                <w:rFonts w:ascii="Arial" w:cs="Arial" w:eastAsia="Arial" w:hAnsi="Arial"/>
                <w:b/>
                <w:bCs/>
                <w:color w:val="4F46E5"/>
                <w:sz w:val="22"/>
                <w:szCs w:val="22"/>
              </w:rPr>
              <w:t xml:space="preserve">Verdict</w:t>
            </w:r>
          </w:p>
          <w:p>
            <w:r>
              <w:rPr>
                <w:rFonts w:ascii="Arial" w:cs="Arial" w:eastAsia="Arial" w:hAnsi="Arial"/>
                <w:b/>
                <w:bCs/>
                <w:color w:val="0F0F0F"/>
                <w:sz w:val="22"/>
                <w:szCs w:val="22"/>
              </w:rPr>
              <w:t xml:space="preserve">Opportunité : FORTE  |  Faisabilité : ÉLEVÉE  |  Timing : OPTIMAL  |  Recommandation : LANCER</w:t>
            </w:r>
          </w:p>
        </w:tc>
      </w:tr>
    </w:tbl>
    <w:p>
      <w:pPr>
        <w:spacing w:after="320"/>
      </w:pPr>
      <w:r>
        <w:t xml:space="preserve"/>
      </w:r>
    </w:p>
    <w:p>
      <w:pPr>
        <w:pBdr>
          <w:bottom w:val="single" w:color="4F46E5" w:sz="4" w:space="4"/>
        </w:pBdr>
        <w:spacing w:after="360" w:before="360"/>
      </w:pPr>
    </w:p>
    <w:p>
      <w:pPr>
        <w:jc w:val="center"/>
      </w:pPr>
      <w:r>
        <w:rPr>
          <w:rFonts w:ascii="Arial" w:cs="Arial" w:eastAsia="Arial" w:hAnsi="Arial"/>
          <w:i/>
          <w:iCs/>
          <w:color w:val="6B7280"/>
          <w:sz w:val="18"/>
          <w:szCs w:val="18"/>
        </w:rPr>
        <w:t xml:space="preserve">Étude préparée par Arthur Saugy  —  Avril 2026</w:t>
      </w:r>
    </w:p>
    <w:p>
      <w:pPr>
        <w:jc w:val="center"/>
      </w:pPr>
      <w:r>
        <w:rPr>
          <w:rFonts w:ascii="Arial" w:cs="Arial" w:eastAsia="Arial" w:hAnsi="Arial"/>
          <w:i/>
          <w:iCs/>
          <w:color w:val="6B7280"/>
          <w:sz w:val="18"/>
          <w:szCs w:val="18"/>
        </w:rPr>
        <w:t xml:space="preserve">Document confidentiel — tous droits réservés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sur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120"/>
      <w:jc w:val="right"/>
    </w:pPr>
    <w:r>
      <w:rPr>
        <w:rFonts w:ascii="Arial" w:cs="Arial" w:eastAsia="Arial" w:hAnsi="Arial"/>
        <w:color w:val="6B7280"/>
        <w:sz w:val="18"/>
        <w:szCs w:val="18"/>
      </w:rPr>
      <w:t xml:space="preserve">Étude de Marché — Application de Scrapping de Leads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1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0F0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4F46E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0F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2026-04-23T14:34:47.717Z</dcterms:created>
  <dcterms:modified xsi:type="dcterms:W3CDTF">2026-04-23T14:34:47.718Z</dcterms:modified>
</cp:coreProperties>
</file>

<file path=docProps/custom.xml><?xml version="1.0" encoding="utf-8"?>
<Properties xmlns="http://schemas.openxmlformats.org/officeDocument/2006/custom-properties" xmlns:vt="http://schemas.openxmlformats.org/officeDocument/2006/docPropsVTypes"/>
</file>