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b/>
          <w:bCs/>
          <w:color w:val="1F45E0"/>
          <w:spacing w:val="40"/>
          <w:sz w:val="18"/>
          <w:szCs w:val="18"/>
        </w:rPr>
        <w:t xml:space="preserve">LEDGER  ·  VISIONHACK</w:t>
      </w:r>
    </w:p>
    <w:p>
      <w:pPr>
        <w:spacing w:after="100"/>
      </w:pPr>
      <w:r>
        <w:rPr>
          <w:b/>
          <w:bCs/>
          <w:color w:val="111111"/>
          <w:sz w:val="52"/>
          <w:szCs w:val="52"/>
        </w:rPr>
        <w:t xml:space="preserve">Demo &amp; Judging Prep</w:t>
      </w:r>
    </w:p>
    <w:p>
      <w:pPr>
        <w:pBdr>
          <w:bottom w:val="single" w:color="D8D8D8" w:sz="6" w:space="10"/>
        </w:pBdr>
        <w:spacing w:after="200"/>
      </w:pPr>
      <w:r>
        <w:rPr>
          <w:color w:val="5A5A5A"/>
          <w:sz w:val="23"/>
          <w:szCs w:val="23"/>
        </w:rPr>
        <w:t xml:space="preserve">Everything you need in front of you while you present.</w:t>
      </w:r>
    </w:p>
    <w:p>
      <w:pPr>
        <w:spacing w:after="140"/>
      </w:pPr>
      <w:r>
        <w:rPr>
          <w:sz w:val="12"/>
          <w:szCs w:val="12"/>
        </w:rPr>
        <w:t xml:space="preserve"/>
      </w:r>
    </w:p>
    <w:tbl>
      <w:tblPr>
        <w:tblW w:type="dxa" w:w="9360"/>
        <w:tblBorders>
          <w:top w:val="none" w:color="FFFFFF" w:sz="0"/>
          <w:left w:val="single" w:color="1F45E0" w:sz="18"/>
          <w:bottom w:val="none" w:color="FFFFFF" w:sz="0"/>
          <w:right w:val="none" w:color="FFFFFF" w:sz="0"/>
          <w:insideH w:val="none" w:color="FFFFFF" w:sz="0"/>
          <w:insideV w:val="none" w:color="FFFFFF" w:sz="0"/>
        </w:tblBorders>
      </w:tblPr>
      <w:tblGrid>
        <w:gridCol w:w="9360"/>
      </w:tblGrid>
      <w:tr>
        <w:tc>
          <w:tcPr>
            <w:tcW w:type="dxa" w:w="9360"/>
            <w:shd w:fill="F4F6FB" w:color="auto" w:val="clear"/>
            <w:tcMar>
              <w:top w:type="dxa" w:w="160"/>
              <w:left w:type="dxa" w:w="200"/>
              <w:bottom w:type="dxa" w:w="160"/>
              <w:right w:type="dxa" w:w="200"/>
            </w:tcMar>
          </w:tcPr>
          <w:p>
            <w:pPr>
              <w:spacing w:after="60"/>
            </w:pPr>
            <w:r>
              <w:rPr>
                <w:b/>
                <w:bCs/>
                <w:color w:val="1F45E0"/>
                <w:spacing w:val="20"/>
                <w:sz w:val="16"/>
                <w:szCs w:val="16"/>
              </w:rPr>
              <w:t xml:space="preserve">THE ONE SENTENCE, IF YOU ONLY GET ONE</w:t>
            </w:r>
          </w:p>
          <w:p>
            <w:pPr>
              <w:spacing w:after="0" w:line="276"/>
            </w:pPr>
            <w:r>
              <w:rPr>
                <w:color w:val="111111"/>
                <w:sz w:val="21"/>
                <w:szCs w:val="21"/>
              </w:rPr>
              <w:t xml:space="preserve">A corner store answers to eight licences on eight calendars, and the USDA is about to raise the stocking floor on November 4. Ledger reads your shelf off a photograph of the wholesale order record and tells you where you stand — before the inspector does.</w:t>
            </w:r>
          </w:p>
        </w:tc>
      </w:tr>
    </w:tbl>
    <w:p>
      <w:pPr>
        <w:spacing w:after="160"/>
      </w:pPr>
      <w:r>
        <w:rPr>
          <w:sz w:val="12"/>
          <w:szCs w:val="12"/>
        </w:rPr>
        <w:t xml:space="preserve"/>
      </w:r>
    </w:p>
    <w:tbl>
      <w:tblPr>
        <w:tblW w:type="dxa" w:w="9360"/>
        <w:tblBorders>
          <w:top w:val="none" w:color="FFFFFF" w:sz="0"/>
          <w:left w:val="none" w:color="FFFFFF" w:sz="0"/>
          <w:bottom w:val="single" w:color="D8D8D8" w:sz="6"/>
          <w:right w:val="none" w:color="FFFFFF" w:sz="0"/>
          <w:insideH w:val="single" w:color="D8D8D8" w:sz="6"/>
          <w:insideV w:val="none" w:color="FFFFFF" w:sz="0"/>
        </w:tblBorders>
      </w:tblPr>
      <w:tblGrid>
        <w:gridCol w:w="2600"/>
        <w:gridCol w:w="6760"/>
      </w:tblGrid>
      <w:tr>
        <w:trPr>
          <w:tblHeader/>
        </w:trPr>
        <w:tc>
          <w:tcPr>
            <w:tcW w:type="dxa" w:w="2600"/>
            <w:shd w:fill="111111" w:color="auto" w:val="clear"/>
            <w:tcMar>
              <w:top w:type="dxa" w:w="110"/>
              <w:left w:type="dxa" w:w="140"/>
              <w:bottom w:type="dxa" w:w="110"/>
              <w:right w:type="dxa" w:w="140"/>
            </w:tcMar>
          </w:tcPr>
          <w:p>
            <w:pPr>
              <w:spacing w:after="0"/>
            </w:pPr>
            <w:r>
              <w:rPr>
                <w:b/>
                <w:bCs/>
                <w:color w:val="FFFFFF"/>
                <w:spacing w:val="16"/>
                <w:sz w:val="17"/>
                <w:szCs w:val="17"/>
              </w:rPr>
              <w:t xml:space="preserve">FACT</w:t>
            </w:r>
          </w:p>
        </w:tc>
        <w:tc>
          <w:tcPr>
            <w:tcW w:type="dxa" w:w="6760"/>
            <w:shd w:fill="111111" w:color="auto" w:val="clear"/>
            <w:tcMar>
              <w:top w:type="dxa" w:w="110"/>
              <w:left w:type="dxa" w:w="140"/>
              <w:bottom w:type="dxa" w:w="110"/>
              <w:right w:type="dxa" w:w="140"/>
            </w:tcMar>
          </w:tcPr>
          <w:p>
            <w:pPr>
              <w:spacing w:after="0"/>
            </w:pPr>
            <w:r>
              <w:rPr>
                <w:b/>
                <w:bCs/>
                <w:color w:val="FFFFFF"/>
                <w:spacing w:val="16"/>
                <w:sz w:val="17"/>
                <w:szCs w:val="17"/>
              </w:rPr>
              <w:t xml:space="preserve">VALUE</w:t>
            </w:r>
          </w:p>
        </w:tc>
      </w:tr>
      <w:tr>
        <w:tc>
          <w:tcPr>
            <w:tcW w:type="dxa" w:w="260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Product name</w:t>
            </w:r>
          </w:p>
        </w:tc>
        <w:tc>
          <w:tcPr>
            <w:tcW w:type="dxa" w:w="6760"/>
            <w:shd w:fill="FFFFFF" w:color="auto" w:val="clear"/>
            <w:tcMar>
              <w:top w:type="dxa" w:w="110"/>
              <w:left w:type="dxa" w:w="140"/>
              <w:bottom w:type="dxa" w:w="110"/>
              <w:right w:type="dxa" w:w="140"/>
            </w:tcMar>
          </w:tcPr>
          <w:p>
            <w:pPr>
              <w:spacing w:after="0" w:line="264"/>
            </w:pPr>
            <w:r>
              <w:rPr>
                <w:b/>
                <w:bCs/>
                <w:i w:val="false"/>
                <w:iCs w:val="false"/>
                <w:color w:val="111111"/>
                <w:sz w:val="20"/>
                <w:szCs w:val="20"/>
              </w:rPr>
              <w:t xml:space="preserve">Ledger</w:t>
            </w:r>
          </w:p>
        </w:tc>
      </w:tr>
      <w:tr>
        <w:tc>
          <w:tcPr>
            <w:tcW w:type="dxa" w:w="260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Live site</w:t>
            </w:r>
          </w:p>
        </w:tc>
        <w:tc>
          <w:tcPr>
            <w:tcW w:type="dxa" w:w="676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visionhack-git-main-micke2.vercel.app</w:t>
            </w:r>
          </w:p>
        </w:tc>
      </w:tr>
      <w:tr>
        <w:tc>
          <w:tcPr>
            <w:tcW w:type="dxa" w:w="260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Repo</w:t>
            </w:r>
          </w:p>
        </w:tc>
        <w:tc>
          <w:tcPr>
            <w:tcW w:type="dxa" w:w="676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github.com/michae6345-crypto/visionhack</w:t>
            </w:r>
          </w:p>
        </w:tc>
      </w:tr>
      <w:tr>
        <w:tc>
          <w:tcPr>
            <w:tcW w:type="dxa" w:w="260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Stack</w:t>
            </w:r>
          </w:p>
        </w:tc>
        <w:tc>
          <w:tcPr>
            <w:tcW w:type="dxa" w:w="676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Next.js (App Router) + TypeScript, Vercel</w:t>
            </w:r>
          </w:p>
        </w:tc>
      </w:tr>
      <w:tr>
        <w:tc>
          <w:tcPr>
            <w:tcW w:type="dxa" w:w="260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Vision model</w:t>
            </w:r>
          </w:p>
        </w:tc>
        <w:tc>
          <w:tcPr>
            <w:tcW w:type="dxa" w:w="676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Nemotron 3 Nano Omni 30B, via OpenRouter</w:t>
            </w:r>
          </w:p>
        </w:tc>
      </w:tr>
      <w:tr>
        <w:tc>
          <w:tcPr>
            <w:tcW w:type="dxa" w:w="260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Tests</w:t>
            </w:r>
          </w:p>
        </w:tc>
        <w:tc>
          <w:tcPr>
            <w:tcW w:type="dxa" w:w="676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112 passing — no key, no network, runs in CI</w:t>
            </w:r>
          </w:p>
        </w:tc>
      </w:tr>
      <w:tr>
        <w:tc>
          <w:tcPr>
            <w:tcW w:type="dxa" w:w="260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Languages</w:t>
            </w:r>
          </w:p>
        </w:tc>
        <w:tc>
          <w:tcPr>
            <w:tcW w:type="dxa" w:w="676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English and Spanish, full parity</w:t>
            </w:r>
          </w:p>
        </w:tc>
      </w:tr>
      <w:tr>
        <w:tc>
          <w:tcPr>
            <w:tcW w:type="dxa" w:w="260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The deadline that matters</w:t>
            </w:r>
          </w:p>
        </w:tc>
        <w:tc>
          <w:tcPr>
            <w:tcW w:type="dxa" w:w="6760"/>
            <w:shd w:fill="F7F7F9" w:color="auto" w:val="clear"/>
            <w:tcMar>
              <w:top w:type="dxa" w:w="110"/>
              <w:left w:type="dxa" w:w="140"/>
              <w:bottom w:type="dxa" w:w="110"/>
              <w:right w:type="dxa" w:w="140"/>
            </w:tcMar>
          </w:tcPr>
          <w:p>
            <w:pPr>
              <w:spacing w:after="0" w:line="264"/>
            </w:pPr>
            <w:r>
              <w:rPr>
                <w:b/>
                <w:bCs/>
                <w:i w:val="false"/>
                <w:iCs w:val="false"/>
                <w:color w:val="B02020"/>
                <w:sz w:val="20"/>
                <w:szCs w:val="20"/>
              </w:rPr>
              <w:t xml:space="preserve">November 4, 2026 — USDA SNAP stocking standards</w:t>
            </w:r>
          </w:p>
        </w:tc>
      </w:tr>
    </w:tbl>
    <w:p>
      <w:r>
        <w:br w:type="page"/>
      </w:r>
    </w:p>
    <w:p>
      <w:pPr>
        <w:pStyle w:val="Heading1"/>
        <w:pBdr>
          <w:bottom w:val="single" w:color="D8D8D8" w:sz="6" w:space="6"/>
        </w:pBdr>
        <w:spacing w:after="160" w:before="360"/>
      </w:pPr>
      <w:r>
        <w:rPr>
          <w:b/>
          <w:bCs/>
          <w:color w:val="111111"/>
          <w:sz w:val="30"/>
          <w:szCs w:val="30"/>
        </w:rPr>
        <w:t xml:space="preserve">1.  The 90-Second Pitch</w:t>
      </w:r>
    </w:p>
    <w:p>
      <w:pPr>
        <w:spacing w:after="180" w:line="276"/>
      </w:pPr>
      <w:r>
        <w:rPr>
          <w:b w:val="false"/>
          <w:bCs w:val="false"/>
          <w:i w:val="false"/>
          <w:iCs w:val="false"/>
          <w:color w:val="5A5A5A"/>
          <w:sz w:val="21"/>
          <w:szCs w:val="21"/>
        </w:rPr>
        <w:t xml:space="preserve">Say it in this order. The problem lands first, then the stakes, then the product. Do not open with the tech.</w:t>
      </w:r>
    </w:p>
    <w:p>
      <w:pPr>
        <w:pStyle w:val="Heading2"/>
        <w:spacing w:after="100" w:before="260"/>
      </w:pPr>
      <w:r>
        <w:rPr>
          <w:b/>
          <w:bCs/>
          <w:color w:val="111111"/>
          <w:sz w:val="24"/>
          <w:szCs w:val="24"/>
        </w:rPr>
        <w:t xml:space="preserve">Beat 1 — The problem (20s)</w:t>
      </w:r>
    </w:p>
    <w:p>
      <w:pPr>
        <w:spacing w:after="160" w:line="276"/>
      </w:pPr>
      <w:r>
        <w:rPr>
          <w:b w:val="false"/>
          <w:bCs w:val="false"/>
          <w:i w:val="false"/>
          <w:iCs w:val="false"/>
          <w:color w:val="111111"/>
          <w:sz w:val="21"/>
          <w:szCs w:val="21"/>
        </w:rPr>
        <w:t xml:space="preserve">“A corner store is regulated like a supermarket and staffed like a household. The same person running the register also renews the tobacco licence, books the scale inspection, and keeps the food-handler cards current. Eight obligations, eight agencies, eight renewal dates — and nobody whose job it is to watch them.”</w:t>
      </w:r>
    </w:p>
    <w:p>
      <w:pPr>
        <w:pStyle w:val="Heading2"/>
        <w:spacing w:after="100" w:before="260"/>
      </w:pPr>
      <w:r>
        <w:rPr>
          <w:b/>
          <w:bCs/>
          <w:color w:val="111111"/>
          <w:sz w:val="24"/>
          <w:szCs w:val="24"/>
        </w:rPr>
        <w:t xml:space="preserve">Beat 2 — The stakes (25s)</w:t>
      </w:r>
    </w:p>
    <w:p>
      <w:pPr>
        <w:spacing w:after="120" w:line="276"/>
      </w:pPr>
      <w:r>
        <w:rPr>
          <w:b w:val="false"/>
          <w:bCs w:val="false"/>
          <w:i w:val="false"/>
          <w:iCs w:val="false"/>
          <w:color w:val="111111"/>
          <w:sz w:val="21"/>
          <w:szCs w:val="21"/>
        </w:rPr>
        <w:t xml:space="preserve">“Then the USDA moved the floor. From </w:t>
      </w:r>
      <w:r>
        <w:rPr>
          <w:b/>
          <w:bCs/>
          <w:i w:val="false"/>
          <w:iCs w:val="false"/>
          <w:color w:val="111111"/>
          <w:sz w:val="21"/>
          <w:szCs w:val="21"/>
        </w:rPr>
        <w:t xml:space="preserve">November 4</w:t>
      </w:r>
      <w:r>
        <w:rPr>
          <w:b w:val="false"/>
          <w:bCs w:val="false"/>
          <w:i w:val="false"/>
          <w:iCs w:val="false"/>
          <w:color w:val="111111"/>
          <w:sz w:val="21"/>
          <w:szCs w:val="21"/>
        </w:rPr>
        <w:t xml:space="preserve">, SNAP retailers need seven varieties in each of four staple categories, three units per variety, eighty-four units total, and a perishable in three of the four. Miss it and you’re withdrawn from SNAP — and a withdrawn store </w:t>
      </w:r>
      <w:r>
        <w:rPr>
          <w:b/>
          <w:bCs/>
          <w:i w:val="false"/>
          <w:iCs w:val="false"/>
          <w:color w:val="111111"/>
          <w:sz w:val="21"/>
          <w:szCs w:val="21"/>
        </w:rPr>
        <w:t xml:space="preserve">cannot reapply for six months</w:t>
      </w:r>
      <w:r>
        <w:rPr>
          <w:b w:val="false"/>
          <w:bCs w:val="false"/>
          <w:i w:val="false"/>
          <w:iCs w:val="false"/>
          <w:color w:val="111111"/>
          <w:sz w:val="21"/>
          <w:szCs w:val="21"/>
        </w:rPr>
        <w:t xml:space="preserve">.”</w:t>
      </w:r>
    </w:p>
    <w:p>
      <w:pPr>
        <w:spacing w:after="160" w:line="276"/>
      </w:pPr>
      <w:r>
        <w:rPr>
          <w:b w:val="false"/>
          <w:bCs w:val="false"/>
          <w:i w:val="false"/>
          <w:iCs w:val="false"/>
          <w:color w:val="111111"/>
          <w:sz w:val="21"/>
          <w:szCs w:val="21"/>
        </w:rPr>
        <w:t xml:space="preserve">“Six months without EBT isn’t a fine. For most of these stores, that’s the end. And nobody gets a warning letter — stocking just drifts.”</w:t>
      </w:r>
    </w:p>
    <w:p>
      <w:pPr>
        <w:pStyle w:val="Heading2"/>
        <w:spacing w:after="100" w:before="260"/>
      </w:pPr>
      <w:r>
        <w:rPr>
          <w:b/>
          <w:bCs/>
          <w:color w:val="111111"/>
          <w:sz w:val="24"/>
          <w:szCs w:val="24"/>
        </w:rPr>
        <w:t xml:space="preserve">Beat 3 — The product (30s)</w:t>
      </w:r>
    </w:p>
    <w:p>
      <w:pPr>
        <w:spacing w:after="120" w:line="276"/>
      </w:pPr>
      <w:r>
        <w:rPr>
          <w:b w:val="false"/>
          <w:bCs w:val="false"/>
          <w:i w:val="false"/>
          <w:iCs w:val="false"/>
          <w:color w:val="111111"/>
          <w:sz w:val="21"/>
          <w:szCs w:val="21"/>
        </w:rPr>
        <w:t xml:space="preserve">“The information already exists. It’s in a shoebox of paper wholesale order records behind the counter. Nothing reads it. So we built the thing that reads it.”</w:t>
      </w:r>
    </w:p>
    <w:p>
      <w:pPr>
        <w:pStyle w:val="ListParagraph"/>
        <w:numPr>
          <w:ilvl w:val="0"/>
          <w:numId w:val="2"/>
        </w:numPr>
        <w:spacing w:after="70" w:line="276"/>
      </w:pPr>
      <w:r>
        <w:rPr>
          <w:color w:val="111111"/>
          <w:sz w:val="21"/>
          <w:szCs w:val="21"/>
        </w:rPr>
        <w:t xml:space="preserve">Photograph the order record. You get a pass/fail scorecard in seconds, per category, with a ranked fix list — buy these three things and you pass.</w:t>
      </w:r>
    </w:p>
    <w:p>
      <w:pPr>
        <w:pStyle w:val="ListParagraph"/>
        <w:numPr>
          <w:ilvl w:val="0"/>
          <w:numId w:val="2"/>
        </w:numPr>
        <w:spacing w:after="70" w:line="276"/>
      </w:pPr>
      <w:r>
        <w:rPr>
          <w:color w:val="111111"/>
          <w:sz w:val="21"/>
          <w:szCs w:val="21"/>
        </w:rPr>
        <w:t xml:space="preserve">Every other licence the store runs on sits on one calendar, with what actually happens when each one lapses.</w:t>
      </w:r>
    </w:p>
    <w:p>
      <w:pPr>
        <w:pStyle w:val="ListParagraph"/>
        <w:numPr>
          <w:ilvl w:val="0"/>
          <w:numId w:val="2"/>
        </w:numPr>
        <w:spacing w:after="70" w:line="276"/>
      </w:pPr>
      <w:r>
        <w:rPr>
          <w:color w:val="111111"/>
          <w:sz w:val="21"/>
          <w:szCs w:val="21"/>
        </w:rPr>
        <w:t xml:space="preserve">English and Spanish, because a lot of these owners don't run their store in English.</w:t>
      </w:r>
    </w:p>
    <w:p>
      <w:pPr>
        <w:pStyle w:val="Heading2"/>
        <w:spacing w:after="100" w:before="260"/>
      </w:pPr>
      <w:r>
        <w:rPr>
          <w:b/>
          <w:bCs/>
          <w:color w:val="111111"/>
          <w:sz w:val="24"/>
          <w:szCs w:val="24"/>
        </w:rPr>
        <w:t xml:space="preserve">Beat 4 — The close (15s)</w:t>
      </w:r>
    </w:p>
    <w:p>
      <w:pPr>
        <w:spacing w:after="120" w:line="276"/>
      </w:pPr>
      <w:r>
        <w:rPr>
          <w:b w:val="false"/>
          <w:bCs w:val="false"/>
          <w:i w:val="false"/>
          <w:iCs w:val="false"/>
          <w:color w:val="111111"/>
          <w:sz w:val="21"/>
          <w:szCs w:val="21"/>
        </w:rPr>
        <w:t xml:space="preserve">“We undercount on purpose. If the photo is blurry, you get a </w:t>
      </w:r>
      <w:r>
        <w:rPr>
          <w:b w:val="false"/>
          <w:bCs w:val="false"/>
          <w:i/>
          <w:iCs/>
          <w:color w:val="111111"/>
          <w:sz w:val="21"/>
          <w:szCs w:val="21"/>
        </w:rPr>
        <w:t xml:space="preserve">shorter</w:t>
      </w:r>
      <w:r>
        <w:rPr>
          <w:b w:val="false"/>
          <w:bCs w:val="false"/>
          <w:i w:val="false"/>
          <w:iCs w:val="false"/>
          <w:color w:val="111111"/>
          <w:sz w:val="21"/>
          <w:szCs w:val="21"/>
        </w:rPr>
        <w:t xml:space="preserve"> count, never a wrong one — anything below confidence comes back as ‘couldn’t read these.’ A store owner can work with that. Nobody can work with silent invention.”</w:t>
      </w:r>
    </w:p>
    <w:p>
      <w:r>
        <w:br w:type="page"/>
      </w:r>
    </w:p>
    <w:p>
      <w:pPr>
        <w:pStyle w:val="Heading1"/>
        <w:pBdr>
          <w:bottom w:val="single" w:color="D8D8D8" w:sz="6" w:space="6"/>
        </w:pBdr>
        <w:spacing w:after="160" w:before="360"/>
      </w:pPr>
      <w:r>
        <w:rPr>
          <w:b/>
          <w:bCs/>
          <w:color w:val="111111"/>
          <w:sz w:val="30"/>
          <w:szCs w:val="30"/>
        </w:rPr>
        <w:t xml:space="preserve">2.  Live Demo Script</w:t>
      </w:r>
    </w:p>
    <w:p>
      <w:pPr>
        <w:spacing w:after="180" w:line="276"/>
      </w:pPr>
      <w:r>
        <w:rPr>
          <w:b w:val="false"/>
          <w:bCs w:val="false"/>
          <w:i w:val="false"/>
          <w:iCs w:val="false"/>
          <w:color w:val="5A5A5A"/>
          <w:sz w:val="21"/>
          <w:szCs w:val="21"/>
        </w:rPr>
        <w:t xml:space="preserve">Four minutes. Rehearse the click path once before you present — muscle memory beats improvisation when a judge is watching.</w:t>
      </w:r>
    </w:p>
    <w:tbl>
      <w:tblPr>
        <w:tblW w:type="dxa" w:w="9360"/>
        <w:tblBorders>
          <w:top w:val="none" w:color="FFFFFF" w:sz="0"/>
          <w:left w:val="single" w:color="1F45E0" w:sz="18"/>
          <w:bottom w:val="none" w:color="FFFFFF" w:sz="0"/>
          <w:right w:val="none" w:color="FFFFFF" w:sz="0"/>
          <w:insideH w:val="none" w:color="FFFFFF" w:sz="0"/>
          <w:insideV w:val="none" w:color="FFFFFF" w:sz="0"/>
        </w:tblBorders>
      </w:tblPr>
      <w:tblGrid>
        <w:gridCol w:w="9360"/>
      </w:tblGrid>
      <w:tr>
        <w:tc>
          <w:tcPr>
            <w:tcW w:type="dxa" w:w="9360"/>
            <w:shd w:fill="F4F6FB" w:color="auto" w:val="clear"/>
            <w:tcMar>
              <w:top w:type="dxa" w:w="160"/>
              <w:left w:type="dxa" w:w="200"/>
              <w:bottom w:type="dxa" w:w="160"/>
              <w:right w:type="dxa" w:w="200"/>
            </w:tcMar>
          </w:tcPr>
          <w:p>
            <w:pPr>
              <w:spacing w:after="60"/>
            </w:pPr>
            <w:r>
              <w:rPr>
                <w:b/>
                <w:bCs/>
                <w:color w:val="1F45E0"/>
                <w:spacing w:val="20"/>
                <w:sz w:val="16"/>
                <w:szCs w:val="16"/>
              </w:rPr>
              <w:t xml:space="preserve">BEFORE YOU START</w:t>
            </w:r>
          </w:p>
          <w:p>
            <w:pPr>
              <w:spacing w:after="80" w:line="276"/>
            </w:pPr>
            <w:r>
              <w:rPr>
                <w:color w:val="111111"/>
                <w:sz w:val="21"/>
                <w:szCs w:val="21"/>
              </w:rPr>
              <w:t xml:space="preserve">Open all three tabs in advance: the landing page, /demo, and /dashboard.</w:t>
            </w:r>
          </w:p>
          <w:p>
            <w:pPr>
              <w:spacing w:after="80" w:line="276"/>
            </w:pPr>
            <w:r>
              <w:rPr>
                <w:color w:val="111111"/>
                <w:sz w:val="21"/>
                <w:szCs w:val="21"/>
              </w:rPr>
              <w:t xml:space="preserve">On /dashboard, click “Load a sample store” BEFORE you present. Cold, it shows an empty state — that is a dead thirty seconds in front of a judge.</w:t>
            </w:r>
          </w:p>
          <w:p>
            <w:pPr>
              <w:spacing w:after="0" w:line="276"/>
            </w:pPr>
            <w:r>
              <w:rPr>
                <w:color w:val="111111"/>
                <w:sz w:val="21"/>
                <w:szCs w:val="21"/>
              </w:rPr>
              <w:t xml:space="preserve">Have the phone screenshot ready in case someone asks about mobile.</w:t>
            </w:r>
          </w:p>
        </w:tc>
      </w:tr>
    </w:tbl>
    <w:p>
      <w:pPr>
        <w:spacing w:after="140"/>
      </w:pPr>
      <w:r>
        <w:rPr>
          <w:sz w:val="12"/>
          <w:szCs w:val="12"/>
        </w:rPr>
        <w:t xml:space="preserve"/>
      </w:r>
    </w:p>
    <w:p>
      <w:pPr>
        <w:pStyle w:val="Heading2"/>
        <w:spacing w:after="100" w:before="260"/>
      </w:pPr>
      <w:r>
        <w:rPr>
          <w:b/>
          <w:bCs/>
          <w:color w:val="111111"/>
          <w:sz w:val="24"/>
          <w:szCs w:val="24"/>
        </w:rPr>
        <w:t xml:space="preserve">The click path</w:t>
      </w:r>
    </w:p>
    <w:p>
      <w:pPr>
        <w:pStyle w:val="ListParagraph"/>
        <w:numPr>
          <w:ilvl w:val="0"/>
          <w:numId w:val="3"/>
        </w:numPr>
        <w:spacing w:after="90" w:line="276"/>
      </w:pPr>
      <w:r>
        <w:rPr>
          <w:color w:val="111111"/>
          <w:sz w:val="21"/>
          <w:szCs w:val="21"/>
        </w:rPr>
        <w:t xml:space="preserve">Landing page. Read the headline out loud: “Keep every license your store runs on.” Point at the eight programme names in the subhead. Ten seconds, no more.</w:t>
      </w:r>
    </w:p>
    <w:p>
      <w:pPr>
        <w:pStyle w:val="ListParagraph"/>
        <w:numPr>
          <w:ilvl w:val="0"/>
          <w:numId w:val="3"/>
        </w:numPr>
        <w:spacing w:after="90" w:line="276"/>
      </w:pPr>
      <w:r>
        <w:rPr>
          <w:color w:val="111111"/>
          <w:sz w:val="21"/>
          <w:szCs w:val="21"/>
        </w:rPr>
        <w:t xml:space="preserve">Click the scorecard in the hero. It goes to the real dashboard — say that out loud. “That's not a picture, it's the product.”</w:t>
      </w:r>
    </w:p>
    <w:p>
      <w:pPr>
        <w:pStyle w:val="ListParagraph"/>
        <w:numPr>
          <w:ilvl w:val="0"/>
          <w:numId w:val="3"/>
        </w:numPr>
        <w:spacing w:after="90" w:line="276"/>
      </w:pPr>
      <w:r>
        <w:rPr>
          <w:color w:val="111111"/>
          <w:sz w:val="21"/>
          <w:szCs w:val="21"/>
        </w:rPr>
        <w:t xml:space="preserve">Dashboard. Land on the 63% ring and the three red rows. Say: “Two already expired, one due now. Each row says what actually happens — sales stop the day the ABC licence lapses.”</w:t>
      </w:r>
    </w:p>
    <w:p>
      <w:pPr>
        <w:pStyle w:val="ListParagraph"/>
        <w:numPr>
          <w:ilvl w:val="0"/>
          <w:numId w:val="3"/>
        </w:numPr>
        <w:spacing w:after="90" w:line="276"/>
      </w:pPr>
      <w:r>
        <w:rPr>
          <w:color w:val="111111"/>
          <w:sz w:val="21"/>
          <w:szCs w:val="21"/>
        </w:rPr>
        <w:t xml:space="preserve">Go to /demo. The sample scorecard is already loaded. Point at Dairy: 4 of 7 varieties, flagged Short. The other three clear.</w:t>
      </w:r>
    </w:p>
    <w:p>
      <w:pPr>
        <w:pStyle w:val="ListParagraph"/>
        <w:numPr>
          <w:ilvl w:val="0"/>
          <w:numId w:val="3"/>
        </w:numPr>
        <w:spacing w:after="90" w:line="276"/>
      </w:pPr>
      <w:r>
        <w:rPr>
          <w:color w:val="111111"/>
          <w:sz w:val="21"/>
          <w:szCs w:val="21"/>
        </w:rPr>
        <w:t xml:space="preserve">Scroll to the fix list. “It doesn't just fail you. It tells you what to buy to pass, and why each one helps.”</w:t>
      </w:r>
    </w:p>
    <w:p>
      <w:pPr>
        <w:pStyle w:val="ListParagraph"/>
        <w:numPr>
          <w:ilvl w:val="0"/>
          <w:numId w:val="3"/>
        </w:numPr>
        <w:spacing w:after="90" w:line="276"/>
      </w:pPr>
      <w:r>
        <w:rPr>
          <w:color w:val="111111"/>
          <w:sz w:val="21"/>
          <w:szCs w:val="21"/>
        </w:rPr>
        <w:t xml:space="preserve">Hit Español. The whole scorecard switches. Do not skip this — it lands every time and it takes four seconds.</w:t>
      </w:r>
    </w:p>
    <w:p>
      <w:pPr>
        <w:pStyle w:val="ListParagraph"/>
        <w:numPr>
          <w:ilvl w:val="0"/>
          <w:numId w:val="3"/>
        </w:numPr>
        <w:spacing w:after="90" w:line="276"/>
      </w:pPr>
      <w:r>
        <w:rPr>
          <w:color w:val="111111"/>
          <w:sz w:val="21"/>
          <w:szCs w:val="21"/>
        </w:rPr>
        <w:t xml:space="preserve">If you have a real photo and the key is live, scan it. If you don't, say the sample is a saved scan of a real order record and move on. Do not apologise for it.</w:t>
      </w:r>
    </w:p>
    <w:p>
      <w:pPr>
        <w:spacing w:after="160"/>
      </w:pPr>
      <w:r>
        <w:rPr>
          <w:sz w:val="12"/>
          <w:szCs w:val="12"/>
        </w:rPr>
        <w:t xml:space="preserve"/>
      </w:r>
    </w:p>
    <w:tbl>
      <w:tblPr>
        <w:tblW w:type="dxa" w:w="9360"/>
        <w:tblBorders>
          <w:top w:val="none" w:color="FFFFFF" w:sz="0"/>
          <w:left w:val="single" w:color="B02020" w:sz="18"/>
          <w:bottom w:val="none" w:color="FFFFFF" w:sz="0"/>
          <w:right w:val="none" w:color="FFFFFF" w:sz="0"/>
          <w:insideH w:val="none" w:color="FFFFFF" w:sz="0"/>
          <w:insideV w:val="none" w:color="FFFFFF" w:sz="0"/>
        </w:tblBorders>
      </w:tblPr>
      <w:tblGrid>
        <w:gridCol w:w="9360"/>
      </w:tblGrid>
      <w:tr>
        <w:tc>
          <w:tcPr>
            <w:tcW w:type="dxa" w:w="9360"/>
            <w:shd w:fill="F4F6FB" w:color="auto" w:val="clear"/>
            <w:tcMar>
              <w:top w:type="dxa" w:w="160"/>
              <w:left w:type="dxa" w:w="200"/>
              <w:bottom w:type="dxa" w:w="160"/>
              <w:right w:type="dxa" w:w="200"/>
            </w:tcMar>
          </w:tcPr>
          <w:p>
            <w:pPr>
              <w:spacing w:after="60"/>
            </w:pPr>
            <w:r>
              <w:rPr>
                <w:b/>
                <w:bCs/>
                <w:color w:val="B02020"/>
                <w:spacing w:val="20"/>
                <w:sz w:val="16"/>
                <w:szCs w:val="16"/>
              </w:rPr>
              <w:t xml:space="preserve">IF THE LIVE SCAN FAILS ON STAGE</w:t>
            </w:r>
          </w:p>
          <w:p>
            <w:pPr>
              <w:spacing w:after="80" w:line="276"/>
            </w:pPr>
            <w:r>
              <w:rPr>
                <w:color w:val="111111"/>
                <w:sz w:val="21"/>
                <w:szCs w:val="21"/>
              </w:rPr>
              <w:t xml:space="preserve">Do not debug in front of them. Say: “That's the upstream model rate-limiting us — here's a saved scan of the same record,” and click through to the sample.</w:t>
            </w:r>
          </w:p>
          <w:p>
            <w:pPr>
              <w:spacing w:after="0" w:line="276"/>
            </w:pPr>
            <w:r>
              <w:rPr>
                <w:color w:val="111111"/>
                <w:sz w:val="21"/>
                <w:szCs w:val="21"/>
              </w:rPr>
              <w:t xml:space="preserve">The fallback is real, not a cover story: the static site replays a saved scan when it can't reach the API, so a broken deployment costs the accuracy of the result, not the demo. That is a design decision worth naming out loud.</w:t>
            </w:r>
          </w:p>
        </w:tc>
      </w:tr>
    </w:tbl>
    <w:p>
      <w:r>
        <w:br w:type="page"/>
      </w:r>
    </w:p>
    <w:p>
      <w:pPr>
        <w:pStyle w:val="Heading1"/>
        <w:pBdr>
          <w:bottom w:val="single" w:color="D8D8D8" w:sz="6" w:space="6"/>
        </w:pBdr>
        <w:spacing w:after="160" w:before="360"/>
      </w:pPr>
      <w:r>
        <w:rPr>
          <w:b/>
          <w:bCs/>
          <w:color w:val="111111"/>
          <w:sz w:val="30"/>
          <w:szCs w:val="30"/>
        </w:rPr>
        <w:t xml:space="preserve">3.  Judge Q&amp;A</w:t>
      </w:r>
    </w:p>
    <w:p>
      <w:pPr>
        <w:spacing w:after="200" w:line="276"/>
      </w:pPr>
      <w:r>
        <w:rPr>
          <w:b w:val="false"/>
          <w:bCs w:val="false"/>
          <w:i w:val="false"/>
          <w:iCs w:val="false"/>
          <w:color w:val="5A5A5A"/>
          <w:sz w:val="21"/>
          <w:szCs w:val="21"/>
        </w:rPr>
        <w:t xml:space="preserve">The questions you will actually get, and the answer that closes each one. Short answers win — stop talking when you've answered it.</w:t>
      </w:r>
    </w:p>
    <w:p>
      <w:pPr>
        <w:pStyle w:val="Heading2"/>
        <w:spacing w:after="100" w:before="260"/>
      </w:pPr>
      <w:r>
        <w:rPr>
          <w:b/>
          <w:bCs/>
          <w:color w:val="111111"/>
          <w:sz w:val="24"/>
          <w:szCs w:val="24"/>
        </w:rPr>
        <w:t xml:space="preserve">On the product</w:t>
      </w:r>
    </w:p>
    <w:p>
      <w:pPr>
        <w:spacing w:after="60" w:line="276"/>
      </w:pPr>
      <w:r>
        <w:rPr>
          <w:b/>
          <w:bCs/>
          <w:i w:val="false"/>
          <w:iCs w:val="false"/>
          <w:color w:val="1F45E0"/>
          <w:sz w:val="21"/>
          <w:szCs w:val="21"/>
        </w:rPr>
        <w:t xml:space="preserve">Q. </w:t>
      </w:r>
      <w:r>
        <w:rPr>
          <w:b/>
          <w:bCs/>
          <w:i w:val="false"/>
          <w:iCs w:val="false"/>
          <w:color w:val="111111"/>
          <w:sz w:val="21"/>
          <w:szCs w:val="21"/>
        </w:rPr>
        <w:t xml:space="preserve">Isn't this just OCR?</w:t>
      </w:r>
    </w:p>
    <w:p>
      <w:pPr>
        <w:spacing w:after="60" w:line="276"/>
      </w:pPr>
      <w:r>
        <w:rPr>
          <w:b/>
          <w:bCs/>
          <w:i w:val="false"/>
          <w:iCs w:val="false"/>
          <w:color w:val="5A5A5A"/>
          <w:sz w:val="21"/>
          <w:szCs w:val="21"/>
        </w:rPr>
        <w:t xml:space="preserve">A. </w:t>
      </w:r>
      <w:r>
        <w:rPr>
          <w:b w:val="false"/>
          <w:bCs w:val="false"/>
          <w:i w:val="false"/>
          <w:iCs w:val="false"/>
          <w:color w:val="111111"/>
          <w:sz w:val="21"/>
          <w:szCs w:val="21"/>
        </w:rPr>
        <w:t xml:space="preserve">No. OCR gives you text. The hard part is turning “QUESO FRESCO 12/8OZ” into a dairy item, one variety, twelve sellable units, perishable — and then scoring four categories against a federal rule. The transcription is the easy half.</w:t>
      </w:r>
    </w:p>
    <w:p>
      <w:pPr>
        <w:spacing w:after="180" w:line="276"/>
        <w:ind w:left="220"/>
      </w:pPr>
      <w:r>
        <w:rPr>
          <w:b w:val="false"/>
          <w:bCs w:val="false"/>
          <w:i/>
          <w:iCs/>
          <w:color w:val="5A5A5A"/>
          <w:sz w:val="19"/>
          <w:szCs w:val="19"/>
        </w:rPr>
        <w:t xml:space="preserve">If pushed: we run two separate passes precisely so transcription and interpretation can't contaminate each other.</w:t>
      </w:r>
    </w:p>
    <w:p>
      <w:pPr>
        <w:spacing w:after="60" w:line="276"/>
      </w:pPr>
      <w:r>
        <w:rPr>
          <w:b/>
          <w:bCs/>
          <w:i w:val="false"/>
          <w:iCs w:val="false"/>
          <w:color w:val="1F45E0"/>
          <w:sz w:val="21"/>
          <w:szCs w:val="21"/>
        </w:rPr>
        <w:t xml:space="preserve">Q. </w:t>
      </w:r>
      <w:r>
        <w:rPr>
          <w:b/>
          <w:bCs/>
          <w:i w:val="false"/>
          <w:iCs w:val="false"/>
          <w:color w:val="111111"/>
          <w:sz w:val="21"/>
          <w:szCs w:val="21"/>
        </w:rPr>
        <w:t xml:space="preserve">Why would a store owner use this instead of just reading the rule?</w:t>
      </w:r>
    </w:p>
    <w:p>
      <w:pPr>
        <w:spacing w:after="180" w:line="276"/>
      </w:pPr>
      <w:r>
        <w:rPr>
          <w:b/>
          <w:bCs/>
          <w:i w:val="false"/>
          <w:iCs w:val="false"/>
          <w:color w:val="5A5A5A"/>
          <w:sz w:val="21"/>
          <w:szCs w:val="21"/>
        </w:rPr>
        <w:t xml:space="preserve">A. </w:t>
      </w:r>
      <w:r>
        <w:rPr>
          <w:b w:val="false"/>
          <w:bCs w:val="false"/>
          <w:i w:val="false"/>
          <w:iCs w:val="false"/>
          <w:color w:val="111111"/>
          <w:sz w:val="21"/>
          <w:szCs w:val="21"/>
        </w:rPr>
        <w:t xml:space="preserve">Because the rule isn't the problem — knowing where you stand against it is. The rule is four numbers. Counting your own shelf against those four numbers, every week, across four categories, is the work. That's what we automate.</w:t>
      </w:r>
    </w:p>
    <w:p>
      <w:pPr>
        <w:spacing w:after="60" w:line="276"/>
      </w:pPr>
      <w:r>
        <w:rPr>
          <w:b/>
          <w:bCs/>
          <w:i w:val="false"/>
          <w:iCs w:val="false"/>
          <w:color w:val="1F45E0"/>
          <w:sz w:val="21"/>
          <w:szCs w:val="21"/>
        </w:rPr>
        <w:t xml:space="preserve">Q. </w:t>
      </w:r>
      <w:r>
        <w:rPr>
          <w:b/>
          <w:bCs/>
          <w:i w:val="false"/>
          <w:iCs w:val="false"/>
          <w:color w:val="111111"/>
          <w:sz w:val="21"/>
          <w:szCs w:val="21"/>
        </w:rPr>
        <w:t xml:space="preserve">Who actually pays for this?</w:t>
      </w:r>
    </w:p>
    <w:p>
      <w:pPr>
        <w:spacing w:after="180" w:line="276"/>
      </w:pPr>
      <w:r>
        <w:rPr>
          <w:b/>
          <w:bCs/>
          <w:i w:val="false"/>
          <w:iCs w:val="false"/>
          <w:color w:val="5A5A5A"/>
          <w:sz w:val="21"/>
          <w:szCs w:val="21"/>
        </w:rPr>
        <w:t xml:space="preserve">A. </w:t>
      </w:r>
      <w:r>
        <w:rPr>
          <w:b w:val="false"/>
          <w:bCs w:val="false"/>
          <w:i w:val="false"/>
          <w:iCs w:val="false"/>
          <w:color w:val="111111"/>
          <w:sz w:val="21"/>
          <w:szCs w:val="21"/>
        </w:rPr>
        <w:t xml:space="preserve">The store owner. Twenty-nine dollars a month against a six-month SNAP withdrawal is not a hard sell. The group tier is for owners running two to ten locations, which is more common than people expect.</w:t>
      </w:r>
    </w:p>
    <w:p>
      <w:pPr>
        <w:spacing w:after="60" w:line="276"/>
      </w:pPr>
      <w:r>
        <w:rPr>
          <w:b/>
          <w:bCs/>
          <w:i w:val="false"/>
          <w:iCs w:val="false"/>
          <w:color w:val="1F45E0"/>
          <w:sz w:val="21"/>
          <w:szCs w:val="21"/>
        </w:rPr>
        <w:t xml:space="preserve">Q. </w:t>
      </w:r>
      <w:r>
        <w:rPr>
          <w:b/>
          <w:bCs/>
          <w:i w:val="false"/>
          <w:iCs w:val="false"/>
          <w:color w:val="111111"/>
          <w:sz w:val="21"/>
          <w:szCs w:val="21"/>
        </w:rPr>
        <w:t xml:space="preserve">What if they don't sell food?</w:t>
      </w:r>
    </w:p>
    <w:p>
      <w:pPr>
        <w:spacing w:after="180" w:line="276"/>
      </w:pPr>
      <w:r>
        <w:rPr>
          <w:b/>
          <w:bCs/>
          <w:i w:val="false"/>
          <w:iCs w:val="false"/>
          <w:color w:val="5A5A5A"/>
          <w:sz w:val="21"/>
          <w:szCs w:val="21"/>
        </w:rPr>
        <w:t xml:space="preserve">A. </w:t>
      </w:r>
      <w:r>
        <w:rPr>
          <w:b w:val="false"/>
          <w:bCs w:val="false"/>
          <w:i w:val="false"/>
          <w:iCs w:val="false"/>
          <w:color w:val="111111"/>
          <w:sz w:val="21"/>
          <w:szCs w:val="21"/>
        </w:rPr>
        <w:t xml:space="preserve">Only the order-record scan is food-specific. The permit tracking isn't. Auto parts, liquor, pharmacy and hardware all carry permit stacks with different renewal dates and different inspectors — that's why we have five industry pages.</w:t>
      </w:r>
    </w:p>
    <w:p>
      <w:pPr>
        <w:pStyle w:val="Heading2"/>
        <w:spacing w:after="100" w:before="260"/>
      </w:pPr>
      <w:r>
        <w:rPr>
          <w:b/>
          <w:bCs/>
          <w:color w:val="111111"/>
          <w:sz w:val="24"/>
          <w:szCs w:val="24"/>
        </w:rPr>
        <w:t xml:space="preserve">On the technology</w:t>
      </w:r>
    </w:p>
    <w:p>
      <w:pPr>
        <w:spacing w:after="60" w:line="276"/>
      </w:pPr>
      <w:r>
        <w:rPr>
          <w:b/>
          <w:bCs/>
          <w:i w:val="false"/>
          <w:iCs w:val="false"/>
          <w:color w:val="1F45E0"/>
          <w:sz w:val="21"/>
          <w:szCs w:val="21"/>
        </w:rPr>
        <w:t xml:space="preserve">Q. </w:t>
      </w:r>
      <w:r>
        <w:rPr>
          <w:b/>
          <w:bCs/>
          <w:i w:val="false"/>
          <w:iCs w:val="false"/>
          <w:color w:val="111111"/>
          <w:sz w:val="21"/>
          <w:szCs w:val="21"/>
        </w:rPr>
        <w:t xml:space="preserve">How do you stop the model from hallucinating stock?</w:t>
      </w:r>
    </w:p>
    <w:p>
      <w:pPr>
        <w:spacing w:after="60" w:line="276"/>
      </w:pPr>
      <w:r>
        <w:rPr>
          <w:b/>
          <w:bCs/>
          <w:i w:val="false"/>
          <w:iCs w:val="false"/>
          <w:color w:val="5A5A5A"/>
          <w:sz w:val="21"/>
          <w:szCs w:val="21"/>
        </w:rPr>
        <w:t xml:space="preserve">A. </w:t>
      </w:r>
      <w:r>
        <w:rPr>
          <w:b w:val="false"/>
          <w:bCs w:val="false"/>
          <w:i w:val="false"/>
          <w:iCs w:val="false"/>
          <w:color w:val="111111"/>
          <w:sz w:val="21"/>
          <w:szCs w:val="21"/>
        </w:rPr>
        <w:t xml:space="preserve">Three ways. We split transcription and classification into separate passes so a bad read stays a bad read instead of becoming a confident classification. We ignore message content entirely and only accept a schema-valid tool call. And anything under 0.75 confidence isn't counted at all — it comes back in an excluded list with a reason.</w:t>
      </w:r>
    </w:p>
    <w:p>
      <w:pPr>
        <w:spacing w:after="180" w:line="276"/>
        <w:ind w:left="220"/>
      </w:pPr>
      <w:r>
        <w:rPr>
          <w:b w:val="false"/>
          <w:bCs w:val="false"/>
          <w:i/>
          <w:iCs/>
          <w:color w:val="5A5A5A"/>
          <w:sz w:val="19"/>
          <w:szCs w:val="19"/>
        </w:rPr>
        <w:t xml:space="preserve">This is the strongest answer in the doc. Lead with it if they ask anything about reliability.</w:t>
      </w:r>
    </w:p>
    <w:p>
      <w:pPr>
        <w:spacing w:after="60" w:line="276"/>
      </w:pPr>
      <w:r>
        <w:rPr>
          <w:b/>
          <w:bCs/>
          <w:i w:val="false"/>
          <w:iCs w:val="false"/>
          <w:color w:val="1F45E0"/>
          <w:sz w:val="21"/>
          <w:szCs w:val="21"/>
        </w:rPr>
        <w:t xml:space="preserve">Q. </w:t>
      </w:r>
      <w:r>
        <w:rPr>
          <w:b/>
          <w:bCs/>
          <w:i w:val="false"/>
          <w:iCs w:val="false"/>
          <w:color w:val="111111"/>
          <w:sz w:val="21"/>
          <w:szCs w:val="21"/>
        </w:rPr>
        <w:t xml:space="preserve">What's your accuracy?</w:t>
      </w:r>
    </w:p>
    <w:p>
      <w:pPr>
        <w:spacing w:after="60" w:line="276"/>
      </w:pPr>
      <w:r>
        <w:rPr>
          <w:b/>
          <w:bCs/>
          <w:i w:val="false"/>
          <w:iCs w:val="false"/>
          <w:color w:val="5A5A5A"/>
          <w:sz w:val="21"/>
          <w:szCs w:val="21"/>
        </w:rPr>
        <w:t xml:space="preserve">A. </w:t>
      </w:r>
      <w:r>
        <w:rPr>
          <w:b w:val="false"/>
          <w:bCs w:val="false"/>
          <w:i w:val="false"/>
          <w:iCs w:val="false"/>
          <w:color w:val="111111"/>
          <w:sz w:val="21"/>
          <w:szCs w:val="21"/>
        </w:rPr>
        <w:t xml:space="preserve">We deliberately optimise for not being wrong rather than for being complete. A blurry photo produces a shorter count, never an inflated one. We'd rather tell an owner “I couldn't read four lines” than quietly invent them, because the second one destroys trust the first time they catch it.</w:t>
      </w:r>
    </w:p>
    <w:p>
      <w:pPr>
        <w:spacing w:after="180" w:line="276"/>
        <w:ind w:left="220"/>
      </w:pPr>
      <w:r>
        <w:rPr>
          <w:b w:val="false"/>
          <w:bCs w:val="false"/>
          <w:i/>
          <w:iCs/>
          <w:color w:val="5A5A5A"/>
          <w:sz w:val="19"/>
          <w:szCs w:val="19"/>
        </w:rPr>
        <w:t xml:space="preserve">Do not invent a percentage. This answer is better than a number you can't defend.</w:t>
      </w:r>
    </w:p>
    <w:p>
      <w:pPr>
        <w:spacing w:after="60" w:line="276"/>
      </w:pPr>
      <w:r>
        <w:rPr>
          <w:b/>
          <w:bCs/>
          <w:i w:val="false"/>
          <w:iCs w:val="false"/>
          <w:color w:val="1F45E0"/>
          <w:sz w:val="21"/>
          <w:szCs w:val="21"/>
        </w:rPr>
        <w:t xml:space="preserve">Q. </w:t>
      </w:r>
      <w:r>
        <w:rPr>
          <w:b/>
          <w:bCs/>
          <w:i w:val="false"/>
          <w:iCs w:val="false"/>
          <w:color w:val="111111"/>
          <w:sz w:val="21"/>
          <w:szCs w:val="21"/>
        </w:rPr>
        <w:t xml:space="preserve">Why that model?</w:t>
      </w:r>
    </w:p>
    <w:p>
      <w:pPr>
        <w:spacing w:after="180" w:line="276"/>
      </w:pPr>
      <w:r>
        <w:rPr>
          <w:b/>
          <w:bCs/>
          <w:i w:val="false"/>
          <w:iCs w:val="false"/>
          <w:color w:val="5A5A5A"/>
          <w:sz w:val="21"/>
          <w:szCs w:val="21"/>
        </w:rPr>
        <w:t xml:space="preserve">A. </w:t>
      </w:r>
      <w:r>
        <w:rPr>
          <w:b w:val="false"/>
          <w:bCs w:val="false"/>
          <w:i w:val="false"/>
          <w:iCs w:val="false"/>
          <w:color w:val="111111"/>
          <w:sz w:val="21"/>
          <w:szCs w:val="21"/>
        </w:rPr>
        <w:t xml:space="preserve">It takes images and supports tools, and it's free on OpenRouter, which matters for a product priced at twenty-nine dollars. The pipeline isn't coupled to it — model, temperature, token ceiling and timeout are all constants in one file.</w:t>
      </w:r>
    </w:p>
    <w:p>
      <w:pPr>
        <w:spacing w:after="60" w:line="276"/>
      </w:pPr>
      <w:r>
        <w:rPr>
          <w:b/>
          <w:bCs/>
          <w:i w:val="false"/>
          <w:iCs w:val="false"/>
          <w:color w:val="1F45E0"/>
          <w:sz w:val="21"/>
          <w:szCs w:val="21"/>
        </w:rPr>
        <w:t xml:space="preserve">Q. </w:t>
      </w:r>
      <w:r>
        <w:rPr>
          <w:b/>
          <w:bCs/>
          <w:i w:val="false"/>
          <w:iCs w:val="false"/>
          <w:color w:val="111111"/>
          <w:sz w:val="21"/>
          <w:szCs w:val="21"/>
        </w:rPr>
        <w:t xml:space="preserve">Did you use structured outputs?</w:t>
      </w:r>
    </w:p>
    <w:p>
      <w:pPr>
        <w:spacing w:after="60" w:line="276"/>
      </w:pPr>
      <w:r>
        <w:rPr>
          <w:b/>
          <w:bCs/>
          <w:i w:val="false"/>
          <w:iCs w:val="false"/>
          <w:color w:val="5A5A5A"/>
          <w:sz w:val="21"/>
          <w:szCs w:val="21"/>
        </w:rPr>
        <w:t xml:space="preserve">A. </w:t>
      </w:r>
      <w:r>
        <w:rPr>
          <w:b w:val="false"/>
          <w:bCs w:val="false"/>
          <w:i w:val="false"/>
          <w:iCs w:val="false"/>
          <w:color w:val="111111"/>
          <w:sz w:val="21"/>
          <w:szCs w:val="21"/>
        </w:rPr>
        <w:t xml:space="preserve">We couldn't. The model doesn't support response_format — the request is rejected before inference — and its only live provider rejects every explicit tool_choice value. So each pass declares exactly one function generated from a Zod schema, omits tool_choice, and we read the answer out of tool_calls and re-validate it against that same schema. Anything else fails closed.</w:t>
      </w:r>
    </w:p>
    <w:p>
      <w:pPr>
        <w:spacing w:after="180" w:line="276"/>
        <w:ind w:left="220"/>
      </w:pPr>
      <w:r>
        <w:rPr>
          <w:b w:val="false"/>
          <w:bCs w:val="false"/>
          <w:i/>
          <w:iCs/>
          <w:color w:val="5A5A5A"/>
          <w:sz w:val="19"/>
          <w:szCs w:val="19"/>
        </w:rPr>
        <w:t xml:space="preserve">This is a genuinely interesting war story. Judges remember specifics.</w:t>
      </w:r>
    </w:p>
    <w:p>
      <w:pPr>
        <w:spacing w:after="60" w:line="276"/>
      </w:pPr>
      <w:r>
        <w:rPr>
          <w:b/>
          <w:bCs/>
          <w:i w:val="false"/>
          <w:iCs w:val="false"/>
          <w:color w:val="1F45E0"/>
          <w:sz w:val="21"/>
          <w:szCs w:val="21"/>
        </w:rPr>
        <w:t xml:space="preserve">Q. </w:t>
      </w:r>
      <w:r>
        <w:rPr>
          <w:b/>
          <w:bCs/>
          <w:i w:val="false"/>
          <w:iCs w:val="false"/>
          <w:color w:val="111111"/>
          <w:sz w:val="21"/>
          <w:szCs w:val="21"/>
        </w:rPr>
        <w:t xml:space="preserve">What happens when it breaks?</w:t>
      </w:r>
    </w:p>
    <w:p>
      <w:pPr>
        <w:spacing w:after="180" w:line="276"/>
      </w:pPr>
      <w:r>
        <w:rPr>
          <w:b/>
          <w:bCs/>
          <w:i w:val="false"/>
          <w:iCs w:val="false"/>
          <w:color w:val="5A5A5A"/>
          <w:sz w:val="21"/>
          <w:szCs w:val="21"/>
        </w:rPr>
        <w:t xml:space="preserve">A. </w:t>
      </w:r>
      <w:r>
        <w:rPr>
          <w:b w:val="false"/>
          <w:bCs w:val="false"/>
          <w:i w:val="false"/>
          <w:iCs w:val="false"/>
          <w:color w:val="111111"/>
          <w:sz w:val="21"/>
          <w:szCs w:val="21"/>
        </w:rPr>
        <w:t xml:space="preserve">Eleven typed error codes, each mapped to a real HTTP status. A missing key returns a 500 whose message says exactly that, rather than a generic crash. And the static fallback replays a saved scan when the API is unreachable.</w:t>
      </w:r>
    </w:p>
    <w:p>
      <w:pPr>
        <w:pStyle w:val="Heading2"/>
        <w:spacing w:after="100" w:before="260"/>
      </w:pPr>
      <w:r>
        <w:rPr>
          <w:b/>
          <w:bCs/>
          <w:color w:val="111111"/>
          <w:sz w:val="24"/>
          <w:szCs w:val="24"/>
        </w:rPr>
        <w:t xml:space="preserve">On the risky ground</w:t>
      </w:r>
    </w:p>
    <w:tbl>
      <w:tblPr>
        <w:tblW w:type="dxa" w:w="9360"/>
        <w:tblBorders>
          <w:top w:val="none" w:color="FFFFFF" w:sz="0"/>
          <w:left w:val="single" w:color="B02020" w:sz="18"/>
          <w:bottom w:val="none" w:color="FFFFFF" w:sz="0"/>
          <w:right w:val="none" w:color="FFFFFF" w:sz="0"/>
          <w:insideH w:val="none" w:color="FFFFFF" w:sz="0"/>
          <w:insideV w:val="none" w:color="FFFFFF" w:sz="0"/>
        </w:tblBorders>
      </w:tblPr>
      <w:tblGrid>
        <w:gridCol w:w="9360"/>
      </w:tblGrid>
      <w:tr>
        <w:tc>
          <w:tcPr>
            <w:tcW w:type="dxa" w:w="9360"/>
            <w:shd w:fill="F4F6FB" w:color="auto" w:val="clear"/>
            <w:tcMar>
              <w:top w:type="dxa" w:w="160"/>
              <w:left w:type="dxa" w:w="200"/>
              <w:bottom w:type="dxa" w:w="160"/>
              <w:right w:type="dxa" w:w="200"/>
            </w:tcMar>
          </w:tcPr>
          <w:p>
            <w:pPr>
              <w:spacing w:after="60"/>
            </w:pPr>
            <w:r>
              <w:rPr>
                <w:b/>
                <w:bCs/>
                <w:color w:val="B02020"/>
                <w:spacing w:val="20"/>
                <w:sz w:val="16"/>
                <w:szCs w:val="16"/>
              </w:rPr>
              <w:t xml:space="preserve">DO NOT IMPROVISE ON THESE TWO. USE THE ANSWER AS WRITTEN.</w:t>
            </w:r>
          </w:p>
          <w:p>
            <w:pPr>
              <w:spacing w:after="0" w:line="276"/>
            </w:pPr>
            <w:r>
              <w:rPr>
                <w:color w:val="111111"/>
                <w:sz w:val="21"/>
                <w:szCs w:val="21"/>
              </w:rPr>
              <w:t xml:space="preserve">Affiliation and legal advice are where a good demo goes wrong. Both answers are short on purpose.</w:t>
            </w:r>
          </w:p>
        </w:tc>
      </w:tr>
    </w:tbl>
    <w:p>
      <w:pPr>
        <w:spacing w:after="140"/>
      </w:pPr>
      <w:r>
        <w:rPr>
          <w:sz w:val="12"/>
          <w:szCs w:val="12"/>
        </w:rPr>
        <w:t xml:space="preserve"/>
      </w:r>
    </w:p>
    <w:p>
      <w:pPr>
        <w:spacing w:after="60" w:line="276"/>
      </w:pPr>
      <w:r>
        <w:rPr>
          <w:b/>
          <w:bCs/>
          <w:i w:val="false"/>
          <w:iCs w:val="false"/>
          <w:color w:val="1F45E0"/>
          <w:sz w:val="21"/>
          <w:szCs w:val="21"/>
        </w:rPr>
        <w:t xml:space="preserve">Q. </w:t>
      </w:r>
      <w:r>
        <w:rPr>
          <w:b/>
          <w:bCs/>
          <w:i w:val="false"/>
          <w:iCs w:val="false"/>
          <w:color w:val="111111"/>
          <w:sz w:val="21"/>
          <w:szCs w:val="21"/>
        </w:rPr>
        <w:t xml:space="preserve">Are you affiliated with the USDA, or with SNAP?</w:t>
      </w:r>
    </w:p>
    <w:p>
      <w:pPr>
        <w:spacing w:after="180" w:line="276"/>
      </w:pPr>
      <w:r>
        <w:rPr>
          <w:b/>
          <w:bCs/>
          <w:i w:val="false"/>
          <w:iCs w:val="false"/>
          <w:color w:val="5A5A5A"/>
          <w:sz w:val="21"/>
          <w:szCs w:val="21"/>
        </w:rPr>
        <w:t xml:space="preserve">A. </w:t>
      </w:r>
      <w:r>
        <w:rPr>
          <w:b w:val="false"/>
          <w:bCs w:val="false"/>
          <w:i w:val="false"/>
          <w:iCs w:val="false"/>
          <w:color w:val="111111"/>
          <w:sz w:val="21"/>
          <w:szCs w:val="21"/>
        </w:rPr>
        <w:t xml:space="preserve">No. Ledger tracks published programme requirements so a store can see where it stands. It is not affiliated with, endorsed by, or acting on behalf of any agency or programme, and no authorization decision is ever ours. That line is a single string in the codebase that every page imports — it can't be softened on one page and not another.</w:t>
      </w:r>
    </w:p>
    <w:p>
      <w:pPr>
        <w:spacing w:after="60" w:line="276"/>
      </w:pPr>
      <w:r>
        <w:rPr>
          <w:b/>
          <w:bCs/>
          <w:i w:val="false"/>
          <w:iCs w:val="false"/>
          <w:color w:val="1F45E0"/>
          <w:sz w:val="21"/>
          <w:szCs w:val="21"/>
        </w:rPr>
        <w:t xml:space="preserve">Q. </w:t>
      </w:r>
      <w:r>
        <w:rPr>
          <w:b/>
          <w:bCs/>
          <w:i w:val="false"/>
          <w:iCs w:val="false"/>
          <w:color w:val="111111"/>
          <w:sz w:val="21"/>
          <w:szCs w:val="21"/>
        </w:rPr>
        <w:t xml:space="preserve">Is this legal advice?</w:t>
      </w:r>
    </w:p>
    <w:p>
      <w:pPr>
        <w:spacing w:after="180" w:line="276"/>
      </w:pPr>
      <w:r>
        <w:rPr>
          <w:b/>
          <w:bCs/>
          <w:i w:val="false"/>
          <w:iCs w:val="false"/>
          <w:color w:val="5A5A5A"/>
          <w:sz w:val="21"/>
          <w:szCs w:val="21"/>
        </w:rPr>
        <w:t xml:space="preserve">A. </w:t>
      </w:r>
      <w:r>
        <w:rPr>
          <w:b w:val="false"/>
          <w:bCs w:val="false"/>
          <w:i w:val="false"/>
          <w:iCs w:val="false"/>
          <w:color w:val="111111"/>
          <w:sz w:val="21"/>
          <w:szCs w:val="21"/>
        </w:rPr>
        <w:t xml:space="preserve">No, and we say so. We keep a regulatory-basis document that records, with primary USDA sources and a verification date, exactly which claims we can support and where the product has to stop short.</w:t>
      </w:r>
    </w:p>
    <w:p>
      <w:pPr>
        <w:spacing w:after="60" w:line="276"/>
      </w:pPr>
      <w:r>
        <w:rPr>
          <w:b/>
          <w:bCs/>
          <w:i w:val="false"/>
          <w:iCs w:val="false"/>
          <w:color w:val="1F45E0"/>
          <w:sz w:val="21"/>
          <w:szCs w:val="21"/>
        </w:rPr>
        <w:t xml:space="preserve">Q. </w:t>
      </w:r>
      <w:r>
        <w:rPr>
          <w:b/>
          <w:bCs/>
          <w:i w:val="false"/>
          <w:iCs w:val="false"/>
          <w:color w:val="111111"/>
          <w:sz w:val="21"/>
          <w:szCs w:val="21"/>
        </w:rPr>
        <w:t xml:space="preserve">What's the moat? Couldn't anyone build this?</w:t>
      </w:r>
    </w:p>
    <w:p>
      <w:pPr>
        <w:spacing w:after="60" w:line="276"/>
      </w:pPr>
      <w:r>
        <w:rPr>
          <w:b/>
          <w:bCs/>
          <w:i w:val="false"/>
          <w:iCs w:val="false"/>
          <w:color w:val="5A5A5A"/>
          <w:sz w:val="21"/>
          <w:szCs w:val="21"/>
        </w:rPr>
        <w:t xml:space="preserve">A. </w:t>
      </w:r>
      <w:r>
        <w:rPr>
          <w:b w:val="false"/>
          <w:bCs w:val="false"/>
          <w:i w:val="false"/>
          <w:iCs w:val="false"/>
          <w:color w:val="111111"/>
          <w:sz w:val="21"/>
          <w:szCs w:val="21"/>
        </w:rPr>
        <w:t xml:space="preserve">The vision pipeline isn't the moat — the encoded domain knowledge is. Butter is an accessory food and counts for nothing, but peanut butter is a countable protein. A 24-pack is 24 units. Anything sold by weight has no unit count and has to be held back. None of that is in the model; it's in our rule engine, enforced twice, and it came from reading the actual rule.</w:t>
      </w:r>
    </w:p>
    <w:p>
      <w:pPr>
        <w:spacing w:after="180" w:line="276"/>
        <w:ind w:left="220"/>
      </w:pPr>
      <w:r>
        <w:rPr>
          <w:b w:val="false"/>
          <w:bCs w:val="false"/>
          <w:i/>
          <w:iCs/>
          <w:color w:val="5A5A5A"/>
          <w:sz w:val="19"/>
          <w:szCs w:val="19"/>
        </w:rPr>
        <w:t xml:space="preserve">Strong closing answer. Have it ready for the last question.</w:t>
      </w:r>
    </w:p>
    <w:p>
      <w:r>
        <w:br w:type="page"/>
      </w:r>
    </w:p>
    <w:p>
      <w:pPr>
        <w:pStyle w:val="Heading1"/>
        <w:pBdr>
          <w:bottom w:val="single" w:color="D8D8D8" w:sz="6" w:space="6"/>
        </w:pBdr>
        <w:spacing w:after="160" w:before="360"/>
      </w:pPr>
      <w:r>
        <w:rPr>
          <w:b/>
          <w:bCs/>
          <w:color w:val="111111"/>
          <w:sz w:val="30"/>
          <w:szCs w:val="30"/>
        </w:rPr>
        <w:t xml:space="preserve">4.  Numbers To Have Cold</w:t>
      </w:r>
    </w:p>
    <w:p>
      <w:pPr>
        <w:spacing w:after="180" w:line="276"/>
      </w:pPr>
      <w:r>
        <w:rPr>
          <w:b w:val="false"/>
          <w:bCs w:val="false"/>
          <w:i w:val="false"/>
          <w:iCs w:val="false"/>
          <w:color w:val="5A5A5A"/>
          <w:sz w:val="21"/>
          <w:szCs w:val="21"/>
        </w:rPr>
        <w:t xml:space="preserve">If you can't say these without looking down, learn them. Getting a number wrong in front of a judge costs more than not citing one.</w:t>
      </w:r>
    </w:p>
    <w:p>
      <w:pPr>
        <w:pStyle w:val="Heading2"/>
        <w:spacing w:after="100" w:before="260"/>
      </w:pPr>
      <w:r>
        <w:rPr>
          <w:b/>
          <w:bCs/>
          <w:color w:val="111111"/>
          <w:sz w:val="24"/>
          <w:szCs w:val="24"/>
        </w:rPr>
        <w:t xml:space="preserve">The rule</w:t>
      </w:r>
    </w:p>
    <w:tbl>
      <w:tblPr>
        <w:tblW w:type="dxa" w:w="9360"/>
        <w:tblBorders>
          <w:top w:val="none" w:color="FFFFFF" w:sz="0"/>
          <w:left w:val="none" w:color="FFFFFF" w:sz="0"/>
          <w:bottom w:val="single" w:color="D8D8D8" w:sz="6"/>
          <w:right w:val="none" w:color="FFFFFF" w:sz="0"/>
          <w:insideH w:val="single" w:color="D8D8D8" w:sz="6"/>
          <w:insideV w:val="none" w:color="FFFFFF" w:sz="0"/>
        </w:tblBorders>
      </w:tblPr>
      <w:tblGrid>
        <w:gridCol w:w="4600"/>
        <w:gridCol w:w="4760"/>
      </w:tblGrid>
      <w:tr>
        <w:trPr>
          <w:tblHeader/>
        </w:trPr>
        <w:tc>
          <w:tcPr>
            <w:tcW w:type="dxa" w:w="4600"/>
            <w:shd w:fill="111111" w:color="auto" w:val="clear"/>
            <w:tcMar>
              <w:top w:type="dxa" w:w="110"/>
              <w:left w:type="dxa" w:w="140"/>
              <w:bottom w:type="dxa" w:w="110"/>
              <w:right w:type="dxa" w:w="140"/>
            </w:tcMar>
          </w:tcPr>
          <w:p>
            <w:pPr>
              <w:spacing w:after="0"/>
            </w:pPr>
            <w:r>
              <w:rPr>
                <w:b/>
                <w:bCs/>
                <w:color w:val="FFFFFF"/>
                <w:spacing w:val="16"/>
                <w:sz w:val="17"/>
                <w:szCs w:val="17"/>
              </w:rPr>
              <w:t xml:space="preserve">REQUIREMENT</w:t>
            </w:r>
          </w:p>
        </w:tc>
        <w:tc>
          <w:tcPr>
            <w:tcW w:type="dxa" w:w="4760"/>
            <w:shd w:fill="111111" w:color="auto" w:val="clear"/>
            <w:tcMar>
              <w:top w:type="dxa" w:w="110"/>
              <w:left w:type="dxa" w:w="140"/>
              <w:bottom w:type="dxa" w:w="110"/>
              <w:right w:type="dxa" w:w="140"/>
            </w:tcMar>
          </w:tcPr>
          <w:p>
            <w:pPr>
              <w:spacing w:after="0"/>
            </w:pPr>
            <w:r>
              <w:rPr>
                <w:b/>
                <w:bCs/>
                <w:color w:val="FFFFFF"/>
                <w:spacing w:val="16"/>
                <w:sz w:val="17"/>
                <w:szCs w:val="17"/>
              </w:rPr>
              <w:t xml:space="preserve">THRESHOLD</w:t>
            </w:r>
          </w:p>
        </w:tc>
      </w:tr>
      <w:tr>
        <w:tc>
          <w:tcPr>
            <w:tcW w:type="dxa" w:w="460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Varieties per staple category</w:t>
            </w:r>
          </w:p>
        </w:tc>
        <w:tc>
          <w:tcPr>
            <w:tcW w:type="dxa" w:w="4760"/>
            <w:shd w:fill="FFFFFF" w:color="auto" w:val="clear"/>
            <w:tcMar>
              <w:top w:type="dxa" w:w="110"/>
              <w:left w:type="dxa" w:w="140"/>
              <w:bottom w:type="dxa" w:w="110"/>
              <w:right w:type="dxa" w:w="140"/>
            </w:tcMar>
          </w:tcPr>
          <w:p>
            <w:pPr>
              <w:spacing w:after="0" w:line="264"/>
            </w:pPr>
            <w:r>
              <w:rPr>
                <w:b/>
                <w:bCs/>
                <w:i w:val="false"/>
                <w:iCs w:val="false"/>
                <w:color w:val="111111"/>
                <w:sz w:val="20"/>
                <w:szCs w:val="20"/>
              </w:rPr>
              <w:t xml:space="preserve">7</w:t>
            </w:r>
          </w:p>
        </w:tc>
      </w:tr>
      <w:tr>
        <w:tc>
          <w:tcPr>
            <w:tcW w:type="dxa" w:w="460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Stocking units per variety</w:t>
            </w:r>
          </w:p>
        </w:tc>
        <w:tc>
          <w:tcPr>
            <w:tcW w:type="dxa" w:w="4760"/>
            <w:shd w:fill="F7F7F9" w:color="auto" w:val="clear"/>
            <w:tcMar>
              <w:top w:type="dxa" w:w="110"/>
              <w:left w:type="dxa" w:w="140"/>
              <w:bottom w:type="dxa" w:w="110"/>
              <w:right w:type="dxa" w:w="140"/>
            </w:tcMar>
          </w:tcPr>
          <w:p>
            <w:pPr>
              <w:spacing w:after="0" w:line="264"/>
            </w:pPr>
            <w:r>
              <w:rPr>
                <w:b/>
                <w:bCs/>
                <w:i w:val="false"/>
                <w:iCs w:val="false"/>
                <w:color w:val="111111"/>
                <w:sz w:val="20"/>
                <w:szCs w:val="20"/>
              </w:rPr>
              <w:t xml:space="preserve">3</w:t>
            </w:r>
          </w:p>
        </w:tc>
      </w:tr>
      <w:tr>
        <w:tc>
          <w:tcPr>
            <w:tcW w:type="dxa" w:w="460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Units per category (7 × 3)</w:t>
            </w:r>
          </w:p>
        </w:tc>
        <w:tc>
          <w:tcPr>
            <w:tcW w:type="dxa" w:w="4760"/>
            <w:shd w:fill="FFFFFF" w:color="auto" w:val="clear"/>
            <w:tcMar>
              <w:top w:type="dxa" w:w="110"/>
              <w:left w:type="dxa" w:w="140"/>
              <w:bottom w:type="dxa" w:w="110"/>
              <w:right w:type="dxa" w:w="140"/>
            </w:tcMar>
          </w:tcPr>
          <w:p>
            <w:pPr>
              <w:spacing w:after="0" w:line="264"/>
            </w:pPr>
            <w:r>
              <w:rPr>
                <w:b/>
                <w:bCs/>
                <w:i w:val="false"/>
                <w:iCs w:val="false"/>
                <w:color w:val="111111"/>
                <w:sz w:val="20"/>
                <w:szCs w:val="20"/>
              </w:rPr>
              <w:t xml:space="preserve">21</w:t>
            </w:r>
          </w:p>
        </w:tc>
      </w:tr>
      <w:tr>
        <w:tc>
          <w:tcPr>
            <w:tcW w:type="dxa" w:w="460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Total units across all four</w:t>
            </w:r>
          </w:p>
        </w:tc>
        <w:tc>
          <w:tcPr>
            <w:tcW w:type="dxa" w:w="4760"/>
            <w:shd w:fill="F7F7F9" w:color="auto" w:val="clear"/>
            <w:tcMar>
              <w:top w:type="dxa" w:w="110"/>
              <w:left w:type="dxa" w:w="140"/>
              <w:bottom w:type="dxa" w:w="110"/>
              <w:right w:type="dxa" w:w="140"/>
            </w:tcMar>
          </w:tcPr>
          <w:p>
            <w:pPr>
              <w:spacing w:after="0" w:line="264"/>
            </w:pPr>
            <w:r>
              <w:rPr>
                <w:b/>
                <w:bCs/>
                <w:i w:val="false"/>
                <w:iCs w:val="false"/>
                <w:color w:val="111111"/>
                <w:sz w:val="20"/>
                <w:szCs w:val="20"/>
              </w:rPr>
              <w:t xml:space="preserve">84</w:t>
            </w:r>
          </w:p>
        </w:tc>
      </w:tr>
      <w:tr>
        <w:tc>
          <w:tcPr>
            <w:tcW w:type="dxa" w:w="460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Categories needing a perishable</w:t>
            </w:r>
          </w:p>
        </w:tc>
        <w:tc>
          <w:tcPr>
            <w:tcW w:type="dxa" w:w="4760"/>
            <w:shd w:fill="FFFFFF" w:color="auto" w:val="clear"/>
            <w:tcMar>
              <w:top w:type="dxa" w:w="110"/>
              <w:left w:type="dxa" w:w="140"/>
              <w:bottom w:type="dxa" w:w="110"/>
              <w:right w:type="dxa" w:w="140"/>
            </w:tcMar>
          </w:tcPr>
          <w:p>
            <w:pPr>
              <w:spacing w:after="0" w:line="264"/>
            </w:pPr>
            <w:r>
              <w:rPr>
                <w:b/>
                <w:bCs/>
                <w:i w:val="false"/>
                <w:iCs w:val="false"/>
                <w:color w:val="111111"/>
                <w:sz w:val="20"/>
                <w:szCs w:val="20"/>
              </w:rPr>
              <w:t xml:space="preserve">3 of 4</w:t>
            </w:r>
          </w:p>
        </w:tc>
      </w:tr>
      <w:tr>
        <w:tc>
          <w:tcPr>
            <w:tcW w:type="dxa" w:w="460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Staple categories</w:t>
            </w:r>
          </w:p>
        </w:tc>
        <w:tc>
          <w:tcPr>
            <w:tcW w:type="dxa" w:w="476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Dairy, grains, protein, fruits &amp; vegetables</w:t>
            </w:r>
          </w:p>
        </w:tc>
      </w:tr>
      <w:tr>
        <w:tc>
          <w:tcPr>
            <w:tcW w:type="dxa" w:w="460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Effective date</w:t>
            </w:r>
          </w:p>
        </w:tc>
        <w:tc>
          <w:tcPr>
            <w:tcW w:type="dxa" w:w="4760"/>
            <w:shd w:fill="FFFFFF" w:color="auto" w:val="clear"/>
            <w:tcMar>
              <w:top w:type="dxa" w:w="110"/>
              <w:left w:type="dxa" w:w="140"/>
              <w:bottom w:type="dxa" w:w="110"/>
              <w:right w:type="dxa" w:w="140"/>
            </w:tcMar>
          </w:tcPr>
          <w:p>
            <w:pPr>
              <w:spacing w:after="0" w:line="264"/>
            </w:pPr>
            <w:r>
              <w:rPr>
                <w:b/>
                <w:bCs/>
                <w:i w:val="false"/>
                <w:iCs w:val="false"/>
                <w:color w:val="B02020"/>
                <w:sz w:val="20"/>
                <w:szCs w:val="20"/>
              </w:rPr>
              <w:t xml:space="preserve">November 4, 2026</w:t>
            </w:r>
          </w:p>
        </w:tc>
      </w:tr>
      <w:tr>
        <w:tc>
          <w:tcPr>
            <w:tcW w:type="dxa" w:w="460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Penalty for failing</w:t>
            </w:r>
          </w:p>
        </w:tc>
        <w:tc>
          <w:tcPr>
            <w:tcW w:type="dxa" w:w="4760"/>
            <w:shd w:fill="F7F7F9" w:color="auto" w:val="clear"/>
            <w:tcMar>
              <w:top w:type="dxa" w:w="110"/>
              <w:left w:type="dxa" w:w="140"/>
              <w:bottom w:type="dxa" w:w="110"/>
              <w:right w:type="dxa" w:w="140"/>
            </w:tcMar>
          </w:tcPr>
          <w:p>
            <w:pPr>
              <w:spacing w:after="0" w:line="264"/>
            </w:pPr>
            <w:r>
              <w:rPr>
                <w:b w:val="false"/>
                <w:bCs w:val="false"/>
                <w:i w:val="false"/>
                <w:iCs w:val="false"/>
                <w:color w:val="B02020"/>
                <w:sz w:val="20"/>
                <w:szCs w:val="20"/>
              </w:rPr>
              <w:t xml:space="preserve">Withdrawal from SNAP; no reapplication for 6 months</w:t>
            </w:r>
          </w:p>
        </w:tc>
      </w:tr>
    </w:tbl>
    <w:p>
      <w:pPr>
        <w:spacing w:after="200"/>
      </w:pPr>
      <w:r>
        <w:rPr>
          <w:sz w:val="12"/>
          <w:szCs w:val="12"/>
        </w:rPr>
        <w:t xml:space="preserve"/>
      </w:r>
    </w:p>
    <w:p>
      <w:pPr>
        <w:pStyle w:val="Heading2"/>
        <w:spacing w:after="100" w:before="260"/>
      </w:pPr>
      <w:r>
        <w:rPr>
          <w:b/>
          <w:bCs/>
          <w:color w:val="111111"/>
          <w:sz w:val="24"/>
          <w:szCs w:val="24"/>
        </w:rPr>
        <w:t xml:space="preserve">The build</w:t>
      </w:r>
    </w:p>
    <w:tbl>
      <w:tblPr>
        <w:tblW w:type="dxa" w:w="9360"/>
        <w:tblBorders>
          <w:top w:val="none" w:color="FFFFFF" w:sz="0"/>
          <w:left w:val="none" w:color="FFFFFF" w:sz="0"/>
          <w:bottom w:val="single" w:color="D8D8D8" w:sz="6"/>
          <w:right w:val="none" w:color="FFFFFF" w:sz="0"/>
          <w:insideH w:val="single" w:color="D8D8D8" w:sz="6"/>
          <w:insideV w:val="none" w:color="FFFFFF" w:sz="0"/>
        </w:tblBorders>
      </w:tblPr>
      <w:tblGrid>
        <w:gridCol w:w="4600"/>
        <w:gridCol w:w="4760"/>
      </w:tblGrid>
      <w:tr>
        <w:trPr>
          <w:tblHeader/>
        </w:trPr>
        <w:tc>
          <w:tcPr>
            <w:tcW w:type="dxa" w:w="4600"/>
            <w:shd w:fill="111111" w:color="auto" w:val="clear"/>
            <w:tcMar>
              <w:top w:type="dxa" w:w="110"/>
              <w:left w:type="dxa" w:w="140"/>
              <w:bottom w:type="dxa" w:w="110"/>
              <w:right w:type="dxa" w:w="140"/>
            </w:tcMar>
          </w:tcPr>
          <w:p>
            <w:pPr>
              <w:spacing w:after="0"/>
            </w:pPr>
            <w:r>
              <w:rPr>
                <w:b/>
                <w:bCs/>
                <w:color w:val="FFFFFF"/>
                <w:spacing w:val="16"/>
                <w:sz w:val="17"/>
                <w:szCs w:val="17"/>
              </w:rPr>
              <w:t xml:space="preserve">METRIC</w:t>
            </w:r>
          </w:p>
        </w:tc>
        <w:tc>
          <w:tcPr>
            <w:tcW w:type="dxa" w:w="4760"/>
            <w:shd w:fill="111111" w:color="auto" w:val="clear"/>
            <w:tcMar>
              <w:top w:type="dxa" w:w="110"/>
              <w:left w:type="dxa" w:w="140"/>
              <w:bottom w:type="dxa" w:w="110"/>
              <w:right w:type="dxa" w:w="140"/>
            </w:tcMar>
          </w:tcPr>
          <w:p>
            <w:pPr>
              <w:spacing w:after="0"/>
            </w:pPr>
            <w:r>
              <w:rPr>
                <w:b/>
                <w:bCs/>
                <w:color w:val="FFFFFF"/>
                <w:spacing w:val="16"/>
                <w:sz w:val="17"/>
                <w:szCs w:val="17"/>
              </w:rPr>
              <w:t xml:space="preserve">VALUE</w:t>
            </w:r>
          </w:p>
        </w:tc>
      </w:tr>
      <w:tr>
        <w:tc>
          <w:tcPr>
            <w:tcW w:type="dxa" w:w="460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Passing tests</w:t>
            </w:r>
          </w:p>
        </w:tc>
        <w:tc>
          <w:tcPr>
            <w:tcW w:type="dxa" w:w="476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112, with no API key and no network</w:t>
            </w:r>
          </w:p>
        </w:tc>
      </w:tr>
      <w:tr>
        <w:tc>
          <w:tcPr>
            <w:tcW w:type="dxa" w:w="460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Confidence floor for counting an item</w:t>
            </w:r>
          </w:p>
        </w:tc>
        <w:tc>
          <w:tcPr>
            <w:tcW w:type="dxa" w:w="476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0.75 — below it, excluded with a reason</w:t>
            </w:r>
          </w:p>
        </w:tc>
      </w:tr>
      <w:tr>
        <w:tc>
          <w:tcPr>
            <w:tcW w:type="dxa" w:w="460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Model temperature</w:t>
            </w:r>
          </w:p>
        </w:tc>
        <w:tc>
          <w:tcPr>
            <w:tcW w:type="dxa" w:w="476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0, reasoning disabled, both passes</w:t>
            </w:r>
          </w:p>
        </w:tc>
      </w:tr>
      <w:tr>
        <w:tc>
          <w:tcPr>
            <w:tcW w:type="dxa" w:w="460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Vision passes</w:t>
            </w:r>
          </w:p>
        </w:tc>
        <w:tc>
          <w:tcPr>
            <w:tcW w:type="dxa" w:w="476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2 — extract, then classify</w:t>
            </w:r>
          </w:p>
        </w:tc>
      </w:tr>
      <w:tr>
        <w:tc>
          <w:tcPr>
            <w:tcW w:type="dxa" w:w="460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Route latency budget</w:t>
            </w:r>
          </w:p>
        </w:tc>
        <w:tc>
          <w:tcPr>
            <w:tcW w:type="dxa" w:w="476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60s max duration; 55s upstream timeout</w:t>
            </w:r>
          </w:p>
        </w:tc>
      </w:tr>
      <w:tr>
        <w:tc>
          <w:tcPr>
            <w:tcW w:type="dxa" w:w="460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Programmes tracked</w:t>
            </w:r>
          </w:p>
        </w:tc>
        <w:tc>
          <w:tcPr>
            <w:tcW w:type="dxa" w:w="476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18, across federal, state and local</w:t>
            </w:r>
          </w:p>
        </w:tc>
      </w:tr>
      <w:tr>
        <w:tc>
          <w:tcPr>
            <w:tcW w:type="dxa" w:w="460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Typed error codes</w:t>
            </w:r>
          </w:p>
        </w:tc>
        <w:tc>
          <w:tcPr>
            <w:tcW w:type="dxa" w:w="476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11, each mapped to a real HTTP status</w:t>
            </w:r>
          </w:p>
        </w:tc>
      </w:tr>
      <w:tr>
        <w:tc>
          <w:tcPr>
            <w:tcW w:type="dxa" w:w="460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Languages</w:t>
            </w:r>
          </w:p>
        </w:tc>
        <w:tc>
          <w:tcPr>
            <w:tcW w:type="dxa" w:w="476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2, at full parity including the scorecard itself</w:t>
            </w:r>
          </w:p>
        </w:tc>
      </w:tr>
    </w:tbl>
    <w:p>
      <w:r>
        <w:br w:type="page"/>
      </w:r>
    </w:p>
    <w:p>
      <w:pPr>
        <w:pStyle w:val="Heading1"/>
        <w:pBdr>
          <w:bottom w:val="single" w:color="D8D8D8" w:sz="6" w:space="6"/>
        </w:pBdr>
        <w:spacing w:after="160" w:before="360"/>
      </w:pPr>
      <w:r>
        <w:rPr>
          <w:b/>
          <w:bCs/>
          <w:color w:val="111111"/>
          <w:sz w:val="30"/>
          <w:szCs w:val="30"/>
        </w:rPr>
        <w:t xml:space="preserve">5.  Known Weak Points</w:t>
      </w:r>
    </w:p>
    <w:p>
      <w:pPr>
        <w:spacing w:after="200" w:line="276"/>
      </w:pPr>
      <w:r>
        <w:rPr>
          <w:b w:val="false"/>
          <w:bCs w:val="false"/>
          <w:i w:val="false"/>
          <w:iCs w:val="false"/>
          <w:color w:val="5A5A5A"/>
          <w:sz w:val="21"/>
          <w:szCs w:val="21"/>
        </w:rPr>
        <w:t xml:space="preserve">Every one of these is better named by you than discovered by a judge. Acknowledging a limit reads as competence; getting caught hiding one reads as the opposite.</w:t>
      </w:r>
    </w:p>
    <w:tbl>
      <w:tblPr>
        <w:tblW w:type="dxa" w:w="9360"/>
        <w:tblBorders>
          <w:top w:val="none" w:color="FFFFFF" w:sz="0"/>
          <w:left w:val="none" w:color="FFFFFF" w:sz="0"/>
          <w:bottom w:val="single" w:color="D8D8D8" w:sz="6"/>
          <w:right w:val="none" w:color="FFFFFF" w:sz="0"/>
          <w:insideH w:val="single" w:color="D8D8D8" w:sz="6"/>
          <w:insideV w:val="none" w:color="FFFFFF" w:sz="0"/>
        </w:tblBorders>
      </w:tblPr>
      <w:tblGrid>
        <w:gridCol w:w="3000"/>
        <w:gridCol w:w="6360"/>
      </w:tblGrid>
      <w:tr>
        <w:trPr>
          <w:tblHeader/>
        </w:trPr>
        <w:tc>
          <w:tcPr>
            <w:tcW w:type="dxa" w:w="3000"/>
            <w:shd w:fill="111111" w:color="auto" w:val="clear"/>
            <w:tcMar>
              <w:top w:type="dxa" w:w="110"/>
              <w:left w:type="dxa" w:w="140"/>
              <w:bottom w:type="dxa" w:w="110"/>
              <w:right w:type="dxa" w:w="140"/>
            </w:tcMar>
          </w:tcPr>
          <w:p>
            <w:pPr>
              <w:spacing w:after="0"/>
            </w:pPr>
            <w:r>
              <w:rPr>
                <w:b/>
                <w:bCs/>
                <w:color w:val="FFFFFF"/>
                <w:spacing w:val="16"/>
                <w:sz w:val="17"/>
                <w:szCs w:val="17"/>
              </w:rPr>
              <w:t xml:space="preserve">IF THEY NOTICE…</w:t>
            </w:r>
          </w:p>
        </w:tc>
        <w:tc>
          <w:tcPr>
            <w:tcW w:type="dxa" w:w="6360"/>
            <w:shd w:fill="111111" w:color="auto" w:val="clear"/>
            <w:tcMar>
              <w:top w:type="dxa" w:w="110"/>
              <w:left w:type="dxa" w:w="140"/>
              <w:bottom w:type="dxa" w:w="110"/>
              <w:right w:type="dxa" w:w="140"/>
            </w:tcMar>
          </w:tcPr>
          <w:p>
            <w:pPr>
              <w:spacing w:after="0"/>
            </w:pPr>
            <w:r>
              <w:rPr>
                <w:b/>
                <w:bCs/>
                <w:color w:val="FFFFFF"/>
                <w:spacing w:val="16"/>
                <w:sz w:val="17"/>
                <w:szCs w:val="17"/>
              </w:rPr>
              <w:t xml:space="preserve">SAY THIS</w:t>
            </w:r>
          </w:p>
        </w:tc>
      </w:tr>
      <w:tr>
        <w:tc>
          <w:tcPr>
            <w:tcW w:type="dxa" w:w="3000"/>
            <w:shd w:fill="FFFFFF" w:color="auto" w:val="clear"/>
            <w:tcMar>
              <w:top w:type="dxa" w:w="110"/>
              <w:left w:type="dxa" w:w="140"/>
              <w:bottom w:type="dxa" w:w="110"/>
              <w:right w:type="dxa" w:w="140"/>
            </w:tcMar>
          </w:tcPr>
          <w:p>
            <w:pPr>
              <w:spacing w:after="0" w:line="264"/>
            </w:pPr>
            <w:r>
              <w:rPr>
                <w:b/>
                <w:bCs/>
                <w:i w:val="false"/>
                <w:iCs w:val="false"/>
                <w:color w:val="111111"/>
                <w:sz w:val="20"/>
                <w:szCs w:val="20"/>
              </w:rPr>
              <w:t xml:space="preserve">Prices are placeholders</w:t>
            </w:r>
          </w:p>
        </w:tc>
        <w:tc>
          <w:tcPr>
            <w:tcW w:type="dxa" w:w="636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It's on the page already — “placeholder while we finish onboarding.” Don't defend the numbers, defend the tiering logic.</w:t>
            </w:r>
          </w:p>
        </w:tc>
      </w:tr>
      <w:tr>
        <w:tc>
          <w:tcPr>
            <w:tcW w:type="dxa" w:w="3000"/>
            <w:shd w:fill="F7F7F9" w:color="auto" w:val="clear"/>
            <w:tcMar>
              <w:top w:type="dxa" w:w="110"/>
              <w:left w:type="dxa" w:w="140"/>
              <w:bottom w:type="dxa" w:w="110"/>
              <w:right w:type="dxa" w:w="140"/>
            </w:tcMar>
          </w:tcPr>
          <w:p>
            <w:pPr>
              <w:spacing w:after="0" w:line="264"/>
            </w:pPr>
            <w:r>
              <w:rPr>
                <w:b/>
                <w:bCs/>
                <w:i w:val="false"/>
                <w:iCs w:val="false"/>
                <w:color w:val="111111"/>
                <w:sz w:val="20"/>
                <w:szCs w:val="20"/>
              </w:rPr>
              <w:t xml:space="preserve">The dashboard is browser-local</w:t>
            </w:r>
          </w:p>
        </w:tc>
        <w:tc>
          <w:tcPr>
            <w:tcW w:type="dxa" w:w="636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Deliberate for the demo: no account, no database, nothing to sign up for. Persistence is a backend problem, not a product-thesis problem.</w:t>
            </w:r>
          </w:p>
        </w:tc>
      </w:tr>
      <w:tr>
        <w:tc>
          <w:tcPr>
            <w:tcW w:type="dxa" w:w="3000"/>
            <w:shd w:fill="FFFFFF" w:color="auto" w:val="clear"/>
            <w:tcMar>
              <w:top w:type="dxa" w:w="110"/>
              <w:left w:type="dxa" w:w="140"/>
              <w:bottom w:type="dxa" w:w="110"/>
              <w:right w:type="dxa" w:w="140"/>
            </w:tcMar>
          </w:tcPr>
          <w:p>
            <w:pPr>
              <w:spacing w:after="0" w:line="264"/>
            </w:pPr>
            <w:r>
              <w:rPr>
                <w:b/>
                <w:bCs/>
                <w:i w:val="false"/>
                <w:iCs w:val="false"/>
                <w:color w:val="111111"/>
                <w:sz w:val="20"/>
                <w:szCs w:val="20"/>
              </w:rPr>
              <w:t xml:space="preserve">The bare 117,000 on the hero</w:t>
            </w:r>
          </w:p>
        </w:tc>
        <w:tc>
          <w:tcPr>
            <w:tcW w:type="dxa" w:w="636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Unlabelled number, and it looks like a bug. If you have five minutes before judging, cut it or caption it.</w:t>
            </w:r>
          </w:p>
        </w:tc>
      </w:tr>
      <w:tr>
        <w:tc>
          <w:tcPr>
            <w:tcW w:type="dxa" w:w="3000"/>
            <w:shd w:fill="F7F7F9" w:color="auto" w:val="clear"/>
            <w:tcMar>
              <w:top w:type="dxa" w:w="110"/>
              <w:left w:type="dxa" w:w="140"/>
              <w:bottom w:type="dxa" w:w="110"/>
              <w:right w:type="dxa" w:w="140"/>
            </w:tcMar>
          </w:tcPr>
          <w:p>
            <w:pPr>
              <w:spacing w:after="0" w:line="264"/>
            </w:pPr>
            <w:r>
              <w:rPr>
                <w:b/>
                <w:bCs/>
                <w:i w:val="false"/>
                <w:iCs w:val="false"/>
                <w:color w:val="111111"/>
                <w:sz w:val="20"/>
                <w:szCs w:val="20"/>
              </w:rPr>
              <w:t xml:space="preserve">Live scan needs a funded key</w:t>
            </w:r>
          </w:p>
        </w:tc>
        <w:tc>
          <w:tcPr>
            <w:tcW w:type="dxa" w:w="636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The fallback replays a saved scan. Name it as a design decision before they frame it as a gap.</w:t>
            </w:r>
          </w:p>
        </w:tc>
      </w:tr>
      <w:tr>
        <w:tc>
          <w:tcPr>
            <w:tcW w:type="dxa" w:w="3000"/>
            <w:shd w:fill="FFFFFF" w:color="auto" w:val="clear"/>
            <w:tcMar>
              <w:top w:type="dxa" w:w="110"/>
              <w:left w:type="dxa" w:w="140"/>
              <w:bottom w:type="dxa" w:w="110"/>
              <w:right w:type="dxa" w:w="140"/>
            </w:tcMar>
          </w:tcPr>
          <w:p>
            <w:pPr>
              <w:spacing w:after="0" w:line="264"/>
            </w:pPr>
            <w:r>
              <w:rPr>
                <w:b/>
                <w:bCs/>
                <w:i w:val="false"/>
                <w:iCs w:val="false"/>
                <w:color w:val="111111"/>
                <w:sz w:val="20"/>
                <w:szCs w:val="20"/>
              </w:rPr>
              <w:t xml:space="preserve">The README is stale</w:t>
            </w:r>
          </w:p>
        </w:tc>
        <w:tc>
          <w:tcPr>
            <w:tcW w:type="dxa" w:w="6360"/>
            <w:shd w:fill="FFFFFF"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It still says the frontend isn't built. It plainly is. Worth a two-minute fix if anyone is going to read the repo.</w:t>
            </w:r>
          </w:p>
        </w:tc>
      </w:tr>
      <w:tr>
        <w:tc>
          <w:tcPr>
            <w:tcW w:type="dxa" w:w="3000"/>
            <w:shd w:fill="F7F7F9" w:color="auto" w:val="clear"/>
            <w:tcMar>
              <w:top w:type="dxa" w:w="110"/>
              <w:left w:type="dxa" w:w="140"/>
              <w:bottom w:type="dxa" w:w="110"/>
              <w:right w:type="dxa" w:w="140"/>
            </w:tcMar>
          </w:tcPr>
          <w:p>
            <w:pPr>
              <w:spacing w:after="0" w:line="264"/>
            </w:pPr>
            <w:r>
              <w:rPr>
                <w:b/>
                <w:bCs/>
                <w:i w:val="false"/>
                <w:iCs w:val="false"/>
                <w:color w:val="111111"/>
                <w:sz w:val="20"/>
                <w:szCs w:val="20"/>
              </w:rPr>
              <w:t xml:space="preserve">No real pilot store yet</w:t>
            </w:r>
          </w:p>
        </w:tc>
        <w:tc>
          <w:tcPr>
            <w:tcW w:type="dxa" w:w="6360"/>
            <w:shd w:fill="F7F7F9" w:color="auto" w:val="clear"/>
            <w:tcMar>
              <w:top w:type="dxa" w:w="110"/>
              <w:left w:type="dxa" w:w="140"/>
              <w:bottom w:type="dxa" w:w="110"/>
              <w:right w:type="dxa" w:w="140"/>
            </w:tcMar>
          </w:tcPr>
          <w:p>
            <w:pPr>
              <w:spacing w:after="0" w:line="264"/>
            </w:pPr>
            <w:r>
              <w:rPr>
                <w:b w:val="false"/>
                <w:bCs w:val="false"/>
                <w:i w:val="false"/>
                <w:iCs w:val="false"/>
                <w:color w:val="111111"/>
                <w:sz w:val="20"/>
                <w:szCs w:val="20"/>
              </w:rPr>
              <w:t xml:space="preserve">Be straight about it. “Not yet. The rule lands November 4 — that's the conversation opener with every corner store in LA County.”</w:t>
            </w:r>
          </w:p>
        </w:tc>
      </w:tr>
    </w:tbl>
    <w:p>
      <w:pPr>
        <w:spacing w:after="220"/>
      </w:pPr>
      <w:r>
        <w:rPr>
          <w:sz w:val="12"/>
          <w:szCs w:val="12"/>
        </w:rPr>
        <w:t xml:space="preserve"/>
      </w:r>
    </w:p>
    <w:p>
      <w:pPr>
        <w:pStyle w:val="Heading2"/>
        <w:spacing w:after="100" w:before="260"/>
      </w:pPr>
      <w:r>
        <w:rPr>
          <w:b/>
          <w:bCs/>
          <w:color w:val="111111"/>
          <w:sz w:val="24"/>
          <w:szCs w:val="24"/>
        </w:rPr>
        <w:t xml:space="preserve">What's next, if they ask</w:t>
      </w:r>
    </w:p>
    <w:p>
      <w:pPr>
        <w:pStyle w:val="ListParagraph"/>
        <w:numPr>
          <w:ilvl w:val="0"/>
          <w:numId w:val="2"/>
        </w:numPr>
        <w:spacing w:after="70" w:line="276"/>
      </w:pPr>
      <w:r>
        <w:rPr>
          <w:color w:val="111111"/>
          <w:sz w:val="21"/>
          <w:szCs w:val="21"/>
        </w:rPr>
        <w:t xml:space="preserve">Multi-store rollups for owners running several locations.</w:t>
      </w:r>
    </w:p>
    <w:p>
      <w:pPr>
        <w:pStyle w:val="ListParagraph"/>
        <w:numPr>
          <w:ilvl w:val="0"/>
          <w:numId w:val="2"/>
        </w:numPr>
        <w:spacing w:after="70" w:line="276"/>
      </w:pPr>
      <w:r>
        <w:rPr>
          <w:color w:val="111111"/>
          <w:sz w:val="21"/>
          <w:szCs w:val="21"/>
        </w:rPr>
        <w:t xml:space="preserve">Renewal reminders that actually leave the building — email and SMS.</w:t>
      </w:r>
    </w:p>
    <w:p>
      <w:pPr>
        <w:pStyle w:val="ListParagraph"/>
        <w:numPr>
          <w:ilvl w:val="0"/>
          <w:numId w:val="2"/>
        </w:numPr>
        <w:spacing w:after="70" w:line="276"/>
      </w:pPr>
      <w:r>
        <w:rPr>
          <w:color w:val="111111"/>
          <w:sz w:val="21"/>
          <w:szCs w:val="21"/>
        </w:rPr>
        <w:t xml:space="preserve">Widening the scan beyond staple foods to the permit documents themselves: a photographed licence should fill in its own expiry date.</w:t>
      </w:r>
    </w:p>
    <w:p>
      <w:pPr>
        <w:spacing w:after="260"/>
      </w:pPr>
      <w:r>
        <w:rPr>
          <w:sz w:val="12"/>
          <w:szCs w:val="12"/>
        </w:rPr>
        <w:t xml:space="preserve"/>
      </w:r>
    </w:p>
    <w:tbl>
      <w:tblPr>
        <w:tblW w:type="dxa" w:w="9360"/>
        <w:tblBorders>
          <w:top w:val="none" w:color="FFFFFF" w:sz="0"/>
          <w:left w:val="single" w:color="1F45E0" w:sz="18"/>
          <w:bottom w:val="none" w:color="FFFFFF" w:sz="0"/>
          <w:right w:val="none" w:color="FFFFFF" w:sz="0"/>
          <w:insideH w:val="none" w:color="FFFFFF" w:sz="0"/>
          <w:insideV w:val="none" w:color="FFFFFF" w:sz="0"/>
        </w:tblBorders>
      </w:tblPr>
      <w:tblGrid>
        <w:gridCol w:w="9360"/>
      </w:tblGrid>
      <w:tr>
        <w:tc>
          <w:tcPr>
            <w:tcW w:type="dxa" w:w="9360"/>
            <w:shd w:fill="F4F6FB" w:color="auto" w:val="clear"/>
            <w:tcMar>
              <w:top w:type="dxa" w:w="160"/>
              <w:left w:type="dxa" w:w="200"/>
              <w:bottom w:type="dxa" w:w="160"/>
              <w:right w:type="dxa" w:w="200"/>
            </w:tcMar>
          </w:tcPr>
          <w:p>
            <w:pPr>
              <w:spacing w:after="60"/>
            </w:pPr>
            <w:r>
              <w:rPr>
                <w:b/>
                <w:bCs/>
                <w:color w:val="1F45E0"/>
                <w:spacing w:val="20"/>
                <w:sz w:val="16"/>
                <w:szCs w:val="16"/>
              </w:rPr>
              <w:t xml:space="preserve">LAST THING BEFORE YOU WALK IN</w:t>
            </w:r>
          </w:p>
          <w:p>
            <w:pPr>
              <w:spacing w:after="80" w:line="276"/>
            </w:pPr>
            <w:r>
              <w:rPr>
                <w:color w:val="111111"/>
                <w:sz w:val="21"/>
                <w:szCs w:val="21"/>
              </w:rPr>
              <w:t xml:space="preserve">Load the sample store on /dashboard. Open /demo in its own tab. Know the four numbers: 7, 3, 84, and November 4.</w:t>
            </w:r>
          </w:p>
          <w:p>
            <w:pPr>
              <w:spacing w:after="0" w:line="276"/>
            </w:pPr>
            <w:r>
              <w:rPr>
                <w:color w:val="111111"/>
                <w:sz w:val="21"/>
                <w:szCs w:val="21"/>
              </w:rPr>
              <w:t xml:space="preserve">Lead with the six-month reapplication ban. It is the single most persuasive fact you have, and most people hear it and immediately understand the stakes.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89" w:hanging="34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 — Demo &amp; Judging Prep</dc:title>
  <dc:creator>Ledger</dc:creator>
  <dc:description>Pitch, demo script, judge Q&amp;A and numbers for the VisionHack submission.</dc:description>
  <cp:lastModifiedBy>Un-named</cp:lastModifiedBy>
  <cp:revision>1</cp:revision>
  <dcterms:created xsi:type="dcterms:W3CDTF">2026-09-13T01:20:48.033Z</dcterms:created>
  <dcterms:modified xsi:type="dcterms:W3CDTF">2026-09-13T01:20:48.034Z</dcterms:modified>
</cp:coreProperties>
</file>

<file path=docProps/custom.xml><?xml version="1.0" encoding="utf-8"?>
<Properties xmlns="http://schemas.openxmlformats.org/officeDocument/2006/custom-properties" xmlns:vt="http://schemas.openxmlformats.org/officeDocument/2006/docPropsVTypes"/>
</file>