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td5867n5tlc" w:id="0"/>
      <w:bookmarkEnd w:id="0"/>
      <w:r w:rsidDel="00000000" w:rsidR="00000000" w:rsidRPr="00000000">
        <w:rPr>
          <w:rtl w:val="0"/>
        </w:rPr>
        <w:t xml:space="preserve">A01:2021-Broken Access Control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Exceto para recursos públicos, negar por padrão.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middleware Authentication, responsável pelo sistema de login, já faz a maioria do trabalho. Os recursos que não precisam de autenticação, estão listados na constante </w:t>
      </w:r>
      <w:r w:rsidDel="00000000" w:rsidR="00000000" w:rsidRPr="00000000">
        <w:rPr>
          <w:rtl w:val="0"/>
        </w:rPr>
        <w:t xml:space="preserve">src/Controller/UsersController.php::ACTIONS_SEM_AUTENTICACAO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Implemente mecanismos de controle de acesso uma vez e reutilize-os em todo o aplicativo, incluindo a minimização do uso de Cross-Origin Resource Sharing (CORS).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Somente para o CRUD de Users é necessário um controle de autorização.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Código que aplica o controle: src/Controller/UsersController.php-&gt;beforeFilter().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CORS não é utilizado.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Os controles de acesso ao modelo devem impor a propriedade do registro em vez de aceitar que o usuário possa criar, ler, atualizar ou excluir qualquer registro.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 KAW tem dois tipos de usuário, o comum e o root. A única diferença entre eles é que o root pode executar ações consideradas de configuração do sistema. O restante das permissões são iguais.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Os requisitos de limite de negócios de aplicativos exclusivos devem ser impostos por modelos de domínio.</w:t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 validações de autenticação e autorização são feitas no controller, sempre levando em consideração o usuário autenticado no servidor. Nunca confiando nas informações enviadas do frontend.</w:t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Desative a lista de diretórios do servidor da web e certifique-se de que os metadados do arquivo (por exemplo, o .git) e os arquivos de backup não estejam presentes nas raízes da web (web roots).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Em README &gt; Configuração inicial da aplicação &gt; Ambiente de produção &gt; Item 2.1, ensina a configurar o Apache2 para considerar a pasta kaw/webroot/ como a raiz da aplicação.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 arquivo kaw/.htaccess faz o trabalho de redirecionar para a pasta webroot/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Registrar falhas de controle de acesso e alertar os administradores quando apropriado (por exemplo, falhas repetidas).</w:t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Criada a Atividades Suspeitas que com base nos logs registrados, mostra para o usuário atividades danosas na aplicação. </w:t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Arquivos: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Sistema de logs: kaw/src/Log/*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Atividades Suspeitas: kaw/templates/Pages/home.php (Home do sistema)</w:t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Limite de taxa o acesso da API e do controlador para minimizar os danos do conjunto de ferramentas de ataque automatizado.</w:t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Foi criado o módulo de IPs Bloqueados. Quando um usuário erra consecutivamente as credenciais de acesso o IP é bloqueado. </w:t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Os identificadores de sessão com estado devem ser invalidados no servidor após o logout. Os tokens JWT sem estado devem ter vida curta, para que a janela de oportunidade para um invasor seja minimizada. Para JWTs de longa duração, é altamente recomendável seguir os padrões OAuth para revogar o acesso.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Melhorado a segurança da Session e Cookies. Ler o arquivo kaw/config/app.examplo.php &gt; ‘Session’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x9ihkccj7yti" w:id="1"/>
      <w:bookmarkEnd w:id="1"/>
      <w:r w:rsidDel="00000000" w:rsidR="00000000" w:rsidRPr="00000000">
        <w:rPr>
          <w:rtl w:val="0"/>
        </w:rPr>
        <w:t xml:space="preserve">A02:2021-Cryptographic Failures</w:t>
      </w:r>
    </w:p>
    <w:p w:rsidR="00000000" w:rsidDel="00000000" w:rsidP="00000000" w:rsidRDefault="00000000" w:rsidRPr="00000000" w14:paraId="00000021">
      <w:pPr>
        <w:spacing w:after="24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Classifique os dados processados, armazenados ou transmitidos por um aplicativo. Identifique quais dados são confidenciais de acordo com as leis de privacidade, requisitos regulamentares ou necessidades de negócios.</w:t>
        <w:br w:type="textWrapping"/>
      </w:r>
      <w:r w:rsidDel="00000000" w:rsidR="00000000" w:rsidRPr="00000000">
        <w:rPr>
          <w:rtl w:val="0"/>
        </w:rPr>
        <w:t xml:space="preserve">[falta implementar]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Não armazene dados confidenciais desnecessariamente. Descarte-o o mais rápido possível ou use tokenização compatível com PCI DSS ou mesmo truncamento. Os dados não retidos não podem ser roubados.</w:t>
        <w:br w:type="textWrapping"/>
      </w:r>
      <w:r w:rsidDel="00000000" w:rsidR="00000000" w:rsidRPr="00000000">
        <w:rPr>
          <w:rtl w:val="0"/>
        </w:rPr>
        <w:t xml:space="preserve">Por ser o chaveiro, a maioria dos dados são críticos. Mas uma das filosofias do projeto é sempre mantê-lo o mais enxuto possível.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Certifique-se de criptografar todos os dados confidenciais armazenados.</w:t>
        <w:br w:type="textWrapping"/>
      </w:r>
      <w:r w:rsidDel="00000000" w:rsidR="00000000" w:rsidRPr="00000000">
        <w:rPr>
          <w:rtl w:val="0"/>
        </w:rPr>
        <w:t xml:space="preserve">Todas as informações críticas da entidade Entrada são criptografadas.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Certifique-se de que algoritmos, protocolos e senhas de padrão forte e atualizados estejam em vigor; use o gerenciamento de senhas adequado.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Usando a Lib Sodium para criptografar e descriptografar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Gerando a chave de criptografia assim: sodium_bin2hex(sodium_crypto_secretbox_keygen())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Usando variáveis de ambiente do Apache2 para armazenar a chave de criptografia. </w:t>
      </w:r>
    </w:p>
    <w:p w:rsidR="00000000" w:rsidDel="00000000" w:rsidP="00000000" w:rsidRDefault="00000000" w:rsidRPr="00000000" w14:paraId="00000028">
      <w:pPr>
        <w:spacing w:after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Criptografe todos os dados em trânsito com protocolos seguros, como TLS com cifras de sigilo de encaminhamento (FS), priorização de cifras pelo servidor e parâmetros seguros. Aplique a criptografia usando diretivas como HTTP Strict Transport Security (HSTS).</w:t>
        <w:br w:type="textWrapping"/>
      </w:r>
      <w:r w:rsidDel="00000000" w:rsidR="00000000" w:rsidRPr="00000000">
        <w:rPr>
          <w:rtl w:val="0"/>
        </w:rPr>
        <w:t xml:space="preserve">Forçado a conexão HTTPS e aplicando o HSTS: kaw/src/Application.php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Desative o armazenamento em cache para respostas que contenham dados confidenciais.</w:t>
        <w:br w:type="textWrapping"/>
      </w:r>
      <w:r w:rsidDel="00000000" w:rsidR="00000000" w:rsidRPr="00000000">
        <w:rPr>
          <w:rtl w:val="0"/>
        </w:rPr>
        <w:t xml:space="preserve">Feito no commit f88e4e5979556c05b5b1b6d1e37eaecb8fad056a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Aplique os controles de segurança necessários de acordo com a classificação de dados.</w:t>
        <w:br w:type="textWrapping"/>
      </w:r>
      <w:r w:rsidDel="00000000" w:rsidR="00000000" w:rsidRPr="00000000">
        <w:rPr>
          <w:rtl w:val="0"/>
        </w:rPr>
        <w:t xml:space="preserve">[falta implementar]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Não use protocolos legados, como FTP e SMTP, para transportar dados confidenciais.</w:t>
        <w:br w:type="textWrapping"/>
      </w:r>
      <w:r w:rsidDel="00000000" w:rsidR="00000000" w:rsidRPr="00000000">
        <w:rPr>
          <w:rtl w:val="0"/>
        </w:rPr>
        <w:t xml:space="preserve">A ferramenta ainda não utiliza SMTP para transportar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Armazene senhas usando fortes funções de hash adaptáveis e saltadas com um fator de trabalho (fator de atraso), como Argon2, scrypt, bcrypt ou PBKDF2.</w:t>
        <w:br w:type="textWrapping"/>
      </w:r>
      <w:r w:rsidDel="00000000" w:rsidR="00000000" w:rsidRPr="00000000">
        <w:rPr>
          <w:rtl w:val="0"/>
        </w:rPr>
        <w:t xml:space="preserve">Implementando a criptografia utilizando  a Lib Sodium: kaw/src/Model/Entity/Entrada.php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Os vetores de inicialização devem ser escolhidos de acordo com o modo de operação. Para muitos modos, isso significa usar um CSPRNG (gerador de números pseudo-aleatórios criptograficamente seguro). Para modos que requerem um nonce, o vetor de inicialização (IV) não precisa de um CSPRNG. Em todos os casos, o IV nunca deve ser usado duas vezes para uma chave fixa.</w:t>
        <w:br w:type="textWrapping"/>
      </w:r>
      <w:r w:rsidDel="00000000" w:rsidR="00000000" w:rsidRPr="00000000">
        <w:rPr>
          <w:rtl w:val="0"/>
        </w:rPr>
        <w:t xml:space="preserve">Gerado um nonce único para cada criptografia, com o tamanho da constante SODIUM_CRYPTO_SECRETBOX_NONCEBYTES, através da função random_bytes(). Código: kaw/src/Model/Entity/Entrada.php:123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Sempre use criptografia autenticada em vez de apenas criptografia.</w:t>
        <w:br w:type="textWrapping"/>
      </w:r>
      <w:r w:rsidDel="00000000" w:rsidR="00000000" w:rsidRPr="00000000">
        <w:rPr>
          <w:rtl w:val="0"/>
        </w:rPr>
        <w:t xml:space="preserve">Utilizando a função sodium_crypto_secretbox() já atende esse requisito.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 chaves devem ser geradas de forma criptograficamente aleatória e armazenadas na memória como um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array</w:t>
      </w:r>
      <w:r w:rsidDel="00000000" w:rsidR="00000000" w:rsidRPr="00000000">
        <w:rPr>
          <w:b w:val="1"/>
          <w:sz w:val="26"/>
          <w:szCs w:val="26"/>
          <w:rtl w:val="0"/>
        </w:rPr>
        <w:t xml:space="preserve"> de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bytes</w:t>
      </w:r>
      <w:r w:rsidDel="00000000" w:rsidR="00000000" w:rsidRPr="00000000">
        <w:rPr>
          <w:b w:val="1"/>
          <w:sz w:val="26"/>
          <w:szCs w:val="26"/>
          <w:rtl w:val="0"/>
        </w:rPr>
        <w:t xml:space="preserve">. Se uma senha for usada, ela deve ser convertida em uma chave por meio de uma função de derivação de chave de base de senha apropriada.</w:t>
        <w:br w:type="textWrapping"/>
      </w:r>
      <w:r w:rsidDel="00000000" w:rsidR="00000000" w:rsidRPr="00000000">
        <w:rPr>
          <w:rtl w:val="0"/>
        </w:rPr>
        <w:t xml:space="preserve">No READM, na seção AMBIENTE DE PRODUÇÃO, no tópico ‘Configure variáveis de ambiente.’, é ensinado como  criar variáveis de ambiente no Apache 2 para fazer a criptografia das informações.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  <w:t xml:space="preserve">No README, na seção GERANDO CHAVES DE SEGURANÇA, é recomendado usar a função sodium_bin2hex(sodium_crypto_secretbox_keygen()) para gerar a senha de criptografia.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Certifique-se de que a aleatoriedade criptográfica seja usada quando apropriado e que não tenha sido usada uma semente de uma forma previsível ou com baixa entropia. A maioria das APIs modernas não exige que o desenvolvedor propague o CSPRNG para obter segurança.</w:t>
        <w:br w:type="textWrapping"/>
      </w:r>
      <w:r w:rsidDel="00000000" w:rsidR="00000000" w:rsidRPr="00000000">
        <w:rPr>
          <w:rtl w:val="0"/>
        </w:rPr>
        <w:t xml:space="preserve">Para gerar o NONCE da função sodium_crypto_secretbox(), é utilizado o random_bytes(SODIUM_CRYPTO_SECRETBOX_NONCEBYTES); Conforme orientação da documentação https://www.php.net/manual/en/function.sodium-crypto-secretbox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Evite funções criptográficas e esquemas de preenchimento obsoletos, como MD5, SHA1, PKCS número 1 v1.5.</w:t>
        <w:br w:type="textWrapping"/>
      </w:r>
      <w:r w:rsidDel="00000000" w:rsidR="00000000" w:rsidRPr="00000000">
        <w:rPr>
          <w:rtl w:val="0"/>
        </w:rPr>
        <w:t xml:space="preserve">A função sodium_crypto_secretbox() implementa o algoritmo XSalsa20, um dos mais modernos. https://libsodium.gitbook.io/doc/advanced/stream_ciphers/xsalsa20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Verifique de forma independente a eficácia das configurações.</w:t>
        <w:br w:type="textWrapping"/>
      </w:r>
      <w:r w:rsidDel="00000000" w:rsidR="00000000" w:rsidRPr="00000000">
        <w:rPr>
          <w:rtl w:val="0"/>
        </w:rPr>
        <w:t xml:space="preserve">[falta implementar]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A03:2021-Injection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[falta implementar]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A04:2021-Insecure Design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[falta implementar]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A05:2021-Security Misconfiguration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[falta implementar]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A06:2021-Vulnerable and Outdated 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[falta implementar]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A07:2021-Identification and Authentication Failures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[falta implementar]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A08:2021-Software and Data Integrity Failures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[falta implementar]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A09:2021-Security Logging and Monitoring Failures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[falta implementar]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A10:2021-Server-Side Request Forgery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[falta implementar]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owasp.org/Top10/A08_2021-Software_and_Data_Integrity_Failures/" TargetMode="External"/><Relationship Id="rId10" Type="http://schemas.openxmlformats.org/officeDocument/2006/relationships/hyperlink" Target="https://owasp.org/Top10/A07_2021-Identification_and_Authentication_Failures/" TargetMode="External"/><Relationship Id="rId13" Type="http://schemas.openxmlformats.org/officeDocument/2006/relationships/hyperlink" Target="https://owasp.org/Top10/A10_2021-Server-Side_Request_Forgery_%28SSRF%29/" TargetMode="External"/><Relationship Id="rId12" Type="http://schemas.openxmlformats.org/officeDocument/2006/relationships/hyperlink" Target="https://owasp.org/Top10/A09_2021-Security_Logging_and_Monitoring_Failure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wasp.org/Top10/A06_2021-Vulnerable_and_Outdated_Components/" TargetMode="External"/><Relationship Id="rId5" Type="http://schemas.openxmlformats.org/officeDocument/2006/relationships/styles" Target="styles.xml"/><Relationship Id="rId6" Type="http://schemas.openxmlformats.org/officeDocument/2006/relationships/hyperlink" Target="https://owasp.org/Top10/A03_2021-Injection/" TargetMode="External"/><Relationship Id="rId7" Type="http://schemas.openxmlformats.org/officeDocument/2006/relationships/hyperlink" Target="https://owasp.org/Top10/A04_2021-Insecure_Design/" TargetMode="External"/><Relationship Id="rId8" Type="http://schemas.openxmlformats.org/officeDocument/2006/relationships/hyperlink" Target="https://owasp.org/Top10/A05_2021-Security_Misconfigur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