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td5867n5tlc" w:id="0"/>
      <w:bookmarkEnd w:id="0"/>
      <w:r w:rsidDel="00000000" w:rsidR="00000000" w:rsidRPr="00000000">
        <w:rPr>
          <w:rtl w:val="0"/>
        </w:rPr>
        <w:t xml:space="preserve">A01:2021-Broken Access Control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8ngxxyij61p" w:id="1"/>
      <w:bookmarkEnd w:id="1"/>
      <w:r w:rsidDel="00000000" w:rsidR="00000000" w:rsidRPr="00000000">
        <w:rPr>
          <w:rtl w:val="0"/>
        </w:rPr>
        <w:t xml:space="preserve">Exceto para recursos públicos, negar por padrão.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middleware Authentication, responsável pelo sistema de login, já faz a maioria do trabalho. Os recursos que não precisam de autenticação, estão listados na constante </w:t>
      </w:r>
      <w:r w:rsidDel="00000000" w:rsidR="00000000" w:rsidRPr="00000000">
        <w:rPr>
          <w:rtl w:val="0"/>
        </w:rPr>
        <w:t xml:space="preserve">src/Controller/UsersController.php::ACTIONS_SEM_AUTENTICACAO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iw6vzrrowc6" w:id="2"/>
      <w:bookmarkEnd w:id="2"/>
      <w:r w:rsidDel="00000000" w:rsidR="00000000" w:rsidRPr="00000000">
        <w:rPr>
          <w:rtl w:val="0"/>
        </w:rPr>
        <w:t xml:space="preserve">Implemente mecanismos de controle de acesso uma vez e reutilize-os em todo o aplicativo, incluindo a minimização do uso de Cross-Origin Resource Sharing (CORS).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Somente para o CRUD de Users é necessário um controle de autorização.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Código que aplica o controle: src/Controller/UsersController.php-&gt;beforeFilter().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CORS não é utilizado.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ka0qlcvlrtl" w:id="3"/>
      <w:bookmarkEnd w:id="3"/>
      <w:r w:rsidDel="00000000" w:rsidR="00000000" w:rsidRPr="00000000">
        <w:rPr>
          <w:rtl w:val="0"/>
        </w:rPr>
        <w:t xml:space="preserve">Os controles de acesso ao modelo devem impor a propriedade do registro em vez de aceitar que o usuário possa criar, ler, atualizar ou excluir qualquer registro.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KAW tem dois tipos de usuário, o comum e o root. A única diferença entre eles é que o root pode executar ações consideradas de configuração do sistema. O restante das permissões são iguais.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f9c1shegqck" w:id="4"/>
      <w:bookmarkEnd w:id="4"/>
      <w:r w:rsidDel="00000000" w:rsidR="00000000" w:rsidRPr="00000000">
        <w:rPr>
          <w:rtl w:val="0"/>
        </w:rPr>
        <w:t xml:space="preserve">Os requisitos de limite de negócios de aplicativos exclusivos devem ser impostos por modelos de domínio.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As validações de autenticação e autorização são feitas no controller, sempre levando em consideração o usuário autenticado no servidor. Nunca confiando nas informações enviadas do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ad45ij8iayt" w:id="5"/>
      <w:bookmarkEnd w:id="5"/>
      <w:r w:rsidDel="00000000" w:rsidR="00000000" w:rsidRPr="00000000">
        <w:rPr>
          <w:rtl w:val="0"/>
        </w:rPr>
        <w:t xml:space="preserve">Desative a lista de diretórios do servidor da web e certifique-se de que os metadados do arquivo (por exemplo, o .git) e os arquivos de backup não estejam presentes nas raízes da web (web roots).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 README &gt; Configuração inicial da aplicação &gt; Ambiente de produção &gt; Item 2.1, ensina a configurar o Apache2 para considerar a pasta kaw/webroot/ como a raiz da aplicação.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arquivo kaw/.htaccess faz o trabalho de redirecionar para a pasta webroot/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5ntlak1jvu1" w:id="6"/>
      <w:bookmarkEnd w:id="6"/>
      <w:r w:rsidDel="00000000" w:rsidR="00000000" w:rsidRPr="00000000">
        <w:rPr>
          <w:rtl w:val="0"/>
        </w:rPr>
        <w:t xml:space="preserve">Registrar falhas de controle de acesso e alertar os administradores quando apropriado (por exemplo, falhas repetidas).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Criada a Atividades Suspeitas que com base nos logs registrados, mostra para o usuário atividades danosas na aplicação. 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Arquivos: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Sistema de logs: kaw/src/Log/*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Atividades Suspeitas: kaw/templates/Pages/home.php (Home do sistema)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x046oegqzdbf" w:id="7"/>
      <w:bookmarkEnd w:id="7"/>
      <w:r w:rsidDel="00000000" w:rsidR="00000000" w:rsidRPr="00000000">
        <w:rPr>
          <w:rtl w:val="0"/>
        </w:rPr>
        <w:t xml:space="preserve">Limite de taxa o acesso da API e do controlador para minimizar os danos do conjunto de ferramentas de ataque automatizado.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Foi criado o módulo de IPs Bloqueados. Quando um usuário erra consecutivamente as credenciais de acesso o IP é bloqueado.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kd20zmeyw7j" w:id="8"/>
      <w:bookmarkEnd w:id="8"/>
      <w:r w:rsidDel="00000000" w:rsidR="00000000" w:rsidRPr="00000000">
        <w:rPr>
          <w:rtl w:val="0"/>
        </w:rPr>
        <w:t xml:space="preserve">Os identificadores de sessão com estado devem ser invalidados no servidor após o logout. Os tokens JWT sem estado devem ter vida curta, para que a janela de oportunidade para um invasor seja minimizada. Para JWTs de longa duração, é altamente recomendável seguir os padrões OAuth para revogar o acesso.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Melhorado a segurança da Session e Cookies. Ler o arquivo kaw/config/app.examplo.php &gt; ‘Session’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A02:2021-Cryptographic 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A03:2021-Injection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A04:2021-Insecure Design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A05:2021-Security Misconfiguration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A06:2021-Vulnerable and Outdated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A07:2021-Identification and Authentication Failures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A08:2021-Software and Data Integrity 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A09:2021-Security Logging and Monitoring Failures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A10:2021-Server-Side Request Forgery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wasp.org/Top10/A07_2021-Identification_and_Authentication_Failures/" TargetMode="External"/><Relationship Id="rId10" Type="http://schemas.openxmlformats.org/officeDocument/2006/relationships/hyperlink" Target="https://owasp.org/Top10/A06_2021-Vulnerable_and_Outdated_Components/" TargetMode="External"/><Relationship Id="rId13" Type="http://schemas.openxmlformats.org/officeDocument/2006/relationships/hyperlink" Target="https://owasp.org/Top10/A09_2021-Security_Logging_and_Monitoring_Failures/" TargetMode="External"/><Relationship Id="rId12" Type="http://schemas.openxmlformats.org/officeDocument/2006/relationships/hyperlink" Target="https://owasp.org/Top10/A08_2021-Software_and_Data_Integrity_Failur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wasp.org/Top10/A05_2021-Security_Misconfiguration/" TargetMode="External"/><Relationship Id="rId14" Type="http://schemas.openxmlformats.org/officeDocument/2006/relationships/hyperlink" Target="https://owasp.org/Top10/A10_2021-Server-Side_Request_Forgery_%28SSRF%29/" TargetMode="External"/><Relationship Id="rId5" Type="http://schemas.openxmlformats.org/officeDocument/2006/relationships/styles" Target="styles.xml"/><Relationship Id="rId6" Type="http://schemas.openxmlformats.org/officeDocument/2006/relationships/hyperlink" Target="https://owasp.org/Top10/A02_2021-Cryptographic_Failures/" TargetMode="External"/><Relationship Id="rId7" Type="http://schemas.openxmlformats.org/officeDocument/2006/relationships/hyperlink" Target="https://owasp.org/Top10/A03_2021-Injection/" TargetMode="External"/><Relationship Id="rId8" Type="http://schemas.openxmlformats.org/officeDocument/2006/relationships/hyperlink" Target="https://owasp.org/Top10/A04_2021-Insecure_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