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td5867n5tlc" w:id="0"/>
      <w:bookmarkEnd w:id="0"/>
      <w:r w:rsidDel="00000000" w:rsidR="00000000" w:rsidRPr="00000000">
        <w:rPr>
          <w:rtl w:val="0"/>
        </w:rPr>
        <w:t xml:space="preserve">A01:2021-Broken Access Control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Exceto para recursos públicos, negar por padrão.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middleware Authentication, responsável pelo sistema de login, já faz a maioria do trabalho. Os recursos que não precisam de autenticação, estão listados na constante </w:t>
      </w:r>
      <w:r w:rsidDel="00000000" w:rsidR="00000000" w:rsidRPr="00000000">
        <w:rPr>
          <w:rtl w:val="0"/>
        </w:rPr>
        <w:t xml:space="preserve">src/Controller/UsersController.php::ACTIONS_SEM_AUTENTICACAO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Implemente mecanismos de controle de acesso uma vez e reutilize-os em todo o aplicativo, incluindo a minimização do uso de Cross-Origin Resource Sharing (CORS).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Somente para o CRUD de Users é necessário um controle de autorização.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Código que aplica o controle: src/Controller/UsersController.php-&gt;beforeFilter().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CORS não é utilizado.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controles de acesso ao modelo devem impor a propriedade do registro em vez de aceitar que o usuário possa criar, ler, atualizar ou excluir qualquer registro.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KAW tem dois tipos de usuário, o comum e o root. A única diferença entre eles é que o root pode executar ações consideradas de configuração do sistema. O restante das permissões são iguais.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requisitos de limite de negócios de aplicativos exclusivos devem ser impostos por modelos de domínio.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validações de autenticação e autorização são feitas no controller, sempre levando em consideração o usuário autenticado no servidor. Nunca confiando nas informações enviadas do frontend.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Desative a lista de diretórios do servidor da web e certifique-se de que os metadados do arquivo (por exemplo, o .git) e os arquivos de backup não estejam presentes nas raízes da web (web roots).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 README &gt; Configuração inicial da aplicação &gt; Ambiente de produção &gt; Item 2.1, ensina a configurar o Apache2 para considerar a pasta kaw/webroot/ como a raiz da aplicação.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arquivo kaw/.htaccess faz o trabalho de redirecionar para a pasta webroot/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Registrar falhas de controle de acesso e alertar os administradores quando apropriado (por exemplo, falhas repetidas).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Criada a Atividades Suspeitas que com base nos logs registrados, mostra para o usuário atividades danosas na aplicação.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Arquivos: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Sistema de logs: kaw/src/Log/*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Atividades Suspeitas: kaw/templates/Pages/home.php (Home do sistema)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Limite de taxa o acesso da API e do controlador para minimizar os danos do conjunto de ferramentas de ataque automatizado.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Foi criado o módulo de IPs Bloqueados. Quando um usuário erra consecutivamente as credenciais de acesso o IP é bloqueado.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identificadores de sessão com estado devem ser invalidados no servidor após o logout. Os tokens JWT sem estado devem ter vida curta, para que a janela de oportunidade para um invasor seja minimizada. Para JWTs de longa duração, é altamente recomendável seguir os padrões OAuth para revogar o acesso.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Melhorado a segurança da Session e Cookies. Ler o arquivo kaw/config/app.examplo.php &gt; ‘Session’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x9ihkccj7yti" w:id="1"/>
      <w:bookmarkEnd w:id="1"/>
      <w:r w:rsidDel="00000000" w:rsidR="00000000" w:rsidRPr="00000000">
        <w:rPr>
          <w:rtl w:val="0"/>
        </w:rPr>
        <w:t xml:space="preserve">A02:2021-Cryptographic Failures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Classifique os dados processados, armazenados ou transmitidos por um aplicativo. Identifique quais dados são confidenciais de acordo com as leis de privacidade, requisitos regulamentares ou necessidades de negócios.</w:t>
        <w:br w:type="textWrapping"/>
      </w:r>
      <w:r w:rsidDel="00000000" w:rsidR="00000000" w:rsidRPr="00000000">
        <w:rPr>
          <w:rtl w:val="0"/>
        </w:rPr>
        <w:t xml:space="preserve">[falta implementar]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Não armazene dados confidenciais desnecessariamente. Descarte-o o mais rápido possível ou use tokenização compatível com PCI DSS ou mesmo truncamento. Os dados não retidos não podem ser roubados.</w:t>
        <w:br w:type="textWrapping"/>
      </w:r>
      <w:r w:rsidDel="00000000" w:rsidR="00000000" w:rsidRPr="00000000">
        <w:rPr>
          <w:rtl w:val="0"/>
        </w:rPr>
        <w:t xml:space="preserve">Por ser o chaveiro, a maioria dos dados são críticos. Mas uma das filosofias do projeto é sempre mantê-lo o mais enxuto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Certifique-se de criptografar todos os dados confidenciais armazenados.</w:t>
        <w:br w:type="textWrapping"/>
      </w:r>
      <w:r w:rsidDel="00000000" w:rsidR="00000000" w:rsidRPr="00000000">
        <w:rPr>
          <w:rtl w:val="0"/>
        </w:rPr>
        <w:t xml:space="preserve">Todas as informações críticas da entidade Entrada são criptografadas.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Certifique-se de que algoritmos, protocolos e senhas de padrão forte e atualizados estejam em vigor; use o gerenciamento de senhas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a Lib Sodium para criptografar e descriptografar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Gerando a chave de criptografia assim: sodium_bin2hex(sodium_crypto_secretbox_keygen())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variáveis de ambiente do Apache2 para armazenar a chave de criptografia. </w:t>
      </w:r>
    </w:p>
    <w:p w:rsidR="00000000" w:rsidDel="00000000" w:rsidP="00000000" w:rsidRDefault="00000000" w:rsidRPr="00000000" w14:paraId="00000028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Criptografe todos os dados em trânsito com protocolos seguros, como TLS com cifras de sigilo de encaminhamento (FS), priorização de cifras pelo servidor e parâmetros seguros. Aplique a criptografia usando diretivas como HTTP Strict Transport Security (HSTS).</w:t>
        <w:br w:type="textWrapping"/>
      </w:r>
      <w:r w:rsidDel="00000000" w:rsidR="00000000" w:rsidRPr="00000000">
        <w:rPr>
          <w:rtl w:val="0"/>
        </w:rPr>
        <w:t xml:space="preserve">Forçado a conexão HTTPS e aplicando o HSTS: kaw/src/Application.php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Desative o armazenamento em cache para respostas que contenham dados confidenciais.</w:t>
        <w:br w:type="textWrapping"/>
      </w:r>
      <w:r w:rsidDel="00000000" w:rsidR="00000000" w:rsidRPr="00000000">
        <w:rPr>
          <w:rtl w:val="0"/>
        </w:rPr>
        <w:t xml:space="preserve">Feito no commit f88e4e5979556c05b5b1b6d1e37eaecb8fad056a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Aplique os controles de segurança necessários de acordo com a classificação de dados.</w:t>
        <w:br w:type="textWrapping"/>
      </w:r>
      <w:r w:rsidDel="00000000" w:rsidR="00000000" w:rsidRPr="00000000">
        <w:rPr>
          <w:rtl w:val="0"/>
        </w:rPr>
        <w:t xml:space="preserve">[falta implementar]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Não use protocolos legados, como FTP e SMTP, para transportar dados confidenciais.</w:t>
        <w:br w:type="textWrapping"/>
      </w:r>
      <w:r w:rsidDel="00000000" w:rsidR="00000000" w:rsidRPr="00000000">
        <w:rPr>
          <w:rtl w:val="0"/>
        </w:rPr>
        <w:t xml:space="preserve">A ferramenta ainda não utiliza SMTP para transportar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Armazene senhas usando fortes funções de hash adaptáveis e saltadas com um fator de trabalho (fator de atraso), como Argon2, scrypt, bcrypt ou PBKDF2.</w:t>
        <w:br w:type="textWrapping"/>
      </w:r>
      <w:r w:rsidDel="00000000" w:rsidR="00000000" w:rsidRPr="00000000">
        <w:rPr>
          <w:rtl w:val="0"/>
        </w:rPr>
        <w:t xml:space="preserve">Implementando a criptografia utilizando  a Lib Sodium: kaw/src/Model/Entity/Entrada.php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vetores de inicialização devem ser escolhidos de acordo com o modo de operação. Para muitos modos, isso significa usar um CSPRNG (gerador de números pseudo-aleatórios criptograficamente seguro). Para modos que requerem um nonce, o vetor de inicialização (IV) não precisa de um CSPRNG. Em todos os casos, o IV nunca deve ser usado duas vezes para uma chave fixa.</w:t>
        <w:br w:type="textWrapping"/>
      </w:r>
      <w:r w:rsidDel="00000000" w:rsidR="00000000" w:rsidRPr="00000000">
        <w:rPr>
          <w:rtl w:val="0"/>
        </w:rPr>
        <w:t xml:space="preserve">Gerado um nonce único para cada criptografia, com o tamanho da constante SODIUM_CRYPTO_SECRETBOX_NONCEBYTES, através da função random_bytes(). Código: kaw/src/Model/Entity/Entrada.php:123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Sempre use criptografia autenticada em vez de apenas criptografia.</w:t>
        <w:br w:type="textWrapping"/>
      </w:r>
      <w:r w:rsidDel="00000000" w:rsidR="00000000" w:rsidRPr="00000000">
        <w:rPr>
          <w:rtl w:val="0"/>
        </w:rPr>
        <w:t xml:space="preserve">Utilizando a função sodium_crypto_secretbox() já atende esse requisito.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chaves devem ser geradas de forma criptograficamente aleatória e armazenadas na memória como um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array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bytes</w:t>
      </w:r>
      <w:r w:rsidDel="00000000" w:rsidR="00000000" w:rsidRPr="00000000">
        <w:rPr>
          <w:b w:val="1"/>
          <w:sz w:val="26"/>
          <w:szCs w:val="26"/>
          <w:rtl w:val="0"/>
        </w:rPr>
        <w:t xml:space="preserve">. Se uma senha for usada, ela deve ser convertida em uma chave por meio de uma função de derivação de chave de base de senha apropriada.</w:t>
        <w:br w:type="textWrapping"/>
      </w:r>
      <w:r w:rsidDel="00000000" w:rsidR="00000000" w:rsidRPr="00000000">
        <w:rPr>
          <w:rtl w:val="0"/>
        </w:rPr>
        <w:t xml:space="preserve">No READM, na seção AMBIENTE DE PRODUÇÃO, no tópico ‘Configure variáveis de ambiente.’, é ensinado como  criar variáveis de ambiente no Apache 2 para fazer a criptografia das informações.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No README, na seção GERANDO CHAVES DE SEGURANÇA, é recomendado usar a função sodium_bin2hex(sodium_crypto_secretbox_keygen()) para gerar a senha de criptografia.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Certifique-se de que a aleatoriedade criptográfica seja usada quando apropriado e que não tenha sido usada uma semente de uma forma previsível ou com baixa entropia. A maioria das APIs modernas não exige que o desenvolvedor propague o CSPRNG para obter segurança.</w:t>
        <w:br w:type="textWrapping"/>
      </w:r>
      <w:r w:rsidDel="00000000" w:rsidR="00000000" w:rsidRPr="00000000">
        <w:rPr>
          <w:rtl w:val="0"/>
        </w:rPr>
        <w:t xml:space="preserve">Para gerar o NONCE da função sodium_crypto_secretbox(), é utilizado o random_bytes(SODIUM_CRYPTO_SECRETBOX_NONCEBYTES); Conforme orientação da documentação https://www.php.net/manual/en/function.sodium-crypto-secretbox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Evite funções criptográficas e esquemas de preenchimento obsoletos, como MD5, SHA1, PKCS número 1 v1.5.</w:t>
        <w:br w:type="textWrapping"/>
      </w:r>
      <w:r w:rsidDel="00000000" w:rsidR="00000000" w:rsidRPr="00000000">
        <w:rPr>
          <w:rtl w:val="0"/>
        </w:rPr>
        <w:t xml:space="preserve">A função sodium_crypto_secretbox() implementa o algoritmo XSalsa20, um dos mais modernos. https://libsodium.gitbook.io/doc/advanced/stream_ciphers/xsalsa20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Verifique de forma independente a eficácia das configurações.</w:t>
        <w:br w:type="textWrapping"/>
      </w:r>
      <w:r w:rsidDel="00000000" w:rsidR="00000000" w:rsidRPr="00000000">
        <w:rPr>
          <w:rtl w:val="0"/>
        </w:rPr>
        <w:t xml:space="preserve">[falta implementar]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A03:2021-Injection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The preferred option is to use a safe API, which avoids using the interpreter entirely, provides a parameterized interface, or migrates to Object Relational Mapping Tools (ORMs).</w:t>
        <w:br w:type="textWrapping"/>
        <w:t xml:space="preserve"> Note: Even when parameterized, stored procedures can still introduce SQL injection if PL/SQL or T-SQL concatenates queries and data or executes hostile data with EXECUTE IMMEDIATE or exec().</w:t>
      </w:r>
      <w:r w:rsidDel="00000000" w:rsidR="00000000" w:rsidRPr="00000000">
        <w:rPr>
          <w:rtl w:val="0"/>
        </w:rPr>
        <w:br w:type="textWrapping"/>
        <w:t xml:space="preserve">Sempre utilizando o ORM do framework.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Use positive server-side input validation. This is not a complete defense as many applications require special characters, such as text areas or APIs for mobile applications.</w:t>
      </w:r>
      <w:r w:rsidDel="00000000" w:rsidR="00000000" w:rsidRPr="00000000">
        <w:rPr>
          <w:rtl w:val="0"/>
        </w:rPr>
        <w:br w:type="textWrapping"/>
        <w:t xml:space="preserve">Não  consegui achar aplicabilidade no KAW.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For any residual dynamic queries, escape special characters using the specific escape syntax for that interpreter.</w:t>
        <w:br w:type="textWrapping"/>
        <w:t xml:space="preserve"> Note: SQL structures such as table names, column names, and so on cannot be escaped, and thus user-supplied structure names are dangerous. This is a common issue in report-writing software.</w:t>
      </w:r>
      <w:r w:rsidDel="00000000" w:rsidR="00000000" w:rsidRPr="00000000">
        <w:rPr>
          <w:rtl w:val="0"/>
        </w:rPr>
        <w:br w:type="textWrapping"/>
        <w:t xml:space="preserve">Sempre utilizando o ORM do framework.</w:t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Use LIMIT and other SQL controls within queries to prevent mass disclosure of records in case of SQL injection.</w:t>
      </w:r>
      <w:r w:rsidDel="00000000" w:rsidR="00000000" w:rsidRPr="00000000">
        <w:rPr>
          <w:rtl w:val="0"/>
        </w:rPr>
        <w:br w:type="textWrapping"/>
        <w:t xml:space="preserve">Todas queries foram conferidas. Nas grandes listagens foi adicionado o limit.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A04:2021-Insecure Design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A05:2021-Security Misconfiguration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A06:2021-Vulnerable and Outdated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A07:2021-Identification and Authentication Failures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A08:2021-Software and Data Integrity 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A09:2021-Security Logging and Monitoring Failures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A10:2021-Server-Side Request Forgery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wasp.org/Top10/A08_2021-Software_and_Data_Integrity_Failures/" TargetMode="External"/><Relationship Id="rId10" Type="http://schemas.openxmlformats.org/officeDocument/2006/relationships/hyperlink" Target="https://owasp.org/Top10/A07_2021-Identification_and_Authentication_Failures/" TargetMode="External"/><Relationship Id="rId13" Type="http://schemas.openxmlformats.org/officeDocument/2006/relationships/hyperlink" Target="https://owasp.org/Top10/A10_2021-Server-Side_Request_Forgery_%28SSRF%29/" TargetMode="External"/><Relationship Id="rId12" Type="http://schemas.openxmlformats.org/officeDocument/2006/relationships/hyperlink" Target="https://owasp.org/Top10/A09_2021-Security_Logging_and_Monitoring_Failur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wasp.org/Top10/A06_2021-Vulnerable_and_Outdated_Compon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owasp.org/Top10/A03_2021-Injection/" TargetMode="External"/><Relationship Id="rId7" Type="http://schemas.openxmlformats.org/officeDocument/2006/relationships/hyperlink" Target="https://owasp.org/Top10/A04_2021-Insecure_Design/" TargetMode="External"/><Relationship Id="rId8" Type="http://schemas.openxmlformats.org/officeDocument/2006/relationships/hyperlink" Target="https://owasp.org/Top10/A05_2021-Security_Mis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