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CFED3" w14:textId="019A7B09" w:rsidR="00CE1B53" w:rsidRPr="002F3884" w:rsidRDefault="00CE1B53" w:rsidP="00CE1B53">
      <w:pPr>
        <w:tabs>
          <w:tab w:val="right" w:pos="13958"/>
        </w:tabs>
        <w:rPr>
          <w:rFonts w:ascii="Century" w:hAnsi="Century"/>
          <w:b/>
          <w:sz w:val="24"/>
          <w:szCs w:val="24"/>
        </w:rPr>
      </w:pPr>
      <w:r w:rsidRPr="002F3884">
        <w:rPr>
          <w:rFonts w:ascii="Century" w:hAnsi="Century"/>
          <w:b/>
          <w:sz w:val="28"/>
          <w:szCs w:val="28"/>
          <w:u w:val="single"/>
        </w:rPr>
        <w:t>Direction des Statistiques, des Études, de la Stratégie et de la Prospective</w:t>
      </w:r>
      <w:r w:rsidR="00B46BFF" w:rsidRPr="002F3884">
        <w:rPr>
          <w:rFonts w:ascii="Century" w:hAnsi="Century"/>
          <w:b/>
          <w:sz w:val="28"/>
          <w:szCs w:val="28"/>
          <w:u w:val="single"/>
        </w:rPr>
        <w:t xml:space="preserve"> (DSESP)</w:t>
      </w:r>
    </w:p>
    <w:p w14:paraId="6E48E753" w14:textId="0747A389" w:rsidR="00CE1B53" w:rsidRDefault="00CE1B53" w:rsidP="00CE1B53">
      <w:pPr>
        <w:rPr>
          <w:rFonts w:ascii="Century" w:hAnsi="Century"/>
          <w:b/>
          <w:sz w:val="24"/>
          <w:szCs w:val="24"/>
        </w:rPr>
      </w:pPr>
      <w:r w:rsidRPr="00A26896">
        <w:rPr>
          <w:rFonts w:ascii="Century" w:hAnsi="Century"/>
          <w:b/>
          <w:sz w:val="24"/>
          <w:szCs w:val="24"/>
        </w:rPr>
        <w:br/>
      </w:r>
      <w:r>
        <w:rPr>
          <w:rFonts w:ascii="Century" w:hAnsi="Century"/>
          <w:b/>
          <w:sz w:val="24"/>
          <w:szCs w:val="24"/>
        </w:rPr>
        <w:t>Rapport</w:t>
      </w:r>
      <w:r w:rsidRPr="00437F91">
        <w:rPr>
          <w:rFonts w:ascii="Century" w:hAnsi="Century"/>
          <w:b/>
          <w:sz w:val="24"/>
          <w:szCs w:val="24"/>
        </w:rPr>
        <w:t xml:space="preserve"> d’activités</w:t>
      </w:r>
      <w:r>
        <w:rPr>
          <w:rFonts w:ascii="Century" w:hAnsi="Century"/>
          <w:b/>
          <w:sz w:val="24"/>
          <w:szCs w:val="24"/>
        </w:rPr>
        <w:t xml:space="preserve"> de la semaine </w:t>
      </w:r>
      <w:r w:rsidR="00A7605C">
        <w:rPr>
          <w:rFonts w:ascii="Century" w:hAnsi="Century"/>
          <w:b/>
          <w:sz w:val="24"/>
          <w:szCs w:val="24"/>
        </w:rPr>
        <w:t xml:space="preserve">du </w:t>
      </w:r>
      <w:r w:rsidR="0015556E">
        <w:rPr>
          <w:rFonts w:ascii="Century" w:hAnsi="Century"/>
          <w:b/>
          <w:sz w:val="24"/>
          <w:szCs w:val="24"/>
        </w:rPr>
        <w:t xml:space="preserve">lundi </w:t>
      </w:r>
      <w:r w:rsidR="00610F21">
        <w:rPr>
          <w:rFonts w:ascii="Century" w:hAnsi="Century"/>
          <w:b/>
          <w:sz w:val="24"/>
          <w:szCs w:val="24"/>
        </w:rPr>
        <w:t>20</w:t>
      </w:r>
      <w:r w:rsidR="0015556E">
        <w:rPr>
          <w:rFonts w:ascii="Century" w:hAnsi="Century"/>
          <w:b/>
          <w:sz w:val="24"/>
          <w:szCs w:val="24"/>
        </w:rPr>
        <w:t>/</w:t>
      </w:r>
      <w:r w:rsidR="003A08EF">
        <w:rPr>
          <w:rFonts w:ascii="Century" w:hAnsi="Century"/>
          <w:b/>
          <w:sz w:val="24"/>
          <w:szCs w:val="24"/>
        </w:rPr>
        <w:t>0</w:t>
      </w:r>
      <w:r w:rsidR="000A4939">
        <w:rPr>
          <w:rFonts w:ascii="Century" w:hAnsi="Century"/>
          <w:b/>
          <w:sz w:val="24"/>
          <w:szCs w:val="24"/>
        </w:rPr>
        <w:t>3</w:t>
      </w:r>
      <w:r w:rsidR="0015556E">
        <w:rPr>
          <w:rFonts w:ascii="Century" w:hAnsi="Century"/>
          <w:b/>
          <w:sz w:val="24"/>
          <w:szCs w:val="24"/>
        </w:rPr>
        <w:t>/202</w:t>
      </w:r>
      <w:r w:rsidR="003A08EF">
        <w:rPr>
          <w:rFonts w:ascii="Century" w:hAnsi="Century"/>
          <w:b/>
          <w:sz w:val="24"/>
          <w:szCs w:val="24"/>
        </w:rPr>
        <w:t>3</w:t>
      </w:r>
      <w:r w:rsidR="0015556E" w:rsidRPr="000B3F13">
        <w:rPr>
          <w:rFonts w:ascii="Century" w:hAnsi="Century"/>
          <w:b/>
          <w:sz w:val="24"/>
          <w:szCs w:val="24"/>
        </w:rPr>
        <w:t xml:space="preserve"> au </w:t>
      </w:r>
      <w:r w:rsidR="0015556E">
        <w:rPr>
          <w:rFonts w:ascii="Century" w:hAnsi="Century"/>
          <w:b/>
          <w:sz w:val="24"/>
          <w:szCs w:val="24"/>
        </w:rPr>
        <w:t>vendredi</w:t>
      </w:r>
      <w:r w:rsidR="009E6208">
        <w:rPr>
          <w:rFonts w:ascii="Century" w:hAnsi="Century"/>
          <w:b/>
          <w:sz w:val="24"/>
          <w:szCs w:val="24"/>
        </w:rPr>
        <w:t xml:space="preserve"> </w:t>
      </w:r>
      <w:r w:rsidR="00610F21">
        <w:rPr>
          <w:rFonts w:ascii="Century" w:hAnsi="Century"/>
          <w:b/>
          <w:sz w:val="24"/>
          <w:szCs w:val="24"/>
        </w:rPr>
        <w:t>24</w:t>
      </w:r>
      <w:r w:rsidR="0015556E">
        <w:rPr>
          <w:rFonts w:ascii="Century" w:hAnsi="Century"/>
          <w:b/>
          <w:sz w:val="24"/>
          <w:szCs w:val="24"/>
        </w:rPr>
        <w:t>/</w:t>
      </w:r>
      <w:r w:rsidR="003A08EF">
        <w:rPr>
          <w:rFonts w:ascii="Century" w:hAnsi="Century"/>
          <w:b/>
          <w:sz w:val="24"/>
          <w:szCs w:val="24"/>
        </w:rPr>
        <w:t>0</w:t>
      </w:r>
      <w:r w:rsidR="00937DC3">
        <w:rPr>
          <w:rFonts w:ascii="Century" w:hAnsi="Century"/>
          <w:b/>
          <w:sz w:val="24"/>
          <w:szCs w:val="24"/>
        </w:rPr>
        <w:t>3</w:t>
      </w:r>
      <w:r w:rsidR="0015556E">
        <w:rPr>
          <w:rFonts w:ascii="Century" w:hAnsi="Century"/>
          <w:b/>
          <w:sz w:val="24"/>
          <w:szCs w:val="24"/>
        </w:rPr>
        <w:t>/</w:t>
      </w:r>
      <w:r w:rsidR="0015556E" w:rsidRPr="000B3F13">
        <w:rPr>
          <w:rFonts w:ascii="Century" w:hAnsi="Century"/>
          <w:b/>
          <w:sz w:val="24"/>
          <w:szCs w:val="24"/>
        </w:rPr>
        <w:t>202</w:t>
      </w:r>
      <w:r w:rsidR="003A08EF">
        <w:rPr>
          <w:rFonts w:ascii="Century" w:hAnsi="Century"/>
          <w:b/>
          <w:sz w:val="24"/>
          <w:szCs w:val="24"/>
        </w:rPr>
        <w:t>3</w:t>
      </w:r>
    </w:p>
    <w:p w14:paraId="46E273B0" w14:textId="77777777" w:rsidR="00CE1B53" w:rsidRDefault="00CE1B53"/>
    <w:tbl>
      <w:tblPr>
        <w:tblStyle w:val="TableauGrille1Clair"/>
        <w:tblpPr w:leftFromText="141" w:rightFromText="141" w:vertAnchor="text" w:tblpXSpec="right" w:tblpY="1"/>
        <w:tblOverlap w:val="never"/>
        <w:tblW w:w="14879" w:type="dxa"/>
        <w:tblLook w:val="04A0" w:firstRow="1" w:lastRow="0" w:firstColumn="1" w:lastColumn="0" w:noHBand="0" w:noVBand="1"/>
      </w:tblPr>
      <w:tblGrid>
        <w:gridCol w:w="5382"/>
        <w:gridCol w:w="6379"/>
        <w:gridCol w:w="3118"/>
      </w:tblGrid>
      <w:tr w:rsidR="002F3884" w:rsidRPr="002F3884" w14:paraId="565590E2" w14:textId="77777777" w:rsidTr="34B17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hideMark/>
          </w:tcPr>
          <w:p w14:paraId="5280576A" w14:textId="77777777" w:rsidR="00CE1B53" w:rsidRPr="002F3884" w:rsidRDefault="00CE1B53" w:rsidP="002758DA">
            <w:pPr>
              <w:jc w:val="center"/>
              <w:rPr>
                <w:rFonts w:ascii="Century" w:hAnsi="Century"/>
                <w:b w:val="0"/>
                <w:bCs/>
              </w:rPr>
            </w:pPr>
            <w:r w:rsidRPr="002F3884">
              <w:rPr>
                <w:rFonts w:ascii="Century" w:hAnsi="Century"/>
              </w:rPr>
              <w:t>Rapport d’</w:t>
            </w:r>
            <w:r w:rsidRPr="002F3884">
              <w:rPr>
                <w:rFonts w:ascii="Century" w:hAnsi="Century"/>
                <w:b w:val="0"/>
              </w:rPr>
              <w:t>a</w:t>
            </w:r>
            <w:r w:rsidRPr="002F3884">
              <w:rPr>
                <w:rFonts w:ascii="Century" w:hAnsi="Century"/>
              </w:rPr>
              <w:t>ctivités hebdomadaires prioritaires</w:t>
            </w:r>
          </w:p>
        </w:tc>
        <w:tc>
          <w:tcPr>
            <w:tcW w:w="6379" w:type="dxa"/>
            <w:hideMark/>
          </w:tcPr>
          <w:p w14:paraId="20A66656" w14:textId="77777777" w:rsidR="00CE1B53" w:rsidRPr="002F3884" w:rsidRDefault="00CE1B53" w:rsidP="002758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 w:val="0"/>
                <w:bCs/>
              </w:rPr>
            </w:pPr>
            <w:r w:rsidRPr="002F3884">
              <w:rPr>
                <w:rFonts w:ascii="Century" w:hAnsi="Century"/>
              </w:rPr>
              <w:t xml:space="preserve">Faits marquants et résultats </w:t>
            </w:r>
          </w:p>
        </w:tc>
        <w:tc>
          <w:tcPr>
            <w:tcW w:w="3118" w:type="dxa"/>
          </w:tcPr>
          <w:p w14:paraId="2AB0A924" w14:textId="77777777" w:rsidR="00CE1B53" w:rsidRPr="002F3884" w:rsidRDefault="00CE1B53" w:rsidP="002758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 w:rsidRPr="002F3884">
              <w:rPr>
                <w:rFonts w:ascii="Century" w:hAnsi="Century"/>
              </w:rPr>
              <w:t xml:space="preserve">Observations </w:t>
            </w:r>
          </w:p>
        </w:tc>
      </w:tr>
      <w:tr w:rsidR="002F3884" w:rsidRPr="002F3884" w14:paraId="64633D62" w14:textId="77777777" w:rsidTr="34B17E2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E5FFF03" w14:textId="77777777" w:rsidR="00011A11" w:rsidRDefault="00011A11" w:rsidP="002758DA">
            <w:pPr>
              <w:ind w:left="708"/>
              <w:rPr>
                <w:rFonts w:ascii="Century" w:hAnsi="Century"/>
                <w:b w:val="0"/>
                <w:u w:val="single"/>
              </w:rPr>
            </w:pPr>
          </w:p>
          <w:p w14:paraId="6413BD02" w14:textId="4D14E500" w:rsidR="00CE1B53" w:rsidRPr="00A7605C" w:rsidRDefault="00723F0C" w:rsidP="002758DA">
            <w:pPr>
              <w:ind w:left="708"/>
              <w:rPr>
                <w:rFonts w:ascii="Century" w:hAnsi="Century"/>
                <w:u w:val="single"/>
              </w:rPr>
            </w:pPr>
            <w:r w:rsidRPr="00A7605C">
              <w:rPr>
                <w:rFonts w:ascii="Century" w:hAnsi="Century"/>
                <w:bCs/>
                <w:u w:val="single"/>
              </w:rPr>
              <w:t xml:space="preserve">Lundi </w:t>
            </w:r>
            <w:r w:rsidR="00610F21">
              <w:rPr>
                <w:rFonts w:ascii="Century" w:hAnsi="Century"/>
                <w:bCs/>
                <w:u w:val="single"/>
              </w:rPr>
              <w:t>20</w:t>
            </w:r>
            <w:r w:rsidRPr="00A7605C">
              <w:rPr>
                <w:rFonts w:ascii="Century" w:hAnsi="Century"/>
                <w:bCs/>
                <w:u w:val="single"/>
              </w:rPr>
              <w:t>/</w:t>
            </w:r>
            <w:r w:rsidR="00546CF0">
              <w:rPr>
                <w:rFonts w:ascii="Century" w:hAnsi="Century"/>
                <w:bCs/>
                <w:u w:val="single"/>
              </w:rPr>
              <w:t>0</w:t>
            </w:r>
            <w:r w:rsidR="000A4939">
              <w:rPr>
                <w:rFonts w:ascii="Century" w:hAnsi="Century"/>
                <w:bCs/>
                <w:u w:val="single"/>
              </w:rPr>
              <w:t>3</w:t>
            </w:r>
            <w:r w:rsidRPr="00A7605C">
              <w:rPr>
                <w:rFonts w:ascii="Century" w:hAnsi="Century"/>
                <w:bCs/>
                <w:u w:val="single"/>
              </w:rPr>
              <w:t>/202</w:t>
            </w:r>
            <w:r w:rsidR="00546CF0">
              <w:rPr>
                <w:rFonts w:ascii="Century" w:hAnsi="Century"/>
                <w:bCs/>
                <w:u w:val="single"/>
              </w:rPr>
              <w:t>3</w:t>
            </w:r>
          </w:p>
          <w:p w14:paraId="023031C0" w14:textId="79699AC6" w:rsidR="00A7605C" w:rsidRPr="003A7CC2" w:rsidRDefault="00A7605C" w:rsidP="002758DA">
            <w:pPr>
              <w:ind w:left="708"/>
              <w:rPr>
                <w:rFonts w:ascii="Century" w:hAnsi="Century"/>
              </w:rPr>
            </w:pPr>
          </w:p>
          <w:p w14:paraId="1D4DAD65" w14:textId="5438B150" w:rsidR="0012358A" w:rsidRPr="0012358A" w:rsidRDefault="0012358A" w:rsidP="006E29FF">
            <w:pPr>
              <w:ind w:left="708"/>
              <w:rPr>
                <w:rFonts w:ascii="Century" w:hAnsi="Century"/>
                <w:b w:val="0"/>
                <w:bCs/>
              </w:rPr>
            </w:pPr>
            <w:r w:rsidRPr="0012358A">
              <w:rPr>
                <w:rFonts w:ascii="Century" w:hAnsi="Century"/>
                <w:b w:val="0"/>
                <w:bCs/>
              </w:rPr>
              <w:t>Réunion hebdomadaire DSESP</w:t>
            </w:r>
            <w:r w:rsidR="00692137">
              <w:rPr>
                <w:rFonts w:ascii="Century" w:hAnsi="Century"/>
                <w:b w:val="0"/>
                <w:bCs/>
              </w:rPr>
              <w:t> ;</w:t>
            </w:r>
          </w:p>
          <w:p w14:paraId="07E5858A" w14:textId="755CF745" w:rsidR="0012358A" w:rsidRDefault="0012358A" w:rsidP="006E29FF">
            <w:pPr>
              <w:ind w:left="708"/>
              <w:rPr>
                <w:rFonts w:ascii="Century" w:hAnsi="Century"/>
                <w:b w:val="0"/>
                <w:bCs/>
              </w:rPr>
            </w:pPr>
          </w:p>
          <w:p w14:paraId="0A870C6E" w14:textId="79F47CE6" w:rsidR="007F7E06" w:rsidRDefault="007F7E06" w:rsidP="006E29FF">
            <w:pPr>
              <w:ind w:left="708"/>
              <w:rPr>
                <w:rFonts w:ascii="Century" w:hAnsi="Century"/>
                <w:b w:val="0"/>
                <w:bCs/>
              </w:rPr>
            </w:pPr>
          </w:p>
          <w:p w14:paraId="725EAD73" w14:textId="0F9442B8" w:rsidR="007F7E06" w:rsidRDefault="007F7E06" w:rsidP="006E29FF">
            <w:pPr>
              <w:ind w:left="708"/>
              <w:rPr>
                <w:rFonts w:ascii="Century" w:hAnsi="Century"/>
                <w:b w:val="0"/>
                <w:bCs/>
              </w:rPr>
            </w:pPr>
          </w:p>
          <w:p w14:paraId="45D03A53" w14:textId="146C5BDA" w:rsidR="001448B7" w:rsidRDefault="001448B7" w:rsidP="006E29FF">
            <w:pPr>
              <w:ind w:left="708"/>
              <w:rPr>
                <w:rFonts w:ascii="Century" w:hAnsi="Century"/>
                <w:b w:val="0"/>
                <w:bCs/>
              </w:rPr>
            </w:pPr>
          </w:p>
          <w:p w14:paraId="43CBE885" w14:textId="09654F4D" w:rsidR="00280406" w:rsidRPr="00280406" w:rsidRDefault="003E0B82" w:rsidP="00280406">
            <w:pPr>
              <w:ind w:left="708"/>
              <w:rPr>
                <w:rFonts w:ascii="Century" w:hAnsi="Century"/>
                <w:b w:val="0"/>
              </w:rPr>
            </w:pPr>
            <w:r>
              <w:rPr>
                <w:rFonts w:ascii="Century" w:hAnsi="Century"/>
                <w:b w:val="0"/>
              </w:rPr>
              <w:t>Forum du Développement durable du RICED</w:t>
            </w:r>
            <w:r w:rsidR="00067FDF">
              <w:rPr>
                <w:rFonts w:ascii="Century" w:hAnsi="Century"/>
                <w:b w:val="0"/>
              </w:rPr>
              <w:t> ;</w:t>
            </w:r>
          </w:p>
          <w:p w14:paraId="7D791AAE" w14:textId="77777777" w:rsidR="00280406" w:rsidRDefault="00280406" w:rsidP="00280406">
            <w:pPr>
              <w:ind w:left="708"/>
              <w:rPr>
                <w:rFonts w:ascii="Century" w:hAnsi="Century"/>
                <w:b w:val="0"/>
                <w:bCs/>
              </w:rPr>
            </w:pPr>
          </w:p>
          <w:p w14:paraId="67A5D028" w14:textId="77777777" w:rsidR="009B1EB1" w:rsidRDefault="009B1EB1" w:rsidP="00280406">
            <w:pPr>
              <w:ind w:left="708"/>
              <w:rPr>
                <w:rFonts w:ascii="Century" w:hAnsi="Century"/>
                <w:b w:val="0"/>
                <w:bCs/>
              </w:rPr>
            </w:pPr>
          </w:p>
          <w:p w14:paraId="3E1658E2" w14:textId="77777777" w:rsidR="009B1EB1" w:rsidRDefault="009B1EB1" w:rsidP="00280406">
            <w:pPr>
              <w:ind w:left="708"/>
              <w:rPr>
                <w:rFonts w:ascii="Century" w:hAnsi="Century"/>
                <w:b w:val="0"/>
                <w:bCs/>
              </w:rPr>
            </w:pPr>
          </w:p>
          <w:p w14:paraId="513DFD91" w14:textId="77777777" w:rsidR="009B1EB1" w:rsidRPr="00280406" w:rsidRDefault="009B1EB1" w:rsidP="00280406">
            <w:pPr>
              <w:ind w:left="708"/>
              <w:rPr>
                <w:rFonts w:ascii="Century" w:hAnsi="Century"/>
              </w:rPr>
            </w:pPr>
          </w:p>
          <w:p w14:paraId="65E87541" w14:textId="19353B3A" w:rsidR="000A2796" w:rsidRDefault="009B1EB1" w:rsidP="00280406">
            <w:pPr>
              <w:ind w:left="708"/>
              <w:rPr>
                <w:rFonts w:ascii="Century" w:hAnsi="Century"/>
                <w:bCs/>
              </w:rPr>
            </w:pPr>
            <w:r>
              <w:rPr>
                <w:rFonts w:ascii="Century" w:hAnsi="Century"/>
                <w:b w:val="0"/>
              </w:rPr>
              <w:t xml:space="preserve">Élaboration des TDR sur le déploiement </w:t>
            </w:r>
            <w:r w:rsidR="0098213B">
              <w:rPr>
                <w:rFonts w:ascii="Century" w:hAnsi="Century"/>
                <w:b w:val="0"/>
              </w:rPr>
              <w:t>des Bureaux régionaux de l’ARTI</w:t>
            </w:r>
            <w:r w:rsidR="00CF5FE8">
              <w:rPr>
                <w:rFonts w:ascii="Century" w:hAnsi="Century"/>
                <w:b w:val="0"/>
              </w:rPr>
              <w:t> ;</w:t>
            </w:r>
          </w:p>
          <w:p w14:paraId="7892E067" w14:textId="35B7C535" w:rsidR="00CF5FE8" w:rsidRDefault="00CF5FE8" w:rsidP="00280406">
            <w:pPr>
              <w:ind w:left="708"/>
              <w:rPr>
                <w:rFonts w:ascii="Century" w:hAnsi="Century"/>
                <w:b w:val="0"/>
              </w:rPr>
            </w:pPr>
          </w:p>
          <w:p w14:paraId="36F7F9B5" w14:textId="77777777" w:rsidR="00380CDF" w:rsidRDefault="00380CDF" w:rsidP="00280406">
            <w:pPr>
              <w:ind w:left="708"/>
              <w:rPr>
                <w:rFonts w:ascii="Century" w:hAnsi="Century"/>
                <w:b w:val="0"/>
              </w:rPr>
            </w:pPr>
          </w:p>
          <w:p w14:paraId="669FF77F" w14:textId="77777777" w:rsidR="00380CDF" w:rsidRDefault="00380CDF" w:rsidP="00280406">
            <w:pPr>
              <w:ind w:left="708"/>
              <w:rPr>
                <w:rFonts w:ascii="Century" w:hAnsi="Century"/>
                <w:b w:val="0"/>
              </w:rPr>
            </w:pPr>
          </w:p>
          <w:p w14:paraId="2B42C4E7" w14:textId="77777777" w:rsidR="00380CDF" w:rsidRDefault="00380CDF" w:rsidP="00280406">
            <w:pPr>
              <w:ind w:left="708"/>
              <w:rPr>
                <w:rFonts w:ascii="Century" w:hAnsi="Century"/>
                <w:b w:val="0"/>
              </w:rPr>
            </w:pPr>
          </w:p>
          <w:p w14:paraId="0212E71B" w14:textId="77777777" w:rsidR="00380CDF" w:rsidRDefault="00380CDF" w:rsidP="00280406">
            <w:pPr>
              <w:ind w:left="708"/>
              <w:rPr>
                <w:rFonts w:ascii="Century" w:hAnsi="Century"/>
                <w:bCs/>
              </w:rPr>
            </w:pPr>
          </w:p>
          <w:p w14:paraId="66154A68" w14:textId="0A635769" w:rsidR="00CF5FE8" w:rsidRPr="00CF5FE8" w:rsidRDefault="003A5A79" w:rsidP="00CF5FE8">
            <w:pPr>
              <w:ind w:left="708"/>
              <w:rPr>
                <w:rFonts w:ascii="Century" w:hAnsi="Century"/>
                <w:b w:val="0"/>
              </w:rPr>
            </w:pPr>
            <w:r w:rsidRPr="00650A96">
              <w:rPr>
                <w:rFonts w:ascii="Century" w:hAnsi="Century"/>
                <w:b w:val="0"/>
              </w:rPr>
              <w:t>Suite du d</w:t>
            </w:r>
            <w:r w:rsidR="00CF5FE8" w:rsidRPr="00650A96">
              <w:rPr>
                <w:rFonts w:ascii="Century" w:hAnsi="Century"/>
                <w:b w:val="0"/>
              </w:rPr>
              <w:t>éveloppement de l’application de reporting des pointages et suivi des activités ;</w:t>
            </w:r>
          </w:p>
          <w:p w14:paraId="77104BE1" w14:textId="0620AF19" w:rsidR="001243C5" w:rsidRDefault="001243C5" w:rsidP="00280406">
            <w:pPr>
              <w:ind w:left="708"/>
              <w:rPr>
                <w:rFonts w:ascii="Century" w:hAnsi="Century"/>
                <w:b w:val="0"/>
              </w:rPr>
            </w:pPr>
          </w:p>
          <w:p w14:paraId="2EEA09FB" w14:textId="638DA8FD" w:rsidR="00584398" w:rsidRDefault="00584398" w:rsidP="00280406">
            <w:pPr>
              <w:ind w:left="708"/>
              <w:rPr>
                <w:rFonts w:ascii="Century" w:hAnsi="Century"/>
                <w:b w:val="0"/>
              </w:rPr>
            </w:pPr>
          </w:p>
          <w:p w14:paraId="4C98E4B3" w14:textId="77777777" w:rsidR="00584398" w:rsidRDefault="00584398" w:rsidP="00280406">
            <w:pPr>
              <w:ind w:left="708"/>
              <w:rPr>
                <w:rFonts w:ascii="Century" w:hAnsi="Century"/>
                <w:bCs/>
              </w:rPr>
            </w:pPr>
          </w:p>
          <w:p w14:paraId="208A8B5C" w14:textId="77777777" w:rsidR="00584398" w:rsidRPr="00A92178" w:rsidRDefault="00584398" w:rsidP="00584398">
            <w:pPr>
              <w:ind w:left="708"/>
              <w:rPr>
                <w:rFonts w:ascii="Century" w:hAnsi="Century"/>
                <w:b w:val="0"/>
              </w:rPr>
            </w:pPr>
            <w:r w:rsidRPr="00A92178">
              <w:rPr>
                <w:rFonts w:ascii="Century" w:hAnsi="Century"/>
                <w:b w:val="0"/>
              </w:rPr>
              <w:lastRenderedPageBreak/>
              <w:t>Contrôle et validation des Fiches d'ordonnancements, d'engagements et de liquidations avec DAAF, DGPEC et DMGP.</w:t>
            </w:r>
          </w:p>
          <w:p w14:paraId="7E110436" w14:textId="21B8244D" w:rsidR="00584398" w:rsidRPr="00A92178" w:rsidRDefault="00584398" w:rsidP="00584398">
            <w:pPr>
              <w:ind w:left="708"/>
              <w:rPr>
                <w:rFonts w:ascii="Century" w:hAnsi="Century"/>
                <w:b w:val="0"/>
              </w:rPr>
            </w:pPr>
            <w:r w:rsidRPr="00A92178">
              <w:rPr>
                <w:rFonts w:ascii="Century" w:hAnsi="Century"/>
                <w:b w:val="0"/>
              </w:rPr>
              <w:t>Suivi budgétaire régulier avec DAAF, DGPEC et DMGP</w:t>
            </w:r>
            <w:r w:rsidR="0093799C">
              <w:rPr>
                <w:rFonts w:ascii="Century" w:hAnsi="Century"/>
                <w:b w:val="0"/>
              </w:rPr>
              <w:t> ;</w:t>
            </w:r>
          </w:p>
          <w:p w14:paraId="244BAD86" w14:textId="48AD7B50" w:rsidR="00CF5FE8" w:rsidRDefault="00CF5FE8" w:rsidP="00125209">
            <w:pPr>
              <w:ind w:left="708"/>
              <w:rPr>
                <w:rFonts w:ascii="Century" w:hAnsi="Century"/>
                <w:b w:val="0"/>
                <w:bCs/>
              </w:rPr>
            </w:pPr>
          </w:p>
          <w:p w14:paraId="4260902B" w14:textId="169F72BC" w:rsidR="00584398" w:rsidRPr="0063740B" w:rsidRDefault="00584398" w:rsidP="00125209">
            <w:pPr>
              <w:ind w:left="708"/>
              <w:rPr>
                <w:rFonts w:ascii="Century" w:hAnsi="Century"/>
                <w:b w:val="0"/>
                <w:bCs/>
              </w:rPr>
            </w:pPr>
            <w:r w:rsidRPr="0063740B">
              <w:rPr>
                <w:rFonts w:ascii="Century" w:hAnsi="Century"/>
                <w:b w:val="0"/>
                <w:bCs/>
              </w:rPr>
              <w:t>Rédaction de deux offres de stages/emplois au sein du Service de l'Audit Interne</w:t>
            </w:r>
            <w:r w:rsidR="0093799C">
              <w:rPr>
                <w:rFonts w:ascii="Century" w:hAnsi="Century"/>
                <w:b w:val="0"/>
                <w:bCs/>
              </w:rPr>
              <w:t>.</w:t>
            </w:r>
          </w:p>
          <w:p w14:paraId="57D04F81" w14:textId="0F68F60D" w:rsidR="00F47C7E" w:rsidRPr="0054355F" w:rsidRDefault="00F47C7E" w:rsidP="00125209">
            <w:pPr>
              <w:ind w:left="708"/>
              <w:rPr>
                <w:rFonts w:ascii="Century" w:hAnsi="Century"/>
                <w:b w:val="0"/>
                <w:bCs/>
              </w:rPr>
            </w:pPr>
          </w:p>
        </w:tc>
        <w:tc>
          <w:tcPr>
            <w:tcW w:w="6379" w:type="dxa"/>
          </w:tcPr>
          <w:p w14:paraId="73C13E95" w14:textId="10A46861" w:rsidR="00CE1B53" w:rsidRPr="006841A7" w:rsidRDefault="00CE1B53" w:rsidP="00275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795710D0" w14:textId="194C0AB5" w:rsidR="00A7605C" w:rsidRDefault="00A7605C" w:rsidP="00275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0FFE0582" w14:textId="77777777" w:rsidR="00011A11" w:rsidRDefault="00011A11" w:rsidP="003B26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218B14B7" w14:textId="7A54376C" w:rsidR="006E29FF" w:rsidRDefault="00C8253F" w:rsidP="34B17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  <w:r w:rsidRPr="34B17E28">
              <w:rPr>
                <w:rFonts w:ascii="Century" w:hAnsi="Century"/>
                <w:b/>
                <w:color w:val="4472C4" w:themeColor="accent1"/>
              </w:rPr>
              <w:t>T</w:t>
            </w:r>
            <w:r w:rsidR="006E29FF" w:rsidRPr="34B17E28">
              <w:rPr>
                <w:rFonts w:ascii="Century" w:hAnsi="Century"/>
                <w:b/>
                <w:color w:val="4472C4" w:themeColor="accent1"/>
              </w:rPr>
              <w:t>raitement de</w:t>
            </w:r>
            <w:r w:rsidRPr="34B17E28">
              <w:rPr>
                <w:rFonts w:ascii="Century" w:hAnsi="Century"/>
                <w:b/>
                <w:color w:val="4472C4" w:themeColor="accent1"/>
              </w:rPr>
              <w:t xml:space="preserve">s </w:t>
            </w:r>
            <w:r w:rsidR="006E29FF" w:rsidRPr="34B17E28">
              <w:rPr>
                <w:rFonts w:ascii="Century" w:hAnsi="Century"/>
                <w:b/>
                <w:color w:val="4472C4" w:themeColor="accent1"/>
              </w:rPr>
              <w:t>diligences et instructions du DG</w:t>
            </w:r>
            <w:r w:rsidR="00D01083" w:rsidRPr="34B17E28">
              <w:rPr>
                <w:rFonts w:ascii="Century" w:hAnsi="Century"/>
                <w:b/>
                <w:color w:val="4472C4" w:themeColor="accent1"/>
              </w:rPr>
              <w:t xml:space="preserve">, </w:t>
            </w:r>
            <w:r w:rsidR="00475E24" w:rsidRPr="34B17E28">
              <w:rPr>
                <w:rFonts w:ascii="Century" w:hAnsi="Century"/>
                <w:b/>
                <w:color w:val="4472C4" w:themeColor="accent1"/>
              </w:rPr>
              <w:t>débriefing du 1</w:t>
            </w:r>
            <w:r w:rsidR="00475E24" w:rsidRPr="34B17E28">
              <w:rPr>
                <w:rFonts w:ascii="Century" w:hAnsi="Century"/>
                <w:b/>
                <w:color w:val="4472C4" w:themeColor="accent1"/>
                <w:vertAlign w:val="superscript"/>
              </w:rPr>
              <w:t>er</w:t>
            </w:r>
            <w:r w:rsidR="00475E24" w:rsidRPr="34B17E28">
              <w:rPr>
                <w:rFonts w:ascii="Century" w:hAnsi="Century"/>
                <w:b/>
                <w:color w:val="4472C4" w:themeColor="accent1"/>
              </w:rPr>
              <w:t xml:space="preserve"> conseil de régulation, b</w:t>
            </w:r>
            <w:r w:rsidR="007D45A0" w:rsidRPr="34B17E28">
              <w:rPr>
                <w:rFonts w:ascii="Century" w:hAnsi="Century"/>
                <w:b/>
                <w:color w:val="4472C4" w:themeColor="accent1"/>
              </w:rPr>
              <w:t>ilan des activités de la semaine écoulée, définition</w:t>
            </w:r>
            <w:r w:rsidR="00D01083" w:rsidRPr="34B17E28">
              <w:rPr>
                <w:rFonts w:ascii="Century" w:hAnsi="Century"/>
                <w:b/>
                <w:color w:val="4472C4" w:themeColor="accent1"/>
              </w:rPr>
              <w:t xml:space="preserve"> des objectifs </w:t>
            </w:r>
            <w:r w:rsidR="00545BE7" w:rsidRPr="34B17E28">
              <w:rPr>
                <w:rFonts w:ascii="Century" w:hAnsi="Century"/>
                <w:b/>
                <w:color w:val="4472C4" w:themeColor="accent1"/>
              </w:rPr>
              <w:t>de la semain</w:t>
            </w:r>
            <w:r w:rsidR="007D45A0" w:rsidRPr="34B17E28">
              <w:rPr>
                <w:rFonts w:ascii="Century" w:hAnsi="Century"/>
                <w:b/>
                <w:color w:val="4472C4" w:themeColor="accent1"/>
              </w:rPr>
              <w:t>e en cours</w:t>
            </w:r>
            <w:r w:rsidR="00B47A26" w:rsidRPr="34B17E28">
              <w:rPr>
                <w:rFonts w:ascii="Century" w:hAnsi="Century"/>
                <w:b/>
                <w:color w:val="4472C4" w:themeColor="accent1"/>
              </w:rPr>
              <w:t> ;</w:t>
            </w:r>
          </w:p>
          <w:p w14:paraId="01F2033F" w14:textId="605A65CE" w:rsidR="00705DA9" w:rsidRDefault="00705DA9" w:rsidP="003B26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27D4A4ED" w14:textId="77777777" w:rsidR="001243C5" w:rsidRDefault="001243C5" w:rsidP="34B17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1FB8906D" w14:textId="103C853C" w:rsidR="003A5A79" w:rsidRDefault="003E0B82" w:rsidP="34B17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  <w:r>
              <w:rPr>
                <w:rFonts w:ascii="Century" w:hAnsi="Century"/>
                <w:b/>
                <w:color w:val="4472C4" w:themeColor="accent1"/>
              </w:rPr>
              <w:t>Il s’agissait de</w:t>
            </w:r>
            <w:r w:rsidR="00815553">
              <w:rPr>
                <w:rFonts w:ascii="Century" w:hAnsi="Century"/>
                <w:b/>
                <w:color w:val="4472C4" w:themeColor="accent1"/>
              </w:rPr>
              <w:t xml:space="preserve"> la</w:t>
            </w:r>
            <w:r>
              <w:rPr>
                <w:rFonts w:ascii="Century" w:hAnsi="Century"/>
                <w:b/>
                <w:color w:val="4472C4" w:themeColor="accent1"/>
              </w:rPr>
              <w:t xml:space="preserve"> pr</w:t>
            </w:r>
            <w:r w:rsidR="00815553">
              <w:rPr>
                <w:rFonts w:ascii="Century" w:hAnsi="Century"/>
                <w:b/>
                <w:color w:val="4472C4" w:themeColor="accent1"/>
              </w:rPr>
              <w:t>éparation du Forum sur le Développement durable du RICED sur les projet</w:t>
            </w:r>
            <w:r w:rsidR="00D84B75">
              <w:rPr>
                <w:rFonts w:ascii="Century" w:hAnsi="Century"/>
                <w:b/>
                <w:color w:val="4472C4" w:themeColor="accent1"/>
              </w:rPr>
              <w:t>s structurants</w:t>
            </w:r>
            <w:r w:rsidR="00815553">
              <w:rPr>
                <w:rFonts w:ascii="Century" w:hAnsi="Century"/>
                <w:b/>
                <w:color w:val="4472C4" w:themeColor="accent1"/>
              </w:rPr>
              <w:t xml:space="preserve"> </w:t>
            </w:r>
            <w:r w:rsidR="00D84B75">
              <w:rPr>
                <w:rFonts w:ascii="Century" w:hAnsi="Century"/>
                <w:b/>
                <w:color w:val="4472C4" w:themeColor="accent1"/>
              </w:rPr>
              <w:t xml:space="preserve">(BRT) </w:t>
            </w:r>
            <w:r w:rsidR="00815553">
              <w:rPr>
                <w:rFonts w:ascii="Century" w:hAnsi="Century"/>
                <w:b/>
                <w:color w:val="4472C4" w:themeColor="accent1"/>
              </w:rPr>
              <w:t>du PMUA</w:t>
            </w:r>
            <w:r w:rsidR="00D84B75">
              <w:rPr>
                <w:rFonts w:ascii="Century" w:hAnsi="Century"/>
                <w:b/>
                <w:color w:val="4472C4" w:themeColor="accent1"/>
              </w:rPr>
              <w:t xml:space="preserve"> pour la participation à la Conférence-débat</w:t>
            </w:r>
            <w:r w:rsidR="00E16252">
              <w:rPr>
                <w:rFonts w:ascii="Century" w:hAnsi="Century"/>
                <w:b/>
                <w:color w:val="4472C4" w:themeColor="accent1"/>
              </w:rPr>
              <w:t> ;</w:t>
            </w:r>
          </w:p>
          <w:p w14:paraId="6244305E" w14:textId="77777777" w:rsidR="003A5A79" w:rsidRDefault="003A5A79" w:rsidP="34B17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46EA2AFB" w14:textId="77777777" w:rsidR="003A5A79" w:rsidRDefault="003A5A79" w:rsidP="34B17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3F76ADB5" w14:textId="0A56C956" w:rsidR="00D41370" w:rsidRDefault="004B0132" w:rsidP="00AA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  <w:r>
              <w:rPr>
                <w:rFonts w:ascii="Century" w:hAnsi="Century"/>
                <w:b/>
                <w:color w:val="4472C4" w:themeColor="accent1"/>
              </w:rPr>
              <w:t xml:space="preserve">La rédaction des TDR sont relatives </w:t>
            </w:r>
            <w:r w:rsidR="002C2348">
              <w:rPr>
                <w:rFonts w:ascii="Century" w:hAnsi="Century"/>
                <w:b/>
                <w:color w:val="4472C4" w:themeColor="accent1"/>
              </w:rPr>
              <w:t xml:space="preserve">à la mise en œuvre de la stratégie du déploiement des bureaux régionaux de l’ARTI dans les différentes régions qui sont : Yamoussoukro, San Pedro, </w:t>
            </w:r>
            <w:r w:rsidR="00A36177">
              <w:rPr>
                <w:rFonts w:ascii="Century" w:hAnsi="Century"/>
                <w:b/>
                <w:color w:val="4472C4" w:themeColor="accent1"/>
              </w:rPr>
              <w:t xml:space="preserve">Korhogo dans le Court Termes et </w:t>
            </w:r>
            <w:r w:rsidR="00C62811">
              <w:rPr>
                <w:rFonts w:ascii="Century" w:hAnsi="Century"/>
                <w:b/>
                <w:color w:val="4472C4" w:themeColor="accent1"/>
              </w:rPr>
              <w:t>Bondoukou, Daloa</w:t>
            </w:r>
            <w:r w:rsidR="00863593">
              <w:rPr>
                <w:rFonts w:ascii="Century" w:hAnsi="Century"/>
                <w:b/>
                <w:color w:val="4472C4" w:themeColor="accent1"/>
              </w:rPr>
              <w:t xml:space="preserve">, Man et Abengourou dans le Long Termes. </w:t>
            </w:r>
          </w:p>
          <w:p w14:paraId="21F5C56E" w14:textId="77777777" w:rsidR="0098213B" w:rsidRDefault="0098213B" w:rsidP="00AA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bCs w:val="0"/>
                <w:color w:val="4472C4" w:themeColor="accent1"/>
              </w:rPr>
            </w:pPr>
          </w:p>
          <w:p w14:paraId="6433B6AA" w14:textId="77777777" w:rsidR="0098213B" w:rsidRDefault="0098213B" w:rsidP="00AA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bCs w:val="0"/>
                <w:color w:val="4472C4" w:themeColor="accent1"/>
              </w:rPr>
            </w:pPr>
          </w:p>
          <w:p w14:paraId="2EEC8424" w14:textId="5ADC64AE" w:rsidR="00CF5FE8" w:rsidRDefault="003A5A79" w:rsidP="00CF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  <w:r w:rsidRPr="00650A96">
              <w:rPr>
                <w:rFonts w:ascii="Century" w:hAnsi="Century"/>
                <w:b/>
                <w:color w:val="4472C4" w:themeColor="accent1"/>
              </w:rPr>
              <w:t>Poursuite du d</w:t>
            </w:r>
            <w:r w:rsidR="00CF5FE8" w:rsidRPr="00650A96">
              <w:rPr>
                <w:rFonts w:ascii="Century" w:hAnsi="Century"/>
                <w:b/>
                <w:color w:val="4472C4" w:themeColor="accent1"/>
              </w:rPr>
              <w:t>éveloppement des tableaux de bord des pointages et suivi des activités ; permett</w:t>
            </w:r>
            <w:r w:rsidR="005D72E1" w:rsidRPr="00650A96">
              <w:rPr>
                <w:rFonts w:ascii="Century" w:hAnsi="Century"/>
                <w:b/>
                <w:color w:val="4472C4" w:themeColor="accent1"/>
              </w:rPr>
              <w:t>re</w:t>
            </w:r>
            <w:r w:rsidR="00CF5FE8" w:rsidRPr="00650A96">
              <w:rPr>
                <w:rFonts w:ascii="Century" w:hAnsi="Century"/>
                <w:b/>
                <w:color w:val="4472C4" w:themeColor="accent1"/>
              </w:rPr>
              <w:t xml:space="preserve"> à la DSESP de suivre les données des activités, ainsi que de générer des rapports pour une analyse approfondie ;</w:t>
            </w:r>
          </w:p>
          <w:p w14:paraId="2D0BFD86" w14:textId="1BC95E0C" w:rsidR="00CF5FE8" w:rsidRDefault="00CF5FE8" w:rsidP="00AA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bCs w:val="0"/>
                <w:color w:val="4472C4" w:themeColor="accent1"/>
              </w:rPr>
            </w:pPr>
          </w:p>
          <w:p w14:paraId="1729A0F8" w14:textId="3310FCD2" w:rsidR="00584398" w:rsidRDefault="00584398" w:rsidP="00AA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bCs w:val="0"/>
                <w:color w:val="4472C4" w:themeColor="accent1"/>
              </w:rPr>
            </w:pPr>
          </w:p>
          <w:p w14:paraId="2F522B31" w14:textId="6334AAA3" w:rsidR="00584398" w:rsidRDefault="00584398" w:rsidP="00AA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bCs w:val="0"/>
                <w:color w:val="4472C4" w:themeColor="accent1"/>
              </w:rPr>
            </w:pPr>
            <w:r w:rsidRPr="008A3834">
              <w:rPr>
                <w:rFonts w:ascii="Century" w:hAnsi="Century"/>
                <w:b/>
                <w:color w:val="4472C4" w:themeColor="accent1"/>
              </w:rPr>
              <w:lastRenderedPageBreak/>
              <w:t>Activité récurrente dans le processus des achats de biens et services.  Le tableau de suivi de la commande publique de l’ARTI est régulièrement transmis au DAAF et au DMGP</w:t>
            </w:r>
            <w:r w:rsidR="0093799C">
              <w:rPr>
                <w:rFonts w:ascii="Century" w:hAnsi="Century"/>
                <w:b/>
                <w:color w:val="4472C4" w:themeColor="accent1"/>
              </w:rPr>
              <w:t> ;</w:t>
            </w:r>
          </w:p>
          <w:p w14:paraId="5690FA6C" w14:textId="77777777" w:rsidR="00584398" w:rsidRDefault="00584398" w:rsidP="00AA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bCs w:val="0"/>
                <w:color w:val="4472C4" w:themeColor="accent1"/>
              </w:rPr>
            </w:pPr>
          </w:p>
          <w:p w14:paraId="443867BF" w14:textId="77777777" w:rsidR="00584398" w:rsidRDefault="00584398" w:rsidP="00AA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bCs w:val="0"/>
                <w:color w:val="4472C4" w:themeColor="accent1"/>
              </w:rPr>
            </w:pPr>
          </w:p>
          <w:p w14:paraId="2779C5A3" w14:textId="77777777" w:rsidR="0063740B" w:rsidRDefault="0063740B" w:rsidP="00AA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bCs w:val="0"/>
                <w:color w:val="4472C4" w:themeColor="accent1"/>
              </w:rPr>
            </w:pPr>
          </w:p>
          <w:p w14:paraId="2DBFDD01" w14:textId="583940DA" w:rsidR="00584398" w:rsidRDefault="00584398" w:rsidP="00AA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bCs w:val="0"/>
                <w:color w:val="4472C4" w:themeColor="accent1"/>
              </w:rPr>
            </w:pPr>
            <w:r>
              <w:rPr>
                <w:rFonts w:ascii="Century" w:hAnsi="Century"/>
                <w:b/>
                <w:bCs w:val="0"/>
                <w:color w:val="4472C4" w:themeColor="accent1"/>
              </w:rPr>
              <w:t>Suivant les instructions du DSESP pour le développement de l’activité d’Audit Interne, deux profils de stagiaires Bac+4/5 ont été transmis à la DGPEC-RP.</w:t>
            </w:r>
          </w:p>
          <w:p w14:paraId="6D86E1A0" w14:textId="783BB02E" w:rsidR="00CF5FE8" w:rsidRPr="001A4FA2" w:rsidRDefault="00CF5FE8" w:rsidP="00B33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bCs w:val="0"/>
                <w:color w:val="4472C4" w:themeColor="accent1"/>
              </w:rPr>
            </w:pPr>
          </w:p>
        </w:tc>
        <w:tc>
          <w:tcPr>
            <w:tcW w:w="3118" w:type="dxa"/>
          </w:tcPr>
          <w:p w14:paraId="68CA2DC0" w14:textId="2C865999" w:rsidR="00123912" w:rsidRDefault="00123912" w:rsidP="00275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  <w:p w14:paraId="0613B0BF" w14:textId="6F36EAD7" w:rsidR="00A7605C" w:rsidRDefault="00A7605C" w:rsidP="00275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  <w:p w14:paraId="1319A82C" w14:textId="77777777" w:rsidR="00011A11" w:rsidRDefault="00011A11" w:rsidP="006E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  <w:p w14:paraId="3A225865" w14:textId="32DC1B99" w:rsidR="006E29FF" w:rsidRDefault="003B261B" w:rsidP="006E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S</w:t>
            </w:r>
            <w:r w:rsidR="006E29FF">
              <w:rPr>
                <w:rFonts w:ascii="Century" w:hAnsi="Century"/>
              </w:rPr>
              <w:t>éance de travail</w:t>
            </w:r>
            <w:r>
              <w:rPr>
                <w:rFonts w:ascii="Century" w:hAnsi="Century"/>
              </w:rPr>
              <w:t xml:space="preserve"> récurrente, interactive et collective des membres de la DSESP</w:t>
            </w:r>
            <w:r w:rsidR="00692137">
              <w:rPr>
                <w:rFonts w:ascii="Century" w:hAnsi="Century"/>
              </w:rPr>
              <w:t> ;</w:t>
            </w:r>
          </w:p>
          <w:p w14:paraId="3057FFBD" w14:textId="234865BF" w:rsidR="00011A11" w:rsidRDefault="00011A11" w:rsidP="00985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  <w:p w14:paraId="3B045488" w14:textId="0B7F9239" w:rsidR="00BF4C90" w:rsidRDefault="009B1EB1" w:rsidP="34B17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Un rapport est disponible</w:t>
            </w:r>
            <w:r w:rsidR="003A5A79">
              <w:rPr>
                <w:rFonts w:ascii="Century" w:hAnsi="Century"/>
              </w:rPr>
              <w:t> ;</w:t>
            </w:r>
          </w:p>
          <w:p w14:paraId="19FE3DEE" w14:textId="77777777" w:rsidR="00280406" w:rsidRDefault="00280406" w:rsidP="00EE5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  <w:p w14:paraId="3E62F431" w14:textId="77777777" w:rsidR="009B1EB1" w:rsidRDefault="009B1EB1" w:rsidP="00EE5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  <w:p w14:paraId="07F5767A" w14:textId="77777777" w:rsidR="009B1EB1" w:rsidRDefault="009B1EB1" w:rsidP="00EE5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  <w:p w14:paraId="0FD9C08B" w14:textId="77777777" w:rsidR="009B1EB1" w:rsidRDefault="009B1EB1" w:rsidP="00EE5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  <w:p w14:paraId="285B00FA" w14:textId="77777777" w:rsidR="002437AA" w:rsidRDefault="002437AA" w:rsidP="00EE5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  <w:p w14:paraId="5E3B291E" w14:textId="57151D77" w:rsidR="00280406" w:rsidRDefault="00280406" w:rsidP="34B17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 w:rsidRPr="34B17E28">
              <w:rPr>
                <w:rFonts w:ascii="Century" w:hAnsi="Century"/>
              </w:rPr>
              <w:t>N/A</w:t>
            </w:r>
          </w:p>
          <w:p w14:paraId="445B0C0A" w14:textId="77777777" w:rsidR="00280406" w:rsidRDefault="00280406" w:rsidP="00EE5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  <w:p w14:paraId="67653A51" w14:textId="77777777" w:rsidR="00280406" w:rsidRDefault="00280406" w:rsidP="00EE5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  <w:p w14:paraId="5D2745C8" w14:textId="77777777" w:rsidR="00280406" w:rsidRDefault="00280406" w:rsidP="00EE5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  <w:p w14:paraId="25EBE17B" w14:textId="76CA1438" w:rsidR="001243C5" w:rsidRDefault="001243C5" w:rsidP="00EE5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  <w:p w14:paraId="41769D75" w14:textId="77777777" w:rsidR="00CF5FE8" w:rsidRDefault="00CF5FE8" w:rsidP="00EE5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  <w:p w14:paraId="5A0F0E05" w14:textId="77777777" w:rsidR="00380CDF" w:rsidRDefault="00380CDF" w:rsidP="00EE5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  <w:p w14:paraId="7B1F9FC7" w14:textId="78B0E7EA" w:rsidR="0093799C" w:rsidRDefault="0093799C" w:rsidP="00937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  <w:r w:rsidRPr="00CF5FE8">
              <w:rPr>
                <w:rFonts w:ascii="Century" w:hAnsi="Century"/>
                <w:lang w:val="fr-CI"/>
              </w:rPr>
              <w:t>Conception des bases de d</w:t>
            </w:r>
            <w:r>
              <w:rPr>
                <w:rFonts w:ascii="Century" w:hAnsi="Century"/>
                <w:lang w:val="fr-CI"/>
              </w:rPr>
              <w:t>onnées de l’application</w:t>
            </w:r>
            <w:r>
              <w:rPr>
                <w:rFonts w:ascii="Century" w:hAnsi="Century"/>
                <w:lang w:val="fr-CI"/>
              </w:rPr>
              <w:t> ;</w:t>
            </w:r>
          </w:p>
          <w:p w14:paraId="0E994109" w14:textId="4DDEE5B8" w:rsidR="00CF5FE8" w:rsidRPr="0093799C" w:rsidRDefault="00CF5FE8" w:rsidP="00EE5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</w:p>
          <w:p w14:paraId="1FB5F20D" w14:textId="77777777" w:rsidR="00CF5FE8" w:rsidRDefault="00CF5FE8" w:rsidP="00EE5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  <w:p w14:paraId="67587A9D" w14:textId="77777777" w:rsidR="00CF5FE8" w:rsidRDefault="00CF5FE8" w:rsidP="00EE5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  <w:p w14:paraId="5EB578ED" w14:textId="77777777" w:rsidR="00CF5FE8" w:rsidRDefault="00CF5FE8" w:rsidP="00EE5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  <w:p w14:paraId="3CE87F93" w14:textId="77777777" w:rsidR="00CF5FE8" w:rsidRDefault="00CF5FE8" w:rsidP="00EE5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  <w:p w14:paraId="14ED8648" w14:textId="77777777" w:rsidR="001243C5" w:rsidRDefault="001243C5" w:rsidP="00B81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  <w:p w14:paraId="3653D8BF" w14:textId="77777777" w:rsidR="0093799C" w:rsidRDefault="0093799C" w:rsidP="00B81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  <w:p w14:paraId="54163606" w14:textId="77777777" w:rsidR="0093799C" w:rsidRDefault="0093799C" w:rsidP="00B81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  <w:p w14:paraId="2D9E85B7" w14:textId="77777777" w:rsidR="0093799C" w:rsidRDefault="0093799C" w:rsidP="00B81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  <w:p w14:paraId="06A68366" w14:textId="77777777" w:rsidR="0093799C" w:rsidRDefault="0093799C" w:rsidP="00B81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  <w:p w14:paraId="6A8AA831" w14:textId="01723FAF" w:rsidR="0093799C" w:rsidRPr="002F3884" w:rsidRDefault="0093799C" w:rsidP="00B81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N/A</w:t>
            </w:r>
          </w:p>
        </w:tc>
      </w:tr>
      <w:tr w:rsidR="002F3884" w:rsidRPr="002F3884" w14:paraId="73ED4A03" w14:textId="77777777" w:rsidTr="34B17E2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03A26097" w14:textId="77777777" w:rsidR="0077056D" w:rsidRPr="00D346E3" w:rsidRDefault="0077056D" w:rsidP="00011A11">
            <w:pPr>
              <w:rPr>
                <w:rFonts w:ascii="Century" w:hAnsi="Century"/>
                <w:b w:val="0"/>
                <w:bCs/>
              </w:rPr>
            </w:pPr>
          </w:p>
          <w:p w14:paraId="5401F985" w14:textId="06527945" w:rsidR="0004331C" w:rsidRPr="00D346E3" w:rsidRDefault="00121C30" w:rsidP="00D346E3">
            <w:pPr>
              <w:ind w:left="708"/>
              <w:rPr>
                <w:rFonts w:ascii="Century" w:hAnsi="Century"/>
                <w:bCs/>
                <w:u w:val="single"/>
              </w:rPr>
            </w:pPr>
            <w:r w:rsidRPr="00D346E3">
              <w:rPr>
                <w:rFonts w:ascii="Century" w:hAnsi="Century"/>
                <w:bCs/>
                <w:u w:val="single"/>
              </w:rPr>
              <w:t xml:space="preserve">Mardi </w:t>
            </w:r>
            <w:r w:rsidR="00610F21">
              <w:rPr>
                <w:rFonts w:ascii="Century" w:hAnsi="Century"/>
                <w:bCs/>
                <w:u w:val="single"/>
              </w:rPr>
              <w:t>2</w:t>
            </w:r>
            <w:r w:rsidR="00FB29CA">
              <w:rPr>
                <w:rFonts w:ascii="Century" w:hAnsi="Century"/>
                <w:bCs/>
                <w:u w:val="single"/>
              </w:rPr>
              <w:t>1</w:t>
            </w:r>
            <w:r w:rsidR="00443CD6" w:rsidRPr="00D346E3">
              <w:rPr>
                <w:rFonts w:ascii="Century" w:hAnsi="Century"/>
                <w:bCs/>
                <w:u w:val="single"/>
              </w:rPr>
              <w:t>/</w:t>
            </w:r>
            <w:r w:rsidR="00546CF0" w:rsidRPr="00D346E3">
              <w:rPr>
                <w:rFonts w:ascii="Century" w:hAnsi="Century"/>
                <w:bCs/>
                <w:u w:val="single"/>
              </w:rPr>
              <w:t>0</w:t>
            </w:r>
            <w:r w:rsidR="000A4939">
              <w:rPr>
                <w:rFonts w:ascii="Century" w:hAnsi="Century"/>
                <w:bCs/>
                <w:u w:val="single"/>
              </w:rPr>
              <w:t>3</w:t>
            </w:r>
            <w:r w:rsidR="00443CD6" w:rsidRPr="00D346E3">
              <w:rPr>
                <w:rFonts w:ascii="Century" w:hAnsi="Century"/>
                <w:bCs/>
                <w:u w:val="single"/>
              </w:rPr>
              <w:t>/202</w:t>
            </w:r>
            <w:r w:rsidR="00546CF0" w:rsidRPr="00D346E3">
              <w:rPr>
                <w:rFonts w:ascii="Century" w:hAnsi="Century"/>
                <w:bCs/>
                <w:u w:val="single"/>
              </w:rPr>
              <w:t>3</w:t>
            </w:r>
          </w:p>
          <w:p w14:paraId="34F85EEE" w14:textId="2C95588E" w:rsidR="00FC4855" w:rsidRDefault="00FC4855" w:rsidP="00D346E3">
            <w:pPr>
              <w:ind w:left="708"/>
              <w:rPr>
                <w:rFonts w:ascii="Century" w:hAnsi="Century"/>
              </w:rPr>
            </w:pPr>
          </w:p>
          <w:p w14:paraId="78731A19" w14:textId="3997AB6B" w:rsidR="0054355F" w:rsidRPr="00157D8F" w:rsidRDefault="009476ED" w:rsidP="34B17E28">
            <w:pPr>
              <w:ind w:left="708"/>
              <w:rPr>
                <w:rFonts w:ascii="Century" w:hAnsi="Century"/>
                <w:b w:val="0"/>
              </w:rPr>
            </w:pPr>
            <w:r>
              <w:rPr>
                <w:rFonts w:ascii="Century" w:hAnsi="Century"/>
                <w:b w:val="0"/>
              </w:rPr>
              <w:t>Forum sur le Développement durable</w:t>
            </w:r>
            <w:r w:rsidR="0093799C">
              <w:rPr>
                <w:rFonts w:ascii="Century" w:hAnsi="Century"/>
                <w:b w:val="0"/>
              </w:rPr>
              <w:t> ;</w:t>
            </w:r>
          </w:p>
          <w:p w14:paraId="1A796D77" w14:textId="7CD190AF" w:rsidR="00BE43C2" w:rsidRDefault="00BE43C2" w:rsidP="000D27D0">
            <w:pPr>
              <w:ind w:left="708"/>
              <w:rPr>
                <w:rFonts w:ascii="Century" w:hAnsi="Century"/>
                <w:b w:val="0"/>
                <w:bCs/>
              </w:rPr>
            </w:pPr>
          </w:p>
          <w:p w14:paraId="34B5AE68" w14:textId="38F0ABC4" w:rsidR="009E174C" w:rsidRDefault="009E174C" w:rsidP="34B17E28">
            <w:pPr>
              <w:ind w:left="708"/>
              <w:rPr>
                <w:rFonts w:ascii="Century" w:hAnsi="Century"/>
                <w:bCs/>
              </w:rPr>
            </w:pPr>
          </w:p>
          <w:p w14:paraId="03FA4BD5" w14:textId="343BE4C0" w:rsidR="009E174C" w:rsidRDefault="009E174C" w:rsidP="34B17E28">
            <w:pPr>
              <w:ind w:left="708"/>
              <w:rPr>
                <w:rFonts w:ascii="Century" w:hAnsi="Century"/>
                <w:bCs/>
              </w:rPr>
            </w:pPr>
          </w:p>
          <w:p w14:paraId="78C36054" w14:textId="6D0FB6F3" w:rsidR="009E174C" w:rsidRDefault="009E174C" w:rsidP="34B17E28">
            <w:pPr>
              <w:ind w:left="708"/>
              <w:rPr>
                <w:rFonts w:ascii="Century" w:hAnsi="Century"/>
                <w:b w:val="0"/>
              </w:rPr>
            </w:pPr>
          </w:p>
          <w:p w14:paraId="16CC9862" w14:textId="77777777" w:rsidR="00280406" w:rsidRPr="00A92178" w:rsidRDefault="00280406" w:rsidP="00A72A72">
            <w:pPr>
              <w:rPr>
                <w:rFonts w:ascii="Century" w:hAnsi="Century"/>
                <w:b w:val="0"/>
              </w:rPr>
            </w:pPr>
          </w:p>
          <w:p w14:paraId="4267B6CB" w14:textId="259312D6" w:rsidR="008A3834" w:rsidRPr="00A92178" w:rsidRDefault="008A3834" w:rsidP="008A3834">
            <w:pPr>
              <w:ind w:left="708"/>
              <w:rPr>
                <w:rFonts w:ascii="Century" w:hAnsi="Century"/>
                <w:b w:val="0"/>
              </w:rPr>
            </w:pPr>
            <w:r w:rsidRPr="00A92178">
              <w:rPr>
                <w:rFonts w:ascii="Century" w:hAnsi="Century"/>
                <w:b w:val="0"/>
              </w:rPr>
              <w:t>Contrôle et validation des Fiches d'ordonnancements, d'engagements et de liquidations avec DAAF, DGPEC et DMGP.</w:t>
            </w:r>
          </w:p>
          <w:p w14:paraId="01CE74EA" w14:textId="670892C8" w:rsidR="009F55FB" w:rsidRDefault="008A3834" w:rsidP="008A3834">
            <w:pPr>
              <w:ind w:left="708"/>
              <w:rPr>
                <w:rFonts w:ascii="Century" w:hAnsi="Century"/>
                <w:bCs/>
              </w:rPr>
            </w:pPr>
            <w:r w:rsidRPr="00A92178">
              <w:rPr>
                <w:rFonts w:ascii="Century" w:hAnsi="Century"/>
                <w:b w:val="0"/>
              </w:rPr>
              <w:t>Suivi budgétaire régulier avec DAAF, DGPEC et DMGP</w:t>
            </w:r>
            <w:r w:rsidR="0093799C">
              <w:rPr>
                <w:rFonts w:ascii="Century" w:hAnsi="Century"/>
                <w:b w:val="0"/>
              </w:rPr>
              <w:t> ;</w:t>
            </w:r>
          </w:p>
          <w:p w14:paraId="5F96CB50" w14:textId="2FF01259" w:rsidR="00584398" w:rsidRDefault="00584398" w:rsidP="008A3834">
            <w:pPr>
              <w:ind w:left="708"/>
              <w:rPr>
                <w:rFonts w:ascii="Century" w:hAnsi="Century"/>
                <w:b w:val="0"/>
              </w:rPr>
            </w:pPr>
          </w:p>
          <w:p w14:paraId="7B927336" w14:textId="409246D4" w:rsidR="0093799C" w:rsidRDefault="00584398" w:rsidP="0093799C">
            <w:pPr>
              <w:ind w:left="708"/>
              <w:rPr>
                <w:rFonts w:ascii="Century" w:hAnsi="Century"/>
                <w:bCs/>
              </w:rPr>
            </w:pPr>
            <w:r w:rsidRPr="00252522">
              <w:rPr>
                <w:rFonts w:ascii="Century" w:hAnsi="Century"/>
                <w:b w:val="0"/>
              </w:rPr>
              <w:t>Proposition d'un document portant Code de déontologie (IIA) de l'Audit Interne de l'ARTI</w:t>
            </w:r>
            <w:r w:rsidR="0093799C">
              <w:rPr>
                <w:rFonts w:ascii="Century" w:hAnsi="Century"/>
                <w:b w:val="0"/>
              </w:rPr>
              <w:t> ;</w:t>
            </w:r>
          </w:p>
          <w:p w14:paraId="77830F10" w14:textId="77777777" w:rsidR="0093799C" w:rsidRPr="0093799C" w:rsidRDefault="0093799C" w:rsidP="0093799C">
            <w:pPr>
              <w:ind w:left="708"/>
              <w:rPr>
                <w:rFonts w:ascii="Century" w:hAnsi="Century"/>
                <w:b w:val="0"/>
              </w:rPr>
            </w:pPr>
          </w:p>
          <w:p w14:paraId="7BFFF8E2" w14:textId="77777777" w:rsidR="0093799C" w:rsidRDefault="0093799C" w:rsidP="0093799C">
            <w:pPr>
              <w:ind w:left="708"/>
              <w:rPr>
                <w:rFonts w:ascii="Century" w:hAnsi="Century"/>
                <w:bCs/>
              </w:rPr>
            </w:pPr>
          </w:p>
          <w:p w14:paraId="4AB8279A" w14:textId="77777777" w:rsidR="0093799C" w:rsidRDefault="0093799C" w:rsidP="0093799C">
            <w:pPr>
              <w:ind w:left="708"/>
              <w:rPr>
                <w:rFonts w:ascii="Century" w:hAnsi="Century"/>
                <w:bCs/>
              </w:rPr>
            </w:pPr>
          </w:p>
          <w:p w14:paraId="05714111" w14:textId="77777777" w:rsidR="0093799C" w:rsidRDefault="0093799C" w:rsidP="0093799C">
            <w:pPr>
              <w:ind w:left="708"/>
              <w:rPr>
                <w:rFonts w:ascii="Century" w:hAnsi="Century"/>
                <w:bCs/>
              </w:rPr>
            </w:pPr>
          </w:p>
          <w:p w14:paraId="5FCED0C1" w14:textId="649E5637" w:rsidR="0093799C" w:rsidRPr="00CF5FE8" w:rsidRDefault="0093799C" w:rsidP="0093799C">
            <w:pPr>
              <w:ind w:left="708"/>
              <w:rPr>
                <w:rFonts w:ascii="Century" w:hAnsi="Century"/>
                <w:b w:val="0"/>
              </w:rPr>
            </w:pPr>
            <w:r w:rsidRPr="00650A96">
              <w:rPr>
                <w:rFonts w:ascii="Century" w:hAnsi="Century"/>
                <w:b w:val="0"/>
              </w:rPr>
              <w:t>Suite du développement de l’application de reporting des pointages et suivi des activités</w:t>
            </w:r>
            <w:r>
              <w:rPr>
                <w:rFonts w:ascii="Century" w:hAnsi="Century"/>
                <w:b w:val="0"/>
              </w:rPr>
              <w:t>.</w:t>
            </w:r>
          </w:p>
          <w:p w14:paraId="33716A0A" w14:textId="3739D08E" w:rsidR="008A3834" w:rsidRPr="00903131" w:rsidRDefault="008A3834" w:rsidP="008A3834">
            <w:pPr>
              <w:ind w:left="708"/>
              <w:rPr>
                <w:rFonts w:ascii="Century" w:hAnsi="Century"/>
                <w:b w:val="0"/>
                <w:bCs/>
              </w:rPr>
            </w:pPr>
          </w:p>
        </w:tc>
        <w:tc>
          <w:tcPr>
            <w:tcW w:w="6379" w:type="dxa"/>
          </w:tcPr>
          <w:p w14:paraId="6AE26982" w14:textId="77777777" w:rsidR="00CE1B53" w:rsidRPr="00873F70" w:rsidRDefault="00CE1B53" w:rsidP="00275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  <w:lang w:val="fr-CI"/>
              </w:rPr>
            </w:pPr>
          </w:p>
          <w:p w14:paraId="54CC9B53" w14:textId="23982E4A" w:rsidR="00FC4855" w:rsidRPr="00873F70" w:rsidRDefault="00FC4855" w:rsidP="00275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  <w:lang w:val="fr-CI"/>
              </w:rPr>
            </w:pPr>
          </w:p>
          <w:p w14:paraId="35764451" w14:textId="77777777" w:rsidR="001270A7" w:rsidRDefault="001270A7" w:rsidP="00F0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  <w:lang w:val="fr-CI"/>
              </w:rPr>
            </w:pPr>
          </w:p>
          <w:p w14:paraId="79A346FC" w14:textId="051DC38C" w:rsidR="001270A7" w:rsidRDefault="00DF6F7D" w:rsidP="34B17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  <w:lang w:val="fr-CI"/>
              </w:rPr>
            </w:pPr>
            <w:r>
              <w:rPr>
                <w:rFonts w:ascii="Century" w:hAnsi="Century"/>
                <w:b/>
                <w:color w:val="4472C4" w:themeColor="accent1"/>
                <w:lang w:val="fr-CI"/>
              </w:rPr>
              <w:t xml:space="preserve">Thème : </w:t>
            </w:r>
            <w:r w:rsidRPr="00DF6F7D">
              <w:rPr>
                <w:rFonts w:ascii="Century" w:hAnsi="Century"/>
                <w:b/>
                <w:color w:val="4472C4" w:themeColor="accent1"/>
                <w:lang w:val="fr-CI"/>
              </w:rPr>
              <w:t>« Problèmes de mobilité à Abidjan (embouteillages vieillissement des véhicules de transport en commun, cherté du transport, incivisme, etc.) quelle contribution du Bus Rapid Transit (BRT) dans la recherche des solutions durables ? »</w:t>
            </w:r>
            <w:r>
              <w:rPr>
                <w:rFonts w:ascii="Century" w:eastAsia="Times New Roman" w:hAnsi="Century" w:cs="Arial"/>
                <w:color w:val="000000" w:themeColor="text1"/>
                <w:sz w:val="24"/>
                <w:szCs w:val="24"/>
                <w:lang w:eastAsia="fr-FR"/>
              </w:rPr>
              <w:t> </w:t>
            </w:r>
            <w:r>
              <w:rPr>
                <w:rFonts w:ascii="Century" w:hAnsi="Century"/>
                <w:b/>
                <w:color w:val="4472C4" w:themeColor="accent1"/>
                <w:lang w:val="fr-CI"/>
              </w:rPr>
              <w:t>;</w:t>
            </w:r>
          </w:p>
          <w:p w14:paraId="33855032" w14:textId="77777777" w:rsidR="002D3C39" w:rsidRDefault="002D3C39" w:rsidP="0073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  <w:lang w:val="fr-CI"/>
              </w:rPr>
            </w:pPr>
          </w:p>
          <w:p w14:paraId="65E694D0" w14:textId="253D5B33" w:rsidR="00103D99" w:rsidRDefault="008A3834" w:rsidP="0073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  <w:r w:rsidRPr="008A3834">
              <w:rPr>
                <w:rFonts w:ascii="Century" w:hAnsi="Century"/>
                <w:b/>
                <w:color w:val="4472C4" w:themeColor="accent1"/>
              </w:rPr>
              <w:t>Activité récurrente dans le processus des achats de biens et services.  Le tableau de suivi de la commande publique de l’ARTI est régulièrement transmis au DAAF et au DMGP</w:t>
            </w:r>
            <w:r w:rsidR="0093799C">
              <w:rPr>
                <w:rFonts w:ascii="Century" w:hAnsi="Century"/>
                <w:b/>
                <w:color w:val="4472C4" w:themeColor="accent1"/>
              </w:rPr>
              <w:t> ;</w:t>
            </w:r>
          </w:p>
          <w:p w14:paraId="2CBBBF5E" w14:textId="77777777" w:rsidR="00584398" w:rsidRDefault="00584398" w:rsidP="0073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2C71ED28" w14:textId="77777777" w:rsidR="00584398" w:rsidRDefault="00584398" w:rsidP="0073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10A0A480" w14:textId="77777777" w:rsidR="00584398" w:rsidRDefault="00584398" w:rsidP="0073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58C54048" w14:textId="7B84D5D9" w:rsidR="00584398" w:rsidRDefault="00584398" w:rsidP="0073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  <w:r>
              <w:rPr>
                <w:rFonts w:ascii="Century" w:hAnsi="Century"/>
                <w:b/>
                <w:color w:val="4472C4" w:themeColor="accent1"/>
              </w:rPr>
              <w:t xml:space="preserve">En attendant la finalisation d’une </w:t>
            </w:r>
            <w:r w:rsidR="00252522">
              <w:rPr>
                <w:rFonts w:ascii="Century" w:hAnsi="Century"/>
                <w:b/>
                <w:color w:val="4472C4" w:themeColor="accent1"/>
              </w:rPr>
              <w:t>C</w:t>
            </w:r>
            <w:r>
              <w:rPr>
                <w:rFonts w:ascii="Century" w:hAnsi="Century"/>
                <w:b/>
                <w:color w:val="4472C4" w:themeColor="accent1"/>
              </w:rPr>
              <w:t>harte de l’Audit Interne de l’ARTI, le code de déontologie international de l’Institute of Internal Auditors (IIA) a été proposé à la DGPEC-RP</w:t>
            </w:r>
            <w:r w:rsidR="0093799C">
              <w:rPr>
                <w:rFonts w:ascii="Century" w:hAnsi="Century"/>
                <w:b/>
                <w:color w:val="4472C4" w:themeColor="accent1"/>
              </w:rPr>
              <w:t> ;</w:t>
            </w:r>
          </w:p>
          <w:p w14:paraId="08C42EAF" w14:textId="77777777" w:rsidR="0093799C" w:rsidRDefault="0093799C" w:rsidP="0073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0192627A" w14:textId="77777777" w:rsidR="0093799C" w:rsidRDefault="0093799C" w:rsidP="00937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12F03B7E" w14:textId="77777777" w:rsidR="0093799C" w:rsidRDefault="0093799C" w:rsidP="00937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6619EE91" w14:textId="77777777" w:rsidR="0093799C" w:rsidRDefault="0093799C" w:rsidP="00937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693FB2EF" w14:textId="4601D3F9" w:rsidR="0093799C" w:rsidRDefault="0093799C" w:rsidP="00937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  <w:r w:rsidRPr="00650A96">
              <w:rPr>
                <w:rFonts w:ascii="Century" w:hAnsi="Century"/>
                <w:b/>
                <w:color w:val="4472C4" w:themeColor="accent1"/>
              </w:rPr>
              <w:t>Poursuite du développement des tableaux de bord des pointages et suivi des activités ; permettre à la DSESP de suivre les données des activités, ainsi que de générer des rapports pour une analyse approfondie</w:t>
            </w:r>
            <w:r>
              <w:rPr>
                <w:rFonts w:ascii="Century" w:hAnsi="Century"/>
                <w:b/>
                <w:color w:val="4472C4" w:themeColor="accent1"/>
              </w:rPr>
              <w:t>.</w:t>
            </w:r>
          </w:p>
          <w:p w14:paraId="20FDD328" w14:textId="223FE86C" w:rsidR="0093799C" w:rsidRPr="007B689D" w:rsidRDefault="0093799C" w:rsidP="0073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</w:tc>
        <w:tc>
          <w:tcPr>
            <w:tcW w:w="3118" w:type="dxa"/>
          </w:tcPr>
          <w:p w14:paraId="026BD132" w14:textId="77777777" w:rsidR="00CE1B53" w:rsidRDefault="00CE1B53" w:rsidP="00275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  <w:p w14:paraId="2B966838" w14:textId="77777777" w:rsidR="00226CCD" w:rsidRDefault="00226CCD" w:rsidP="00275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  <w:p w14:paraId="6376FEAF" w14:textId="67156BD8" w:rsidR="00B92610" w:rsidRDefault="00B92610" w:rsidP="00725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  <w:p w14:paraId="33B72577" w14:textId="2FA0720E" w:rsidR="00731F60" w:rsidRDefault="00C37C5D" w:rsidP="0073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Le Compte rendu </w:t>
            </w:r>
            <w:r w:rsidR="00A922F1">
              <w:rPr>
                <w:rFonts w:ascii="Century" w:hAnsi="Century"/>
              </w:rPr>
              <w:t>est disponible</w:t>
            </w:r>
            <w:r w:rsidR="006521A8">
              <w:rPr>
                <w:rFonts w:ascii="Century" w:hAnsi="Century"/>
              </w:rPr>
              <w:t> ;</w:t>
            </w:r>
          </w:p>
          <w:p w14:paraId="11DDF499" w14:textId="77777777" w:rsidR="00020FA6" w:rsidRDefault="00020FA6" w:rsidP="0073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</w:p>
          <w:p w14:paraId="2E958C02" w14:textId="4F556D39" w:rsidR="00280406" w:rsidRDefault="00280406" w:rsidP="34B17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</w:p>
          <w:p w14:paraId="1B4C03B1" w14:textId="4E366AED" w:rsidR="00A215B1" w:rsidRDefault="00A215B1" w:rsidP="34B17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</w:p>
          <w:p w14:paraId="18B0E6D5" w14:textId="77777777" w:rsidR="00A215B1" w:rsidRPr="001436DB" w:rsidRDefault="00A215B1" w:rsidP="34B17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</w:p>
          <w:p w14:paraId="7A19175B" w14:textId="77777777" w:rsidR="00CF5FE8" w:rsidRDefault="00CF5FE8" w:rsidP="00252522">
            <w:pPr>
              <w:tabs>
                <w:tab w:val="left" w:pos="91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  <w:r>
              <w:rPr>
                <w:rFonts w:ascii="Century" w:hAnsi="Century"/>
                <w:lang w:val="fr-CI"/>
              </w:rPr>
              <w:t>N/A</w:t>
            </w:r>
            <w:r w:rsidR="00252522">
              <w:rPr>
                <w:rFonts w:ascii="Century" w:hAnsi="Century"/>
                <w:lang w:val="fr-CI"/>
              </w:rPr>
              <w:tab/>
            </w:r>
          </w:p>
          <w:p w14:paraId="7170E704" w14:textId="77777777" w:rsidR="0093799C" w:rsidRDefault="0093799C" w:rsidP="00252522">
            <w:pPr>
              <w:tabs>
                <w:tab w:val="left" w:pos="91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</w:p>
          <w:p w14:paraId="38CC150D" w14:textId="77777777" w:rsidR="0093799C" w:rsidRDefault="0093799C" w:rsidP="00252522">
            <w:pPr>
              <w:tabs>
                <w:tab w:val="left" w:pos="91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</w:p>
          <w:p w14:paraId="118D9338" w14:textId="77777777" w:rsidR="0093799C" w:rsidRDefault="0093799C" w:rsidP="00252522">
            <w:pPr>
              <w:tabs>
                <w:tab w:val="left" w:pos="91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</w:p>
          <w:p w14:paraId="0F2861DE" w14:textId="77777777" w:rsidR="0093799C" w:rsidRDefault="0093799C" w:rsidP="00252522">
            <w:pPr>
              <w:tabs>
                <w:tab w:val="left" w:pos="91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</w:p>
          <w:p w14:paraId="6483CBAC" w14:textId="77777777" w:rsidR="0093799C" w:rsidRDefault="0093799C" w:rsidP="00252522">
            <w:pPr>
              <w:tabs>
                <w:tab w:val="left" w:pos="91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</w:p>
          <w:p w14:paraId="05754E9E" w14:textId="77777777" w:rsidR="0093799C" w:rsidRDefault="0093799C" w:rsidP="00252522">
            <w:pPr>
              <w:tabs>
                <w:tab w:val="left" w:pos="91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  <w:r>
              <w:rPr>
                <w:rFonts w:ascii="Century" w:hAnsi="Century"/>
                <w:lang w:val="fr-CI"/>
              </w:rPr>
              <w:t>N/A</w:t>
            </w:r>
          </w:p>
          <w:p w14:paraId="7202504E" w14:textId="77777777" w:rsidR="0093799C" w:rsidRDefault="0093799C" w:rsidP="00252522">
            <w:pPr>
              <w:tabs>
                <w:tab w:val="left" w:pos="91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</w:p>
          <w:p w14:paraId="042BE484" w14:textId="77777777" w:rsidR="0093799C" w:rsidRDefault="0093799C" w:rsidP="00252522">
            <w:pPr>
              <w:tabs>
                <w:tab w:val="left" w:pos="91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</w:p>
          <w:p w14:paraId="0F35C052" w14:textId="77777777" w:rsidR="0093799C" w:rsidRDefault="0093799C" w:rsidP="00252522">
            <w:pPr>
              <w:tabs>
                <w:tab w:val="left" w:pos="91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</w:p>
          <w:p w14:paraId="0A6FF713" w14:textId="77777777" w:rsidR="0093799C" w:rsidRDefault="0093799C" w:rsidP="00252522">
            <w:pPr>
              <w:tabs>
                <w:tab w:val="left" w:pos="91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</w:p>
          <w:p w14:paraId="63823DC3" w14:textId="77777777" w:rsidR="0093799C" w:rsidRDefault="0093799C" w:rsidP="00252522">
            <w:pPr>
              <w:tabs>
                <w:tab w:val="left" w:pos="91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</w:p>
          <w:p w14:paraId="04AB2546" w14:textId="77777777" w:rsidR="0093799C" w:rsidRDefault="0093799C" w:rsidP="00252522">
            <w:pPr>
              <w:tabs>
                <w:tab w:val="left" w:pos="91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</w:p>
          <w:p w14:paraId="028FBCEA" w14:textId="77777777" w:rsidR="0093799C" w:rsidRDefault="0093799C" w:rsidP="00937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  <w:r w:rsidRPr="00CF5FE8">
              <w:rPr>
                <w:rFonts w:ascii="Century" w:hAnsi="Century"/>
                <w:lang w:val="fr-CI"/>
              </w:rPr>
              <w:t>Conception des bases de d</w:t>
            </w:r>
            <w:r>
              <w:rPr>
                <w:rFonts w:ascii="Century" w:hAnsi="Century"/>
                <w:lang w:val="fr-CI"/>
              </w:rPr>
              <w:t>onnées de l’application.</w:t>
            </w:r>
          </w:p>
          <w:p w14:paraId="449A70FC" w14:textId="16884426" w:rsidR="0093799C" w:rsidRPr="001436DB" w:rsidRDefault="0093799C" w:rsidP="00252522">
            <w:pPr>
              <w:tabs>
                <w:tab w:val="left" w:pos="91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</w:p>
        </w:tc>
      </w:tr>
      <w:tr w:rsidR="002F3884" w:rsidRPr="002F3884" w14:paraId="410EC843" w14:textId="77777777" w:rsidTr="34B17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44CF9BD" w14:textId="77777777" w:rsidR="00A72A72" w:rsidRDefault="00A72A72" w:rsidP="00B76623">
            <w:pPr>
              <w:ind w:left="708"/>
              <w:rPr>
                <w:rFonts w:ascii="Century" w:hAnsi="Century"/>
                <w:b w:val="0"/>
                <w:u w:val="single"/>
              </w:rPr>
            </w:pPr>
          </w:p>
          <w:p w14:paraId="2A775C56" w14:textId="623DD71F" w:rsidR="00526B5B" w:rsidRDefault="00526B5B" w:rsidP="00B76623">
            <w:pPr>
              <w:ind w:left="708"/>
              <w:rPr>
                <w:rFonts w:ascii="Century" w:hAnsi="Century"/>
                <w:b w:val="0"/>
                <w:u w:val="single"/>
              </w:rPr>
            </w:pPr>
            <w:r w:rsidRPr="00B76623">
              <w:rPr>
                <w:rFonts w:ascii="Century" w:hAnsi="Century"/>
                <w:bCs/>
                <w:u w:val="single"/>
              </w:rPr>
              <w:t>M</w:t>
            </w:r>
            <w:r w:rsidR="008C0C5D" w:rsidRPr="00B76623">
              <w:rPr>
                <w:rFonts w:ascii="Century" w:hAnsi="Century"/>
                <w:bCs/>
                <w:u w:val="single"/>
              </w:rPr>
              <w:t>erc</w:t>
            </w:r>
            <w:r w:rsidR="00E676F8" w:rsidRPr="00B76623">
              <w:rPr>
                <w:rFonts w:ascii="Century" w:hAnsi="Century"/>
                <w:bCs/>
                <w:u w:val="single"/>
              </w:rPr>
              <w:t>r</w:t>
            </w:r>
            <w:r w:rsidR="008C0C5D" w:rsidRPr="00B76623">
              <w:rPr>
                <w:rFonts w:ascii="Century" w:hAnsi="Century"/>
                <w:bCs/>
                <w:u w:val="single"/>
              </w:rPr>
              <w:t>e</w:t>
            </w:r>
            <w:r w:rsidRPr="00B76623">
              <w:rPr>
                <w:rFonts w:ascii="Century" w:hAnsi="Century"/>
                <w:bCs/>
                <w:u w:val="single"/>
              </w:rPr>
              <w:t xml:space="preserve">di </w:t>
            </w:r>
            <w:r w:rsidR="00610F21">
              <w:rPr>
                <w:rFonts w:ascii="Century" w:hAnsi="Century"/>
                <w:bCs/>
                <w:u w:val="single"/>
              </w:rPr>
              <w:t>22</w:t>
            </w:r>
            <w:r w:rsidRPr="00B76623">
              <w:rPr>
                <w:rFonts w:ascii="Century" w:hAnsi="Century"/>
                <w:bCs/>
                <w:u w:val="single"/>
              </w:rPr>
              <w:t>/</w:t>
            </w:r>
            <w:r w:rsidR="00A251EA" w:rsidRPr="00B76623">
              <w:rPr>
                <w:rFonts w:ascii="Century" w:hAnsi="Century"/>
                <w:bCs/>
                <w:u w:val="single"/>
              </w:rPr>
              <w:t>0</w:t>
            </w:r>
            <w:r w:rsidR="009D53E2">
              <w:rPr>
                <w:rFonts w:ascii="Century" w:hAnsi="Century"/>
                <w:bCs/>
                <w:u w:val="single"/>
              </w:rPr>
              <w:t>3</w:t>
            </w:r>
            <w:r w:rsidRPr="00B76623">
              <w:rPr>
                <w:rFonts w:ascii="Century" w:hAnsi="Century"/>
                <w:bCs/>
                <w:u w:val="single"/>
              </w:rPr>
              <w:t>/202</w:t>
            </w:r>
            <w:r w:rsidR="00A251EA" w:rsidRPr="00B76623">
              <w:rPr>
                <w:rFonts w:ascii="Century" w:hAnsi="Century"/>
                <w:bCs/>
                <w:u w:val="single"/>
              </w:rPr>
              <w:t>3</w:t>
            </w:r>
          </w:p>
          <w:p w14:paraId="267E1E3E" w14:textId="4F5AFD2D" w:rsidR="00020FA6" w:rsidRDefault="00020FA6" w:rsidP="00B76623">
            <w:pPr>
              <w:ind w:left="708"/>
              <w:rPr>
                <w:rFonts w:ascii="Century" w:hAnsi="Century"/>
                <w:b w:val="0"/>
                <w:u w:val="single"/>
              </w:rPr>
            </w:pPr>
          </w:p>
          <w:p w14:paraId="1E29EB1B" w14:textId="77777777" w:rsidR="00720248" w:rsidRDefault="00720248" w:rsidP="00280406">
            <w:pPr>
              <w:ind w:left="708"/>
              <w:rPr>
                <w:rFonts w:ascii="Century" w:hAnsi="Century"/>
                <w:bCs/>
              </w:rPr>
            </w:pPr>
          </w:p>
          <w:p w14:paraId="78EBD9EE" w14:textId="75A9666A" w:rsidR="00CF5FE8" w:rsidRPr="00CF5FE8" w:rsidRDefault="009B71A9" w:rsidP="00CF5FE8">
            <w:pPr>
              <w:ind w:left="708"/>
              <w:rPr>
                <w:rFonts w:ascii="Century" w:hAnsi="Century"/>
                <w:b w:val="0"/>
              </w:rPr>
            </w:pPr>
            <w:r>
              <w:rPr>
                <w:rFonts w:ascii="Century" w:hAnsi="Century"/>
                <w:b w:val="0"/>
              </w:rPr>
              <w:t>Suite du d</w:t>
            </w:r>
            <w:r w:rsidR="00CF5FE8" w:rsidRPr="00CF5FE8">
              <w:rPr>
                <w:rFonts w:ascii="Century" w:hAnsi="Century"/>
                <w:b w:val="0"/>
              </w:rPr>
              <w:t>éveloppement de l’application de</w:t>
            </w:r>
            <w:r w:rsidR="00CF5FE8">
              <w:rPr>
                <w:rFonts w:ascii="Century" w:hAnsi="Century"/>
                <w:b w:val="0"/>
              </w:rPr>
              <w:t xml:space="preserve"> </w:t>
            </w:r>
            <w:r w:rsidR="00CF5FE8" w:rsidRPr="00CF5FE8">
              <w:rPr>
                <w:rFonts w:ascii="Century" w:hAnsi="Century"/>
                <w:b w:val="0"/>
              </w:rPr>
              <w:t>reporting des pointages et suivi des activités ;</w:t>
            </w:r>
          </w:p>
          <w:p w14:paraId="558EB97E" w14:textId="77777777" w:rsidR="00CF5FE8" w:rsidRDefault="00CF5FE8" w:rsidP="00720248">
            <w:pPr>
              <w:ind w:left="708"/>
              <w:rPr>
                <w:rFonts w:ascii="Century" w:hAnsi="Century"/>
                <w:bCs/>
              </w:rPr>
            </w:pPr>
          </w:p>
          <w:p w14:paraId="3F285C2A" w14:textId="77777777" w:rsidR="00CF5FE8" w:rsidRDefault="00CF5FE8" w:rsidP="00720248">
            <w:pPr>
              <w:ind w:left="708"/>
              <w:rPr>
                <w:rFonts w:ascii="Century" w:hAnsi="Century"/>
                <w:bCs/>
              </w:rPr>
            </w:pPr>
          </w:p>
          <w:p w14:paraId="58B3CC88" w14:textId="715CA195" w:rsidR="008A3834" w:rsidRDefault="008A3834" w:rsidP="008A3834">
            <w:pPr>
              <w:ind w:left="708"/>
              <w:rPr>
                <w:rFonts w:ascii="Century" w:hAnsi="Century"/>
              </w:rPr>
            </w:pPr>
            <w:r w:rsidRPr="00F226B4">
              <w:rPr>
                <w:rFonts w:ascii="Century" w:hAnsi="Century"/>
                <w:b w:val="0"/>
                <w:bCs/>
              </w:rPr>
              <w:t>Contrôle et validation des Bons de commandes avec DMGP.</w:t>
            </w:r>
            <w:r w:rsidR="00F226B4" w:rsidRPr="00F226B4">
              <w:rPr>
                <w:rFonts w:ascii="Century" w:hAnsi="Century"/>
                <w:b w:val="0"/>
                <w:bCs/>
              </w:rPr>
              <w:t xml:space="preserve"> </w:t>
            </w:r>
            <w:r w:rsidRPr="00F226B4">
              <w:rPr>
                <w:rFonts w:ascii="Century" w:hAnsi="Century"/>
                <w:b w:val="0"/>
                <w:bCs/>
              </w:rPr>
              <w:t>Contrôle et validation des Fiches</w:t>
            </w:r>
            <w:r w:rsidRPr="008A3834">
              <w:rPr>
                <w:rFonts w:ascii="Century" w:hAnsi="Century"/>
                <w:b w:val="0"/>
                <w:bCs/>
              </w:rPr>
              <w:t xml:space="preserve"> d'ordonnancements, d'engagements et de liquidations avec DAAF, DGPEC et DMGP. Suivi budgétaire régulier avec DAAF, DGPEC et DMGP</w:t>
            </w:r>
            <w:r w:rsidR="0093799C">
              <w:rPr>
                <w:rFonts w:ascii="Century" w:hAnsi="Century"/>
                <w:b w:val="0"/>
                <w:bCs/>
              </w:rPr>
              <w:t> ;</w:t>
            </w:r>
          </w:p>
          <w:p w14:paraId="3E62B998" w14:textId="6C76E26B" w:rsidR="00584398" w:rsidRDefault="00584398" w:rsidP="008A3834">
            <w:pPr>
              <w:ind w:left="708"/>
              <w:rPr>
                <w:rFonts w:ascii="Century" w:hAnsi="Century"/>
              </w:rPr>
            </w:pPr>
          </w:p>
          <w:p w14:paraId="27D919C9" w14:textId="69BD0D4C" w:rsidR="00584398" w:rsidRPr="008A3834" w:rsidRDefault="00584398" w:rsidP="008A3834">
            <w:pPr>
              <w:ind w:left="708"/>
              <w:rPr>
                <w:rFonts w:ascii="Century" w:hAnsi="Century"/>
                <w:b w:val="0"/>
                <w:bCs/>
              </w:rPr>
            </w:pPr>
            <w:r w:rsidRPr="00584398">
              <w:rPr>
                <w:rFonts w:ascii="Century" w:hAnsi="Century"/>
                <w:b w:val="0"/>
                <w:bCs/>
              </w:rPr>
              <w:t>Réunion DGPEC avec Monsieur Fofana</w:t>
            </w:r>
            <w:r w:rsidR="0093799C">
              <w:rPr>
                <w:rFonts w:ascii="Century" w:hAnsi="Century"/>
                <w:b w:val="0"/>
                <w:bCs/>
              </w:rPr>
              <w:t> ;</w:t>
            </w:r>
          </w:p>
          <w:p w14:paraId="2916BFAE" w14:textId="3E40DE40" w:rsidR="00720248" w:rsidRPr="00280406" w:rsidRDefault="00720248" w:rsidP="00280406">
            <w:pPr>
              <w:ind w:left="708"/>
              <w:rPr>
                <w:rFonts w:ascii="Century" w:hAnsi="Century"/>
                <w:b w:val="0"/>
              </w:rPr>
            </w:pPr>
          </w:p>
        </w:tc>
        <w:tc>
          <w:tcPr>
            <w:tcW w:w="6379" w:type="dxa"/>
          </w:tcPr>
          <w:p w14:paraId="1AB1A46F" w14:textId="77777777" w:rsidR="00A72A72" w:rsidRDefault="00A72A72" w:rsidP="00B54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  <w:lang w:val="fr-CI"/>
              </w:rPr>
            </w:pPr>
          </w:p>
          <w:p w14:paraId="7B427CCF" w14:textId="77777777" w:rsidR="00417A13" w:rsidRDefault="00417A13" w:rsidP="00B54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  <w:lang w:val="fr-CI"/>
              </w:rPr>
            </w:pPr>
          </w:p>
          <w:p w14:paraId="3D5C3A1B" w14:textId="77777777" w:rsidR="003D2FEA" w:rsidRDefault="003D2FEA" w:rsidP="00B54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  <w:lang w:val="fr-CI"/>
              </w:rPr>
            </w:pPr>
          </w:p>
          <w:p w14:paraId="7B321C1B" w14:textId="492D3CDB" w:rsidR="003D2FEA" w:rsidRDefault="003D2FEA" w:rsidP="00B54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  <w:lang w:val="fr-CI"/>
              </w:rPr>
            </w:pPr>
          </w:p>
          <w:p w14:paraId="227660C4" w14:textId="2F60BFE6" w:rsidR="00CF5FE8" w:rsidRDefault="009B71A9" w:rsidP="00CF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  <w:r>
              <w:rPr>
                <w:rFonts w:ascii="Century" w:hAnsi="Century"/>
                <w:b/>
                <w:color w:val="4472C4" w:themeColor="accent1"/>
              </w:rPr>
              <w:t>Poursuite des travaux sur</w:t>
            </w:r>
            <w:r w:rsidR="00CF5FE8">
              <w:rPr>
                <w:rFonts w:ascii="Century" w:hAnsi="Century"/>
                <w:b/>
                <w:color w:val="4472C4" w:themeColor="accent1"/>
              </w:rPr>
              <w:t xml:space="preserve"> </w:t>
            </w:r>
            <w:r>
              <w:rPr>
                <w:rFonts w:ascii="Century" w:hAnsi="Century"/>
                <w:b/>
                <w:color w:val="4472C4" w:themeColor="accent1"/>
              </w:rPr>
              <w:t>l</w:t>
            </w:r>
            <w:r w:rsidR="00CF5FE8">
              <w:rPr>
                <w:rFonts w:ascii="Century" w:hAnsi="Century"/>
                <w:b/>
                <w:color w:val="4472C4" w:themeColor="accent1"/>
              </w:rPr>
              <w:t xml:space="preserve">es tableaux de bord des pointages et </w:t>
            </w:r>
            <w:r>
              <w:rPr>
                <w:rFonts w:ascii="Century" w:hAnsi="Century"/>
                <w:b/>
                <w:color w:val="4472C4" w:themeColor="accent1"/>
              </w:rPr>
              <w:t xml:space="preserve">de </w:t>
            </w:r>
            <w:r w:rsidR="00CF5FE8">
              <w:rPr>
                <w:rFonts w:ascii="Century" w:hAnsi="Century"/>
                <w:b/>
                <w:color w:val="4472C4" w:themeColor="accent1"/>
              </w:rPr>
              <w:t>suivi des activités ; permet</w:t>
            </w:r>
            <w:r>
              <w:rPr>
                <w:rFonts w:ascii="Century" w:hAnsi="Century"/>
                <w:b/>
                <w:color w:val="4472C4" w:themeColor="accent1"/>
              </w:rPr>
              <w:t>tre</w:t>
            </w:r>
            <w:r w:rsidR="00CF5FE8">
              <w:rPr>
                <w:rFonts w:ascii="Century" w:hAnsi="Century"/>
                <w:b/>
                <w:color w:val="4472C4" w:themeColor="accent1"/>
              </w:rPr>
              <w:t xml:space="preserve"> à la DSESP de suivre les données des activités, ainsi que de générer des rapports pour une analyse approfondie ;</w:t>
            </w:r>
          </w:p>
          <w:p w14:paraId="4CA3FA56" w14:textId="77777777" w:rsidR="00CF5FE8" w:rsidRPr="00CF5FE8" w:rsidRDefault="00CF5FE8" w:rsidP="00B54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5625D090" w14:textId="66BECAAA" w:rsidR="008A3834" w:rsidRDefault="008A3834" w:rsidP="34B17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  <w:r w:rsidRPr="008A3834">
              <w:rPr>
                <w:rFonts w:ascii="Century" w:hAnsi="Century"/>
                <w:b/>
                <w:color w:val="4472C4" w:themeColor="accent1"/>
              </w:rPr>
              <w:t>Activité récurrente dans le processus des achats de biens et services.  Le tableau de suivi de la commande publique de l’ARTI est régulièrement transmis au DAAF et au DMGP</w:t>
            </w:r>
            <w:r w:rsidR="0093799C">
              <w:rPr>
                <w:rFonts w:ascii="Century" w:hAnsi="Century"/>
                <w:b/>
                <w:color w:val="4472C4" w:themeColor="accent1"/>
              </w:rPr>
              <w:t> ;</w:t>
            </w:r>
          </w:p>
          <w:p w14:paraId="548FE8A7" w14:textId="77777777" w:rsidR="00584398" w:rsidRDefault="00584398" w:rsidP="34B17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54EE97CD" w14:textId="77777777" w:rsidR="00584398" w:rsidRDefault="00584398" w:rsidP="34B17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6E5D13C2" w14:textId="77777777" w:rsidR="00584398" w:rsidRDefault="00584398" w:rsidP="34B17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4316BB4E" w14:textId="77777777" w:rsidR="00584398" w:rsidRDefault="00584398" w:rsidP="34B17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68C444F5" w14:textId="086596FF" w:rsidR="00584398" w:rsidRPr="00020FA6" w:rsidRDefault="00584398" w:rsidP="34B17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  <w:lang w:val="fr-CI"/>
              </w:rPr>
            </w:pPr>
            <w:r>
              <w:rPr>
                <w:rFonts w:ascii="Century" w:hAnsi="Century"/>
                <w:b/>
                <w:color w:val="4472C4" w:themeColor="accent1"/>
              </w:rPr>
              <w:t>La réunion avait pour objet de faire le point sur l’état d’avancement de la mise en place de l’Audit Interne (Procédures du cabinet Hélios, documentation, formation, recrutement)</w:t>
            </w:r>
            <w:r w:rsidR="0093799C">
              <w:rPr>
                <w:rFonts w:ascii="Century" w:hAnsi="Century"/>
                <w:b/>
                <w:color w:val="4472C4" w:themeColor="accent1"/>
              </w:rPr>
              <w:t> ;</w:t>
            </w:r>
          </w:p>
        </w:tc>
        <w:tc>
          <w:tcPr>
            <w:tcW w:w="3118" w:type="dxa"/>
          </w:tcPr>
          <w:p w14:paraId="15D59729" w14:textId="77777777" w:rsidR="009B71A9" w:rsidRDefault="009B71A9" w:rsidP="34B17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</w:p>
          <w:p w14:paraId="3B0CB6DE" w14:textId="77777777" w:rsidR="009B71A9" w:rsidRDefault="009B71A9" w:rsidP="34B17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</w:p>
          <w:p w14:paraId="0AEB5849" w14:textId="6944FCE0" w:rsidR="00BF4C90" w:rsidRPr="0055514A" w:rsidRDefault="00BF4C90" w:rsidP="34B17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</w:p>
          <w:p w14:paraId="6C8DA7A6" w14:textId="77777777" w:rsidR="0093799C" w:rsidRDefault="0093799C" w:rsidP="006E7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  <w:p w14:paraId="154AFC4C" w14:textId="2CC2F6C6" w:rsidR="00CF5FE8" w:rsidRPr="0093799C" w:rsidRDefault="0093799C" w:rsidP="006E7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  <w:r>
              <w:rPr>
                <w:rFonts w:ascii="Century" w:hAnsi="Century"/>
                <w:lang w:val="fr-CI"/>
              </w:rPr>
              <w:t>Génération des données de test des modules suivi du personnel et suivi des activités ;</w:t>
            </w:r>
          </w:p>
          <w:p w14:paraId="1EFDEAF8" w14:textId="77777777" w:rsidR="00CF5FE8" w:rsidRDefault="00CF5FE8" w:rsidP="006E7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  <w:p w14:paraId="2A43B707" w14:textId="77777777" w:rsidR="00602ADD" w:rsidRDefault="008A3834" w:rsidP="34B17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N/A</w:t>
            </w:r>
          </w:p>
          <w:p w14:paraId="31F707CA" w14:textId="77777777" w:rsidR="00584398" w:rsidRDefault="00584398" w:rsidP="34B17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  <w:p w14:paraId="316E386E" w14:textId="77777777" w:rsidR="00584398" w:rsidRDefault="00584398" w:rsidP="34B17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  <w:p w14:paraId="458FEBF0" w14:textId="77777777" w:rsidR="00584398" w:rsidRDefault="00584398" w:rsidP="34B17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  <w:p w14:paraId="70033A8E" w14:textId="77777777" w:rsidR="00584398" w:rsidRDefault="00584398" w:rsidP="34B17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  <w:p w14:paraId="258F42A2" w14:textId="77777777" w:rsidR="00584398" w:rsidRDefault="00584398" w:rsidP="34B17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  <w:p w14:paraId="78CCB327" w14:textId="77777777" w:rsidR="00584398" w:rsidRDefault="00584398" w:rsidP="34B17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  <w:p w14:paraId="4C966789" w14:textId="0DEE6DAA" w:rsidR="00584398" w:rsidRPr="006E7036" w:rsidRDefault="00584398" w:rsidP="34B17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Réunion récurrente permettant de recueillir les observations de la GPEC</w:t>
            </w:r>
            <w:r w:rsidR="0093799C">
              <w:rPr>
                <w:rFonts w:ascii="Century" w:hAnsi="Century"/>
              </w:rPr>
              <w:t> ;</w:t>
            </w:r>
          </w:p>
        </w:tc>
      </w:tr>
      <w:tr w:rsidR="002F3884" w:rsidRPr="00F226B4" w14:paraId="105EC409" w14:textId="77777777" w:rsidTr="34B17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5FBA2233" w14:textId="5C0FBD4C" w:rsidR="002772C4" w:rsidRDefault="002772C4" w:rsidP="002758DA">
            <w:pPr>
              <w:rPr>
                <w:rFonts w:ascii="Century" w:hAnsi="Century"/>
                <w:color w:val="000000"/>
              </w:rPr>
            </w:pPr>
          </w:p>
          <w:p w14:paraId="3AE98B4E" w14:textId="1FB7BA0D" w:rsidR="001F564F" w:rsidRDefault="00F15527" w:rsidP="0093799C">
            <w:pPr>
              <w:ind w:left="708"/>
              <w:rPr>
                <w:rFonts w:ascii="Century" w:hAnsi="Century"/>
                <w:b w:val="0"/>
                <w:bCs/>
                <w:u w:val="single"/>
              </w:rPr>
            </w:pPr>
            <w:r w:rsidRPr="0027232B">
              <w:rPr>
                <w:rFonts w:ascii="Century" w:hAnsi="Century"/>
                <w:bCs/>
                <w:u w:val="single"/>
              </w:rPr>
              <w:t xml:space="preserve">Jeudi </w:t>
            </w:r>
            <w:r w:rsidR="00610F21">
              <w:rPr>
                <w:rFonts w:ascii="Century" w:hAnsi="Century"/>
                <w:bCs/>
                <w:u w:val="single"/>
              </w:rPr>
              <w:t>23</w:t>
            </w:r>
            <w:r w:rsidRPr="0027232B">
              <w:rPr>
                <w:rFonts w:ascii="Century" w:hAnsi="Century"/>
                <w:bCs/>
                <w:u w:val="single"/>
              </w:rPr>
              <w:t>/</w:t>
            </w:r>
            <w:r w:rsidR="00A251EA" w:rsidRPr="0027232B">
              <w:rPr>
                <w:rFonts w:ascii="Century" w:hAnsi="Century"/>
                <w:bCs/>
                <w:u w:val="single"/>
              </w:rPr>
              <w:t>0</w:t>
            </w:r>
            <w:r w:rsidR="009D53E2">
              <w:rPr>
                <w:rFonts w:ascii="Century" w:hAnsi="Century"/>
                <w:bCs/>
                <w:u w:val="single"/>
              </w:rPr>
              <w:t>3</w:t>
            </w:r>
            <w:r w:rsidRPr="0027232B">
              <w:rPr>
                <w:rFonts w:ascii="Century" w:hAnsi="Century"/>
                <w:bCs/>
                <w:u w:val="single"/>
              </w:rPr>
              <w:t>/202</w:t>
            </w:r>
            <w:r w:rsidR="00A251EA" w:rsidRPr="0027232B">
              <w:rPr>
                <w:rFonts w:ascii="Century" w:hAnsi="Century"/>
                <w:bCs/>
                <w:u w:val="single"/>
              </w:rPr>
              <w:t>3</w:t>
            </w:r>
          </w:p>
          <w:p w14:paraId="66694370" w14:textId="77777777" w:rsidR="0093799C" w:rsidRDefault="0093799C" w:rsidP="0093799C">
            <w:pPr>
              <w:ind w:left="708"/>
              <w:rPr>
                <w:rFonts w:ascii="Century" w:hAnsi="Century"/>
                <w:b w:val="0"/>
                <w:u w:val="single"/>
              </w:rPr>
            </w:pPr>
          </w:p>
          <w:p w14:paraId="0AD73A97" w14:textId="456244E3" w:rsidR="00CF5FE8" w:rsidRPr="00CF5FE8" w:rsidRDefault="00FE20F5" w:rsidP="00CF5FE8">
            <w:pPr>
              <w:ind w:left="708"/>
              <w:rPr>
                <w:rFonts w:ascii="Century" w:hAnsi="Century"/>
                <w:b w:val="0"/>
              </w:rPr>
            </w:pPr>
            <w:r>
              <w:rPr>
                <w:rFonts w:ascii="Century" w:hAnsi="Century"/>
                <w:b w:val="0"/>
              </w:rPr>
              <w:lastRenderedPageBreak/>
              <w:t>Suite du d</w:t>
            </w:r>
            <w:r w:rsidR="00CF5FE8" w:rsidRPr="00CF5FE8">
              <w:rPr>
                <w:rFonts w:ascii="Century" w:hAnsi="Century"/>
                <w:b w:val="0"/>
              </w:rPr>
              <w:t>éveloppement de l’application de</w:t>
            </w:r>
            <w:r w:rsidR="00CF5FE8">
              <w:rPr>
                <w:rFonts w:ascii="Century" w:hAnsi="Century"/>
                <w:b w:val="0"/>
              </w:rPr>
              <w:t xml:space="preserve"> </w:t>
            </w:r>
            <w:r w:rsidR="00CF5FE8" w:rsidRPr="00CF5FE8">
              <w:rPr>
                <w:rFonts w:ascii="Century" w:hAnsi="Century"/>
                <w:b w:val="0"/>
              </w:rPr>
              <w:t>reporting des pointages et suivi des activités ;</w:t>
            </w:r>
          </w:p>
          <w:p w14:paraId="59C8E3C7" w14:textId="77777777" w:rsidR="00CF5FE8" w:rsidRPr="00CF5FE8" w:rsidRDefault="00CF5FE8" w:rsidP="008A3834">
            <w:pPr>
              <w:ind w:left="708"/>
              <w:rPr>
                <w:rFonts w:ascii="Century" w:hAnsi="Century"/>
                <w:color w:val="000000"/>
              </w:rPr>
            </w:pPr>
          </w:p>
          <w:p w14:paraId="3C6D8C83" w14:textId="77777777" w:rsidR="00F226B4" w:rsidRDefault="00F226B4" w:rsidP="008A3834">
            <w:pPr>
              <w:ind w:left="708"/>
              <w:rPr>
                <w:rFonts w:ascii="Century" w:hAnsi="Century"/>
                <w:color w:val="000000"/>
                <w:lang w:val="fr-CI"/>
              </w:rPr>
            </w:pPr>
          </w:p>
          <w:p w14:paraId="375BEFF7" w14:textId="52B2954E" w:rsidR="003D2FEA" w:rsidRDefault="008A3834" w:rsidP="00EC7CA8">
            <w:pPr>
              <w:ind w:left="708"/>
              <w:rPr>
                <w:rFonts w:ascii="Century" w:hAnsi="Century"/>
                <w:color w:val="000000"/>
                <w:lang w:val="fr-CI"/>
              </w:rPr>
            </w:pPr>
            <w:r w:rsidRPr="00F226B4">
              <w:rPr>
                <w:rFonts w:ascii="Century" w:hAnsi="Century"/>
                <w:b w:val="0"/>
                <w:bCs/>
                <w:color w:val="000000"/>
                <w:lang w:val="fr-CI"/>
              </w:rPr>
              <w:t>Suivi budgétaire régulier avec DAAF, DGPEC et DMGP ; Archivage de la documentation des écritures budgétaires</w:t>
            </w:r>
            <w:r w:rsidR="0093799C">
              <w:rPr>
                <w:rFonts w:ascii="Century" w:hAnsi="Century"/>
                <w:b w:val="0"/>
                <w:bCs/>
                <w:color w:val="000000"/>
                <w:lang w:val="fr-CI"/>
              </w:rPr>
              <w:t> ;</w:t>
            </w:r>
          </w:p>
          <w:p w14:paraId="1D7FA9DF" w14:textId="45A4868F" w:rsidR="00584398" w:rsidRDefault="00584398" w:rsidP="00EC7CA8">
            <w:pPr>
              <w:ind w:left="708"/>
              <w:rPr>
                <w:rFonts w:ascii="Century" w:hAnsi="Century"/>
                <w:b w:val="0"/>
                <w:bCs/>
                <w:color w:val="000000"/>
                <w:lang w:val="fr-CI"/>
              </w:rPr>
            </w:pPr>
          </w:p>
          <w:p w14:paraId="53CAFEC7" w14:textId="2E4E5C9E" w:rsidR="00584398" w:rsidRDefault="00517D7B" w:rsidP="00EC7CA8">
            <w:pPr>
              <w:ind w:left="708"/>
              <w:rPr>
                <w:rFonts w:ascii="Century" w:hAnsi="Century"/>
                <w:color w:val="000000"/>
                <w:lang w:val="fr-CI"/>
              </w:rPr>
            </w:pPr>
            <w:r>
              <w:rPr>
                <w:rFonts w:ascii="Century" w:hAnsi="Century"/>
                <w:color w:val="000000"/>
                <w:lang w:val="fr-CI"/>
              </w:rPr>
              <w:t>Transmission à la DAAF de la lettre de mission d’audit interne comptable et financier, accompagné d’un courrier de mise à disposition des informations financières</w:t>
            </w:r>
            <w:r w:rsidR="0093799C">
              <w:rPr>
                <w:rFonts w:ascii="Century" w:hAnsi="Century"/>
                <w:color w:val="000000"/>
                <w:lang w:val="fr-CI"/>
              </w:rPr>
              <w:t> ;</w:t>
            </w:r>
          </w:p>
          <w:p w14:paraId="6B116C89" w14:textId="77777777" w:rsidR="00517D7B" w:rsidRDefault="00517D7B" w:rsidP="00517D7B">
            <w:pPr>
              <w:rPr>
                <w:rFonts w:ascii="Century" w:hAnsi="Century"/>
                <w:color w:val="000000"/>
                <w:lang w:val="fr-CI"/>
              </w:rPr>
            </w:pPr>
          </w:p>
          <w:p w14:paraId="61F95539" w14:textId="5F590894" w:rsidR="00C25D5A" w:rsidRDefault="00C25D5A" w:rsidP="00EC7CA8">
            <w:pPr>
              <w:ind w:left="708"/>
              <w:rPr>
                <w:rFonts w:ascii="Century" w:hAnsi="Century"/>
                <w:color w:val="000000"/>
                <w:lang w:val="fr-CI"/>
              </w:rPr>
            </w:pPr>
            <w:r>
              <w:rPr>
                <w:rFonts w:ascii="Century" w:hAnsi="Century"/>
                <w:b w:val="0"/>
                <w:bCs/>
                <w:color w:val="000000"/>
                <w:lang w:val="fr-CI"/>
              </w:rPr>
              <w:t>Préparation de la semaine de la sécurité routière</w:t>
            </w:r>
            <w:r w:rsidR="0093799C">
              <w:rPr>
                <w:rFonts w:ascii="Century" w:hAnsi="Century"/>
                <w:b w:val="0"/>
                <w:bCs/>
                <w:color w:val="000000"/>
                <w:lang w:val="fr-CI"/>
              </w:rPr>
              <w:t> ;</w:t>
            </w:r>
          </w:p>
          <w:p w14:paraId="53463B45" w14:textId="77777777" w:rsidR="00422C27" w:rsidRDefault="00422C27" w:rsidP="00517D7B">
            <w:pPr>
              <w:rPr>
                <w:rFonts w:ascii="Century" w:hAnsi="Century"/>
                <w:color w:val="000000"/>
                <w:lang w:val="fr-CI"/>
              </w:rPr>
            </w:pPr>
          </w:p>
          <w:p w14:paraId="13CCBB0E" w14:textId="51978F3B" w:rsidR="00422C27" w:rsidRDefault="00422C27" w:rsidP="00422C27">
            <w:pPr>
              <w:ind w:left="708"/>
              <w:rPr>
                <w:rFonts w:ascii="Century" w:hAnsi="Century"/>
                <w:bCs/>
              </w:rPr>
            </w:pPr>
            <w:r>
              <w:rPr>
                <w:rFonts w:ascii="Century" w:hAnsi="Century"/>
                <w:b w:val="0"/>
              </w:rPr>
              <w:t>Suite de l’élaboration des TDR sur le déploiement des Bureaux régionaux de l’ARTI ;</w:t>
            </w:r>
          </w:p>
          <w:p w14:paraId="628B446B" w14:textId="77777777" w:rsidR="00422C27" w:rsidRPr="00422C27" w:rsidRDefault="00422C27" w:rsidP="00EC7CA8">
            <w:pPr>
              <w:ind w:left="708"/>
              <w:rPr>
                <w:rFonts w:ascii="Century" w:hAnsi="Century"/>
                <w:b w:val="0"/>
                <w:bCs/>
                <w:color w:val="000000"/>
              </w:rPr>
            </w:pPr>
          </w:p>
          <w:p w14:paraId="5A613B4B" w14:textId="77777777" w:rsidR="008A3834" w:rsidRDefault="008A3834" w:rsidP="008A3834">
            <w:pPr>
              <w:ind w:left="708"/>
              <w:rPr>
                <w:rFonts w:ascii="Century" w:hAnsi="Century"/>
                <w:b w:val="0"/>
                <w:bCs/>
                <w:color w:val="000000"/>
                <w:lang w:val="fr-CI"/>
              </w:rPr>
            </w:pPr>
          </w:p>
          <w:p w14:paraId="4971738D" w14:textId="77777777" w:rsidR="0093799C" w:rsidRDefault="0093799C" w:rsidP="008A3834">
            <w:pPr>
              <w:ind w:left="708"/>
              <w:rPr>
                <w:rFonts w:ascii="Century" w:hAnsi="Century"/>
                <w:b w:val="0"/>
                <w:bCs/>
                <w:color w:val="000000"/>
                <w:lang w:val="fr-CI"/>
              </w:rPr>
            </w:pPr>
          </w:p>
          <w:p w14:paraId="32CE3287" w14:textId="206AD6D2" w:rsidR="0093799C" w:rsidRPr="0093799C" w:rsidRDefault="0093799C" w:rsidP="0093799C">
            <w:pPr>
              <w:rPr>
                <w:rFonts w:ascii="Century" w:hAnsi="Century"/>
                <w:color w:val="000000"/>
              </w:rPr>
            </w:pPr>
          </w:p>
        </w:tc>
        <w:tc>
          <w:tcPr>
            <w:tcW w:w="6379" w:type="dxa"/>
          </w:tcPr>
          <w:p w14:paraId="16E4B476" w14:textId="77777777" w:rsidR="007D1B19" w:rsidRPr="007E442E" w:rsidRDefault="007D1B19" w:rsidP="00275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  <w:lang w:val="fr-CI"/>
              </w:rPr>
            </w:pPr>
          </w:p>
          <w:p w14:paraId="7F686879" w14:textId="77777777" w:rsidR="00A72A72" w:rsidRDefault="00A72A72" w:rsidP="006B1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499736A5" w14:textId="49182E42" w:rsidR="00CF5FE8" w:rsidRDefault="00CF5FE8" w:rsidP="006B1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01F30D60" w14:textId="75F61F12" w:rsidR="00CF5FE8" w:rsidRDefault="00FE20F5" w:rsidP="00CF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  <w:r>
              <w:rPr>
                <w:rFonts w:ascii="Century" w:hAnsi="Century"/>
                <w:b/>
                <w:color w:val="4472C4" w:themeColor="accent1"/>
              </w:rPr>
              <w:t>Poursuite du d</w:t>
            </w:r>
            <w:r w:rsidR="00CF5FE8">
              <w:rPr>
                <w:rFonts w:ascii="Century" w:hAnsi="Century"/>
                <w:b/>
                <w:color w:val="4472C4" w:themeColor="accent1"/>
              </w:rPr>
              <w:t>éveloppement des tableaux de bord des pointages et suivi des activités ; permett</w:t>
            </w:r>
            <w:r>
              <w:rPr>
                <w:rFonts w:ascii="Century" w:hAnsi="Century"/>
                <w:b/>
                <w:color w:val="4472C4" w:themeColor="accent1"/>
              </w:rPr>
              <w:t>re</w:t>
            </w:r>
            <w:r w:rsidR="00CF5FE8">
              <w:rPr>
                <w:rFonts w:ascii="Century" w:hAnsi="Century"/>
                <w:b/>
                <w:color w:val="4472C4" w:themeColor="accent1"/>
              </w:rPr>
              <w:t xml:space="preserve"> à la DSESP de </w:t>
            </w:r>
            <w:r w:rsidR="00CF5FE8">
              <w:rPr>
                <w:rFonts w:ascii="Century" w:hAnsi="Century"/>
                <w:b/>
                <w:color w:val="4472C4" w:themeColor="accent1"/>
              </w:rPr>
              <w:lastRenderedPageBreak/>
              <w:t>suivre les données des activités, ainsi que de générer des rapports pour une analyse approfondie ;</w:t>
            </w:r>
          </w:p>
          <w:p w14:paraId="0BC849FE" w14:textId="569784AC" w:rsidR="00CF5FE8" w:rsidRDefault="00CF5FE8" w:rsidP="006B1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6B128BB1" w14:textId="77777777" w:rsidR="0093799C" w:rsidRDefault="0093799C" w:rsidP="006B1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4C6E848B" w14:textId="77777777" w:rsidR="0093799C" w:rsidRDefault="0093799C" w:rsidP="006B1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1BA59006" w14:textId="1B7B0C84" w:rsidR="00F226B4" w:rsidRDefault="00F226B4" w:rsidP="006B1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  <w:r w:rsidRPr="008A3834">
              <w:rPr>
                <w:rFonts w:ascii="Century" w:hAnsi="Century"/>
                <w:b/>
                <w:color w:val="4472C4" w:themeColor="accent1"/>
              </w:rPr>
              <w:t>Activité récurrente dans le processus des achats de biens et services</w:t>
            </w:r>
            <w:r w:rsidR="0093799C">
              <w:rPr>
                <w:rFonts w:ascii="Century" w:hAnsi="Century"/>
                <w:b/>
                <w:color w:val="4472C4" w:themeColor="accent1"/>
              </w:rPr>
              <w:t> ;</w:t>
            </w:r>
            <w:r w:rsidRPr="008A3834">
              <w:rPr>
                <w:rFonts w:ascii="Century" w:hAnsi="Century"/>
                <w:b/>
                <w:color w:val="4472C4" w:themeColor="accent1"/>
              </w:rPr>
              <w:t xml:space="preserve"> </w:t>
            </w:r>
          </w:p>
          <w:p w14:paraId="564B2A7C" w14:textId="77777777" w:rsidR="00C25D5A" w:rsidRDefault="00C25D5A" w:rsidP="006B1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3530236C" w14:textId="77777777" w:rsidR="00C25D5A" w:rsidRDefault="00C25D5A" w:rsidP="006B1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7C5D4D5A" w14:textId="3CA0B995" w:rsidR="00584398" w:rsidRDefault="00517D7B" w:rsidP="00517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  <w:r>
              <w:rPr>
                <w:rFonts w:ascii="Century" w:hAnsi="Century"/>
                <w:b/>
                <w:color w:val="4472C4" w:themeColor="accent1"/>
              </w:rPr>
              <w:t>Dans le cadre de la préparation du CAC 2022 et sur instructions du Directeur Général de l’ARTI, la DSESP a reçu mandat pour conduire une mission de contrôle financier des comptes 2022</w:t>
            </w:r>
            <w:r w:rsidR="0093799C">
              <w:rPr>
                <w:rFonts w:ascii="Century" w:hAnsi="Century"/>
                <w:b/>
                <w:color w:val="4472C4" w:themeColor="accent1"/>
              </w:rPr>
              <w:t> ;</w:t>
            </w:r>
          </w:p>
          <w:p w14:paraId="5B9032E4" w14:textId="77777777" w:rsidR="00584398" w:rsidRDefault="00584398" w:rsidP="006B1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5DD8B718" w14:textId="77777777" w:rsidR="00517D7B" w:rsidRDefault="00517D7B" w:rsidP="006B1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06C74619" w14:textId="3A9714E5" w:rsidR="00C25D5A" w:rsidRDefault="00C25D5A" w:rsidP="006B1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  <w:r>
              <w:rPr>
                <w:rFonts w:ascii="Century" w:hAnsi="Century"/>
                <w:b/>
                <w:color w:val="4472C4" w:themeColor="accent1"/>
              </w:rPr>
              <w:t>Préparation de 4 textes pour l’</w:t>
            </w:r>
            <w:r w:rsidR="00190ED7">
              <w:rPr>
                <w:rFonts w:ascii="Century" w:hAnsi="Century"/>
                <w:b/>
                <w:color w:val="4472C4" w:themeColor="accent1"/>
              </w:rPr>
              <w:t>élaboration du leaflet de la semaine de la sécurité routière</w:t>
            </w:r>
            <w:r w:rsidR="0093799C">
              <w:rPr>
                <w:rFonts w:ascii="Century" w:hAnsi="Century"/>
                <w:b/>
                <w:color w:val="4472C4" w:themeColor="accent1"/>
              </w:rPr>
              <w:t> ;</w:t>
            </w:r>
          </w:p>
          <w:p w14:paraId="457D7E14" w14:textId="77777777" w:rsidR="00422C27" w:rsidRDefault="00422C27" w:rsidP="006B1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50D3960D" w14:textId="6A181AA1" w:rsidR="00422C27" w:rsidRDefault="00422C27" w:rsidP="00422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  <w:r>
              <w:rPr>
                <w:rFonts w:ascii="Century" w:hAnsi="Century"/>
                <w:b/>
                <w:color w:val="4472C4" w:themeColor="accent1"/>
              </w:rPr>
              <w:t xml:space="preserve">Poursuite de la rédaction des TDR sont relatives à la mise en œuvre de la stratégie du déploiement des bureaux régionaux de l’ARTI dans les différentes régions qui sont : Yamoussoukro, San Pedro, Korhogo dans le Court Termes et Bondoukou, Daloa, Man et Abengourou dans le Long Termes. </w:t>
            </w:r>
          </w:p>
          <w:p w14:paraId="2B7532BF" w14:textId="7A5AAE50" w:rsidR="00422C27" w:rsidRPr="0055514A" w:rsidRDefault="00422C27" w:rsidP="006B1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</w:tc>
        <w:tc>
          <w:tcPr>
            <w:tcW w:w="3118" w:type="dxa"/>
          </w:tcPr>
          <w:p w14:paraId="5B999738" w14:textId="77777777" w:rsidR="00CE1B53" w:rsidRPr="00447B18" w:rsidRDefault="00CE1B53" w:rsidP="00275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  <w:p w14:paraId="2DA90F02" w14:textId="77777777" w:rsidR="00A72A72" w:rsidRDefault="00A72A72" w:rsidP="34B17E28">
            <w:pPr>
              <w:tabs>
                <w:tab w:val="center" w:pos="14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</w:p>
          <w:p w14:paraId="00432DED" w14:textId="77777777" w:rsidR="002646AE" w:rsidRDefault="002646AE" w:rsidP="34B17E28">
            <w:pPr>
              <w:tabs>
                <w:tab w:val="center" w:pos="14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</w:p>
          <w:p w14:paraId="7BF036D6" w14:textId="77777777" w:rsidR="0093799C" w:rsidRPr="0093799C" w:rsidRDefault="0093799C" w:rsidP="00937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  <w:r>
              <w:rPr>
                <w:rFonts w:ascii="Century" w:hAnsi="Century"/>
                <w:lang w:val="fr-CI"/>
              </w:rPr>
              <w:t>Génération des données de test.</w:t>
            </w:r>
          </w:p>
          <w:p w14:paraId="0B780248" w14:textId="77777777" w:rsidR="00F226B4" w:rsidRDefault="00F226B4" w:rsidP="34B17E28">
            <w:pPr>
              <w:tabs>
                <w:tab w:val="center" w:pos="14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</w:p>
          <w:p w14:paraId="2E14E3E6" w14:textId="77777777" w:rsidR="00550C29" w:rsidRDefault="00550C29" w:rsidP="34B17E28">
            <w:pPr>
              <w:tabs>
                <w:tab w:val="center" w:pos="14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</w:p>
          <w:p w14:paraId="18F81357" w14:textId="77777777" w:rsidR="00CF5FE8" w:rsidRDefault="00CF5FE8" w:rsidP="34B17E28">
            <w:pPr>
              <w:tabs>
                <w:tab w:val="center" w:pos="14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</w:p>
          <w:p w14:paraId="36536820" w14:textId="77777777" w:rsidR="00CF5FE8" w:rsidRDefault="00CF5FE8" w:rsidP="34B17E28">
            <w:pPr>
              <w:tabs>
                <w:tab w:val="center" w:pos="14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</w:p>
          <w:p w14:paraId="0BE234BD" w14:textId="77777777" w:rsidR="0093799C" w:rsidRDefault="0093799C" w:rsidP="34B17E28">
            <w:pPr>
              <w:tabs>
                <w:tab w:val="center" w:pos="14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</w:p>
          <w:p w14:paraId="476EA36F" w14:textId="46DF9EF7" w:rsidR="00F226B4" w:rsidRDefault="00F226B4" w:rsidP="34B17E28">
            <w:pPr>
              <w:tabs>
                <w:tab w:val="center" w:pos="14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  <w:r>
              <w:rPr>
                <w:rFonts w:ascii="Century" w:hAnsi="Century"/>
                <w:lang w:val="fr-CI"/>
              </w:rPr>
              <w:t>N/A</w:t>
            </w:r>
          </w:p>
          <w:p w14:paraId="38FE260E" w14:textId="77777777" w:rsidR="00190ED7" w:rsidRDefault="00190ED7" w:rsidP="34B17E28">
            <w:pPr>
              <w:tabs>
                <w:tab w:val="center" w:pos="14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</w:p>
          <w:p w14:paraId="6426CA21" w14:textId="77777777" w:rsidR="00190ED7" w:rsidRDefault="00190ED7" w:rsidP="34B17E28">
            <w:pPr>
              <w:tabs>
                <w:tab w:val="center" w:pos="14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</w:p>
          <w:p w14:paraId="12335A7B" w14:textId="77777777" w:rsidR="00190ED7" w:rsidRDefault="00190ED7" w:rsidP="34B17E28">
            <w:pPr>
              <w:tabs>
                <w:tab w:val="center" w:pos="14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</w:p>
          <w:p w14:paraId="45631EF0" w14:textId="508C28B1" w:rsidR="00517D7B" w:rsidRDefault="00517D7B" w:rsidP="34B17E28">
            <w:pPr>
              <w:tabs>
                <w:tab w:val="center" w:pos="14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  <w:r>
              <w:rPr>
                <w:rFonts w:ascii="Century" w:hAnsi="Century"/>
                <w:lang w:val="fr-CI"/>
              </w:rPr>
              <w:t>La DAAF s’est engagée à collaborer au plein succès de cette mission</w:t>
            </w:r>
            <w:r w:rsidR="0093799C">
              <w:rPr>
                <w:rFonts w:ascii="Century" w:hAnsi="Century"/>
                <w:lang w:val="fr-CI"/>
              </w:rPr>
              <w:t> ;</w:t>
            </w:r>
          </w:p>
          <w:p w14:paraId="427DF399" w14:textId="77777777" w:rsidR="00517D7B" w:rsidRDefault="00517D7B" w:rsidP="34B17E28">
            <w:pPr>
              <w:tabs>
                <w:tab w:val="center" w:pos="14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</w:p>
          <w:p w14:paraId="2A1A8DBE" w14:textId="77777777" w:rsidR="00517D7B" w:rsidRDefault="00517D7B" w:rsidP="34B17E28">
            <w:pPr>
              <w:tabs>
                <w:tab w:val="center" w:pos="14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</w:p>
          <w:p w14:paraId="1C1E8C86" w14:textId="77777777" w:rsidR="00517D7B" w:rsidRDefault="00517D7B" w:rsidP="34B17E28">
            <w:pPr>
              <w:tabs>
                <w:tab w:val="center" w:pos="14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</w:p>
          <w:p w14:paraId="0D8C64C6" w14:textId="452AE806" w:rsidR="00190ED7" w:rsidRDefault="00190ED7" w:rsidP="34B17E28">
            <w:pPr>
              <w:tabs>
                <w:tab w:val="center" w:pos="14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  <w:r>
              <w:rPr>
                <w:rFonts w:ascii="Century" w:hAnsi="Century"/>
                <w:lang w:val="fr-CI"/>
              </w:rPr>
              <w:t>Le</w:t>
            </w:r>
            <w:r w:rsidR="007E6435">
              <w:rPr>
                <w:rFonts w:ascii="Century" w:hAnsi="Century"/>
                <w:lang w:val="fr-CI"/>
              </w:rPr>
              <w:t xml:space="preserve"> leaflet e</w:t>
            </w:r>
            <w:r>
              <w:rPr>
                <w:rFonts w:ascii="Century" w:hAnsi="Century"/>
                <w:lang w:val="fr-CI"/>
              </w:rPr>
              <w:t>st en cours</w:t>
            </w:r>
            <w:r w:rsidR="0093799C">
              <w:rPr>
                <w:rFonts w:ascii="Century" w:hAnsi="Century"/>
                <w:lang w:val="fr-CI"/>
              </w:rPr>
              <w:t> ;</w:t>
            </w:r>
          </w:p>
          <w:p w14:paraId="26CC43EC" w14:textId="77777777" w:rsidR="001934E6" w:rsidRDefault="001934E6" w:rsidP="34B17E28">
            <w:pPr>
              <w:tabs>
                <w:tab w:val="center" w:pos="14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</w:p>
          <w:p w14:paraId="47FD09D1" w14:textId="77777777" w:rsidR="001934E6" w:rsidRDefault="001934E6" w:rsidP="34B17E28">
            <w:pPr>
              <w:tabs>
                <w:tab w:val="center" w:pos="14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</w:p>
          <w:p w14:paraId="516E73C3" w14:textId="77777777" w:rsidR="001934E6" w:rsidRPr="00A92178" w:rsidRDefault="001934E6" w:rsidP="0019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  <w:r w:rsidRPr="00A92178">
              <w:rPr>
                <w:rFonts w:ascii="Century" w:hAnsi="Century"/>
                <w:lang w:val="fr-CI"/>
              </w:rPr>
              <w:t>N/A</w:t>
            </w:r>
          </w:p>
          <w:p w14:paraId="4A288AB9" w14:textId="0B6BF75B" w:rsidR="001934E6" w:rsidRPr="00447B18" w:rsidRDefault="001934E6" w:rsidP="34B17E28">
            <w:pPr>
              <w:tabs>
                <w:tab w:val="center" w:pos="14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</w:p>
        </w:tc>
      </w:tr>
      <w:tr w:rsidR="002F3884" w:rsidRPr="0013116F" w14:paraId="05454C50" w14:textId="77777777" w:rsidTr="34B17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3FD8AF9" w14:textId="77777777" w:rsidR="00FE20F5" w:rsidRPr="00263707" w:rsidRDefault="00FE20F5" w:rsidP="002758DA">
            <w:pPr>
              <w:rPr>
                <w:rFonts w:ascii="Century" w:hAnsi="Century"/>
                <w:u w:val="single"/>
              </w:rPr>
            </w:pPr>
          </w:p>
          <w:p w14:paraId="79C5BDB0" w14:textId="59D0E8CD" w:rsidR="00FB7C5C" w:rsidRPr="00263707" w:rsidRDefault="00481F6D" w:rsidP="00881529">
            <w:pPr>
              <w:ind w:left="708"/>
              <w:rPr>
                <w:rFonts w:ascii="Century" w:hAnsi="Century"/>
                <w:b w:val="0"/>
                <w:bCs/>
                <w:u w:val="single"/>
              </w:rPr>
            </w:pPr>
            <w:r w:rsidRPr="00263707">
              <w:rPr>
                <w:rFonts w:ascii="Century" w:hAnsi="Century"/>
                <w:u w:val="single"/>
              </w:rPr>
              <w:t xml:space="preserve">Vendredi </w:t>
            </w:r>
            <w:r w:rsidR="00610F21">
              <w:rPr>
                <w:rFonts w:ascii="Century" w:hAnsi="Century"/>
                <w:u w:val="single"/>
              </w:rPr>
              <w:t>24</w:t>
            </w:r>
            <w:r w:rsidRPr="00263707">
              <w:rPr>
                <w:rFonts w:ascii="Century" w:hAnsi="Century"/>
                <w:u w:val="single"/>
              </w:rPr>
              <w:t>/</w:t>
            </w:r>
            <w:r w:rsidR="00A251EA" w:rsidRPr="00263707">
              <w:rPr>
                <w:rFonts w:ascii="Century" w:hAnsi="Century"/>
                <w:u w:val="single"/>
              </w:rPr>
              <w:t>0</w:t>
            </w:r>
            <w:r w:rsidR="009D53E2">
              <w:rPr>
                <w:rFonts w:ascii="Century" w:hAnsi="Century"/>
                <w:u w:val="single"/>
              </w:rPr>
              <w:t>3</w:t>
            </w:r>
            <w:r w:rsidRPr="00263707">
              <w:rPr>
                <w:rFonts w:ascii="Century" w:hAnsi="Century"/>
                <w:u w:val="single"/>
              </w:rPr>
              <w:t>/202</w:t>
            </w:r>
            <w:r w:rsidR="00A251EA" w:rsidRPr="00263707">
              <w:rPr>
                <w:rFonts w:ascii="Century" w:hAnsi="Century"/>
                <w:u w:val="single"/>
              </w:rPr>
              <w:t>3</w:t>
            </w:r>
          </w:p>
          <w:p w14:paraId="7BF5B433" w14:textId="13AC81CF" w:rsidR="00402F8D" w:rsidRPr="00263707" w:rsidRDefault="00402F8D" w:rsidP="002758DA">
            <w:pPr>
              <w:ind w:left="708"/>
              <w:rPr>
                <w:rFonts w:ascii="Century" w:hAnsi="Century"/>
              </w:rPr>
            </w:pPr>
          </w:p>
          <w:p w14:paraId="0CF51BAB" w14:textId="70FCDD30" w:rsidR="00A74035" w:rsidRDefault="00A74035" w:rsidP="000A2796">
            <w:pPr>
              <w:ind w:left="708"/>
              <w:rPr>
                <w:rFonts w:ascii="Century" w:hAnsi="Century"/>
              </w:rPr>
            </w:pPr>
            <w:r>
              <w:rPr>
                <w:rFonts w:ascii="Century" w:hAnsi="Century"/>
                <w:b w:val="0"/>
                <w:bCs/>
              </w:rPr>
              <w:t>Traitement des dossiers imputés à la DSESP</w:t>
            </w:r>
            <w:r w:rsidR="00CF5FE8">
              <w:rPr>
                <w:rFonts w:ascii="Century" w:hAnsi="Century"/>
                <w:b w:val="0"/>
                <w:bCs/>
              </w:rPr>
              <w:t> ;</w:t>
            </w:r>
          </w:p>
          <w:p w14:paraId="6E951B52" w14:textId="77777777" w:rsidR="00CF5FE8" w:rsidRDefault="00CF5FE8" w:rsidP="000A2796">
            <w:pPr>
              <w:ind w:left="708"/>
              <w:rPr>
                <w:rFonts w:ascii="Century" w:hAnsi="Century"/>
              </w:rPr>
            </w:pPr>
          </w:p>
          <w:p w14:paraId="0ACF200E" w14:textId="371D0091" w:rsidR="00CF5FE8" w:rsidRDefault="00FE20F5" w:rsidP="00CF5FE8">
            <w:pPr>
              <w:ind w:left="708"/>
              <w:rPr>
                <w:rFonts w:ascii="Century" w:hAnsi="Century"/>
              </w:rPr>
            </w:pPr>
            <w:r>
              <w:rPr>
                <w:rFonts w:ascii="Century" w:hAnsi="Century"/>
                <w:b w:val="0"/>
                <w:bCs/>
              </w:rPr>
              <w:lastRenderedPageBreak/>
              <w:t>Suite du d</w:t>
            </w:r>
            <w:r w:rsidR="00CF5FE8" w:rsidRPr="00D34C75">
              <w:rPr>
                <w:rFonts w:ascii="Century" w:hAnsi="Century"/>
                <w:b w:val="0"/>
                <w:bCs/>
              </w:rPr>
              <w:t>éveloppement de l’application de reporting des pointages et suivi des activités.</w:t>
            </w:r>
          </w:p>
          <w:p w14:paraId="2F7BFDF1" w14:textId="77777777" w:rsidR="007E6435" w:rsidRDefault="007E6435" w:rsidP="00CF5FE8">
            <w:pPr>
              <w:ind w:left="708"/>
              <w:rPr>
                <w:rFonts w:ascii="Century" w:hAnsi="Century"/>
                <w:b w:val="0"/>
                <w:bCs/>
              </w:rPr>
            </w:pPr>
          </w:p>
          <w:p w14:paraId="09EA9646" w14:textId="77777777" w:rsidR="000A1299" w:rsidRDefault="000A1299" w:rsidP="00CF5FE8">
            <w:pPr>
              <w:ind w:left="708"/>
              <w:rPr>
                <w:rFonts w:ascii="Century" w:hAnsi="Century"/>
              </w:rPr>
            </w:pPr>
          </w:p>
          <w:p w14:paraId="22898D29" w14:textId="2A339157" w:rsidR="007E6435" w:rsidRDefault="000A1299" w:rsidP="007E6435">
            <w:pPr>
              <w:ind w:left="708"/>
              <w:rPr>
                <w:rFonts w:ascii="Century" w:hAnsi="Century"/>
                <w:color w:val="000000"/>
                <w:lang w:val="fr-CI"/>
              </w:rPr>
            </w:pPr>
            <w:r>
              <w:rPr>
                <w:rFonts w:ascii="Century" w:hAnsi="Century"/>
                <w:b w:val="0"/>
                <w:bCs/>
                <w:color w:val="000000"/>
                <w:lang w:val="fr-CI"/>
              </w:rPr>
              <w:t>Suite de la p</w:t>
            </w:r>
            <w:r w:rsidR="007E6435">
              <w:rPr>
                <w:rFonts w:ascii="Century" w:hAnsi="Century"/>
                <w:b w:val="0"/>
                <w:bCs/>
                <w:color w:val="000000"/>
                <w:lang w:val="fr-CI"/>
              </w:rPr>
              <w:t>réparation de la semaine de la sécurité routière</w:t>
            </w:r>
            <w:r w:rsidR="0093799C">
              <w:rPr>
                <w:rFonts w:ascii="Century" w:hAnsi="Century"/>
                <w:b w:val="0"/>
                <w:bCs/>
                <w:color w:val="000000"/>
                <w:lang w:val="fr-CI"/>
              </w:rPr>
              <w:t> ;</w:t>
            </w:r>
          </w:p>
          <w:p w14:paraId="54F3B37F" w14:textId="77777777" w:rsidR="00422C27" w:rsidRDefault="00422C27" w:rsidP="007E6435">
            <w:pPr>
              <w:ind w:left="708"/>
              <w:rPr>
                <w:rFonts w:ascii="Century" w:hAnsi="Century"/>
                <w:color w:val="000000"/>
                <w:lang w:val="fr-CI"/>
              </w:rPr>
            </w:pPr>
          </w:p>
          <w:p w14:paraId="3F4AEFDA" w14:textId="77777777" w:rsidR="00696AAD" w:rsidRDefault="00696AAD" w:rsidP="007E6435">
            <w:pPr>
              <w:ind w:left="708"/>
              <w:rPr>
                <w:rFonts w:ascii="Century" w:hAnsi="Century"/>
                <w:b w:val="0"/>
                <w:bCs/>
                <w:color w:val="000000"/>
                <w:lang w:val="fr-CI"/>
              </w:rPr>
            </w:pPr>
          </w:p>
          <w:p w14:paraId="5DDF22A7" w14:textId="5D9890D0" w:rsidR="00422C27" w:rsidRPr="00696AAD" w:rsidRDefault="00517D7B" w:rsidP="007E6435">
            <w:pPr>
              <w:ind w:left="708"/>
              <w:rPr>
                <w:rFonts w:ascii="Century" w:hAnsi="Century"/>
                <w:b w:val="0"/>
                <w:bCs/>
                <w:color w:val="000000"/>
                <w:lang w:val="fr-CI"/>
              </w:rPr>
            </w:pPr>
            <w:r w:rsidRPr="00696AAD">
              <w:rPr>
                <w:rFonts w:ascii="Century" w:hAnsi="Century"/>
                <w:b w:val="0"/>
                <w:bCs/>
                <w:color w:val="000000"/>
                <w:lang w:val="fr-CI"/>
              </w:rPr>
              <w:t>Analyse du Grand Livre des comptes 2022</w:t>
            </w:r>
            <w:r w:rsidR="0093799C">
              <w:rPr>
                <w:rFonts w:ascii="Century" w:hAnsi="Century"/>
                <w:b w:val="0"/>
                <w:bCs/>
                <w:color w:val="000000"/>
                <w:lang w:val="fr-CI"/>
              </w:rPr>
              <w:t> ;</w:t>
            </w:r>
          </w:p>
          <w:p w14:paraId="1108A9AB" w14:textId="77777777" w:rsidR="00696AAD" w:rsidRDefault="00696AAD" w:rsidP="00422C27">
            <w:pPr>
              <w:ind w:left="708"/>
              <w:rPr>
                <w:rFonts w:ascii="Century" w:hAnsi="Century"/>
                <w:bCs/>
              </w:rPr>
            </w:pPr>
          </w:p>
          <w:p w14:paraId="0740B13C" w14:textId="464AA0AE" w:rsidR="00696AAD" w:rsidRDefault="00696AAD" w:rsidP="00422C27">
            <w:pPr>
              <w:ind w:left="708"/>
              <w:rPr>
                <w:rFonts w:ascii="Century" w:hAnsi="Century"/>
                <w:b w:val="0"/>
              </w:rPr>
            </w:pPr>
          </w:p>
          <w:p w14:paraId="38030EC6" w14:textId="145BD201" w:rsidR="0013116F" w:rsidRPr="0013116F" w:rsidRDefault="0013116F" w:rsidP="00422C27">
            <w:pPr>
              <w:ind w:left="708"/>
              <w:rPr>
                <w:rFonts w:ascii="Century" w:hAnsi="Century"/>
                <w:b w:val="0"/>
              </w:rPr>
            </w:pPr>
            <w:r>
              <w:rPr>
                <w:rFonts w:ascii="Century" w:hAnsi="Century"/>
                <w:b w:val="0"/>
              </w:rPr>
              <w:t>Séance de travail avec l’UTAC ;</w:t>
            </w:r>
          </w:p>
          <w:p w14:paraId="34662263" w14:textId="77777777" w:rsidR="00696AAD" w:rsidRDefault="00696AAD" w:rsidP="00422C27">
            <w:pPr>
              <w:ind w:left="708"/>
              <w:rPr>
                <w:rFonts w:ascii="Century" w:hAnsi="Century"/>
                <w:b w:val="0"/>
              </w:rPr>
            </w:pPr>
          </w:p>
          <w:p w14:paraId="4CB1270A" w14:textId="77777777" w:rsidR="0013116F" w:rsidRDefault="0013116F" w:rsidP="00422C27">
            <w:pPr>
              <w:ind w:left="708"/>
              <w:rPr>
                <w:rFonts w:ascii="Century" w:hAnsi="Century"/>
                <w:bCs/>
              </w:rPr>
            </w:pPr>
          </w:p>
          <w:p w14:paraId="2B8A7AD4" w14:textId="77777777" w:rsidR="0013116F" w:rsidRDefault="0013116F" w:rsidP="00422C27">
            <w:pPr>
              <w:ind w:left="708"/>
              <w:rPr>
                <w:rFonts w:ascii="Century" w:hAnsi="Century"/>
                <w:bCs/>
              </w:rPr>
            </w:pPr>
          </w:p>
          <w:p w14:paraId="30B7A242" w14:textId="43338BE4" w:rsidR="00696AAD" w:rsidRPr="00696AAD" w:rsidRDefault="00696AAD" w:rsidP="00422C27">
            <w:pPr>
              <w:ind w:left="708"/>
              <w:rPr>
                <w:rFonts w:ascii="Century" w:hAnsi="Century"/>
                <w:b w:val="0"/>
              </w:rPr>
            </w:pPr>
            <w:r w:rsidRPr="00696AAD">
              <w:rPr>
                <w:rFonts w:ascii="Century" w:hAnsi="Century"/>
                <w:b w:val="0"/>
              </w:rPr>
              <w:t>Vérifications et archivage des écritures budgétaires</w:t>
            </w:r>
            <w:r w:rsidR="00C13C5F">
              <w:rPr>
                <w:rFonts w:ascii="Century" w:hAnsi="Century"/>
                <w:b w:val="0"/>
              </w:rPr>
              <w:t xml:space="preserve"> de la semaine écoulée</w:t>
            </w:r>
            <w:r w:rsidR="0093799C">
              <w:rPr>
                <w:rFonts w:ascii="Century" w:hAnsi="Century"/>
                <w:b w:val="0"/>
              </w:rPr>
              <w:t> ;</w:t>
            </w:r>
          </w:p>
          <w:p w14:paraId="4B3B3D94" w14:textId="77777777" w:rsidR="00696AAD" w:rsidRDefault="00696AAD" w:rsidP="00422C27">
            <w:pPr>
              <w:ind w:left="708"/>
              <w:rPr>
                <w:rFonts w:ascii="Century" w:hAnsi="Century"/>
                <w:bCs/>
              </w:rPr>
            </w:pPr>
          </w:p>
          <w:p w14:paraId="51D21D48" w14:textId="40BFA31D" w:rsidR="00422C27" w:rsidRDefault="00422C27" w:rsidP="00422C27">
            <w:pPr>
              <w:ind w:left="708"/>
              <w:rPr>
                <w:rFonts w:ascii="Century" w:hAnsi="Century"/>
                <w:bCs/>
              </w:rPr>
            </w:pPr>
            <w:r>
              <w:rPr>
                <w:rFonts w:ascii="Century" w:hAnsi="Century"/>
                <w:b w:val="0"/>
              </w:rPr>
              <w:t>Suite de l’élaboration des TDR sur le déploiement des Bureaux régionaux de l’ARTI</w:t>
            </w:r>
            <w:r w:rsidR="006D0AEA">
              <w:rPr>
                <w:rFonts w:ascii="Century" w:hAnsi="Century"/>
                <w:b w:val="0"/>
              </w:rPr>
              <w:t>.</w:t>
            </w:r>
          </w:p>
          <w:p w14:paraId="68459E2D" w14:textId="77777777" w:rsidR="00422C27" w:rsidRPr="00422C27" w:rsidRDefault="00422C27" w:rsidP="007E6435">
            <w:pPr>
              <w:ind w:left="708"/>
              <w:rPr>
                <w:rFonts w:ascii="Century" w:hAnsi="Century"/>
                <w:b w:val="0"/>
                <w:bCs/>
                <w:color w:val="000000"/>
              </w:rPr>
            </w:pPr>
          </w:p>
          <w:p w14:paraId="51681F67" w14:textId="77777777" w:rsidR="007E6435" w:rsidRPr="007E6435" w:rsidRDefault="007E6435" w:rsidP="00CF5FE8">
            <w:pPr>
              <w:ind w:left="708"/>
              <w:rPr>
                <w:rFonts w:ascii="Century" w:hAnsi="Century"/>
                <w:b w:val="0"/>
                <w:bCs/>
                <w:lang w:val="fr-CI"/>
              </w:rPr>
            </w:pPr>
          </w:p>
          <w:p w14:paraId="0DA6334C" w14:textId="32332166" w:rsidR="00CF5FE8" w:rsidRPr="00263707" w:rsidRDefault="00CF5FE8" w:rsidP="000A2796">
            <w:pPr>
              <w:ind w:left="708"/>
              <w:rPr>
                <w:rFonts w:ascii="Century" w:hAnsi="Century"/>
                <w:b w:val="0"/>
                <w:bCs/>
              </w:rPr>
            </w:pPr>
          </w:p>
        </w:tc>
        <w:tc>
          <w:tcPr>
            <w:tcW w:w="6379" w:type="dxa"/>
          </w:tcPr>
          <w:p w14:paraId="7E9D9C2F" w14:textId="77777777" w:rsidR="00FE20F5" w:rsidRDefault="00FE20F5" w:rsidP="00936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16823E3C" w14:textId="77777777" w:rsidR="00FE20F5" w:rsidRDefault="00FE20F5" w:rsidP="00936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2B2DAD79" w14:textId="77777777" w:rsidR="000A2796" w:rsidRDefault="000A2796" w:rsidP="009147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33156B3E" w14:textId="043BD0B5" w:rsidR="00CF5FE8" w:rsidRDefault="00FE20F5" w:rsidP="00CF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bCs w:val="0"/>
                <w:color w:val="4472C4" w:themeColor="accent1"/>
              </w:rPr>
            </w:pPr>
            <w:r>
              <w:rPr>
                <w:rFonts w:ascii="Century" w:hAnsi="Century"/>
                <w:b/>
                <w:bCs w:val="0"/>
                <w:color w:val="4472C4" w:themeColor="accent1"/>
              </w:rPr>
              <w:t>Revue générale des dossiers imputés à la DSESP ;</w:t>
            </w:r>
          </w:p>
          <w:p w14:paraId="66253066" w14:textId="77777777" w:rsidR="00CF5FE8" w:rsidRDefault="00CF5FE8" w:rsidP="00CF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bCs w:val="0"/>
                <w:color w:val="4472C4" w:themeColor="accent1"/>
              </w:rPr>
            </w:pPr>
          </w:p>
          <w:p w14:paraId="19F942A6" w14:textId="77777777" w:rsidR="00CF5FE8" w:rsidRDefault="00CF5FE8" w:rsidP="00CF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bCs w:val="0"/>
                <w:color w:val="4472C4" w:themeColor="accent1"/>
              </w:rPr>
            </w:pPr>
          </w:p>
          <w:p w14:paraId="7A75BA65" w14:textId="064DCBD7" w:rsidR="00CF5FE8" w:rsidRDefault="00FE20F5" w:rsidP="00FE2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  <w:r>
              <w:rPr>
                <w:rFonts w:ascii="Century" w:hAnsi="Century"/>
                <w:b/>
                <w:color w:val="4472C4" w:themeColor="accent1"/>
              </w:rPr>
              <w:lastRenderedPageBreak/>
              <w:t>Poursuite du développement des tableaux de bord des pointages et suivi des activités ; permettre à la DSESP de suivre les données des activités, ainsi que de générer des rapports pour une analyse approfondie</w:t>
            </w:r>
            <w:r w:rsidR="000A1299">
              <w:rPr>
                <w:rFonts w:ascii="Century" w:hAnsi="Century"/>
                <w:b/>
                <w:color w:val="4472C4" w:themeColor="accent1"/>
              </w:rPr>
              <w:t> ;</w:t>
            </w:r>
          </w:p>
          <w:p w14:paraId="7EDC35AE" w14:textId="77777777" w:rsidR="000A1299" w:rsidRDefault="000A1299" w:rsidP="00FE2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7BB49472" w14:textId="2C4313CC" w:rsidR="000A1299" w:rsidRDefault="000A1299" w:rsidP="00FE2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  <w:r>
              <w:rPr>
                <w:rFonts w:ascii="Century" w:hAnsi="Century"/>
                <w:b/>
                <w:color w:val="4472C4" w:themeColor="accent1"/>
              </w:rPr>
              <w:t>Poursuite de la préparation de 4 textes pour l’élaboration du leaflet de la semaine de la sécurité routière</w:t>
            </w:r>
            <w:r w:rsidR="0093799C">
              <w:rPr>
                <w:rFonts w:ascii="Century" w:hAnsi="Century"/>
                <w:b/>
                <w:color w:val="4472C4" w:themeColor="accent1"/>
              </w:rPr>
              <w:t> ;</w:t>
            </w:r>
          </w:p>
          <w:p w14:paraId="2FA52ABC" w14:textId="77777777" w:rsidR="00696AAD" w:rsidRDefault="00696AAD" w:rsidP="00FE2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4706FE98" w14:textId="696E3FD4" w:rsidR="00696AAD" w:rsidRDefault="00696AAD" w:rsidP="00FE2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  <w:r>
              <w:rPr>
                <w:rFonts w:ascii="Century" w:hAnsi="Century"/>
                <w:b/>
                <w:color w:val="4472C4" w:themeColor="accent1"/>
              </w:rPr>
              <w:t>Ces analyses d’exécution budgétaire se situent d</w:t>
            </w:r>
            <w:r w:rsidR="00517D7B">
              <w:rPr>
                <w:rFonts w:ascii="Century" w:hAnsi="Century"/>
                <w:b/>
                <w:color w:val="4472C4" w:themeColor="accent1"/>
              </w:rPr>
              <w:t xml:space="preserve">ans le cadre de la préparation des rapports d’activités et de </w:t>
            </w:r>
            <w:r>
              <w:rPr>
                <w:rFonts w:ascii="Century" w:hAnsi="Century"/>
                <w:b/>
                <w:color w:val="4472C4" w:themeColor="accent1"/>
              </w:rPr>
              <w:t>gouvernance</w:t>
            </w:r>
            <w:r w:rsidR="00517D7B">
              <w:rPr>
                <w:rFonts w:ascii="Century" w:hAnsi="Century"/>
                <w:b/>
                <w:color w:val="4472C4" w:themeColor="accent1"/>
              </w:rPr>
              <w:t xml:space="preserve"> 2022</w:t>
            </w:r>
            <w:r w:rsidR="0093799C">
              <w:rPr>
                <w:rFonts w:ascii="Century" w:hAnsi="Century"/>
                <w:b/>
                <w:color w:val="4472C4" w:themeColor="accent1"/>
              </w:rPr>
              <w:t> ;</w:t>
            </w:r>
          </w:p>
          <w:p w14:paraId="6E9C79E8" w14:textId="77777777" w:rsidR="00696AAD" w:rsidRDefault="00696AAD" w:rsidP="00FE2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0A455E96" w14:textId="0D6DF12B" w:rsidR="0093799C" w:rsidRDefault="0013116F" w:rsidP="00FE2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  <w:r>
              <w:rPr>
                <w:rFonts w:ascii="Century" w:hAnsi="Century"/>
                <w:b/>
                <w:color w:val="4472C4" w:themeColor="accent1"/>
              </w:rPr>
              <w:t>La séance de travail a consisté a prendre connaisse de la proposition de l’UTAC sur les éléments de cadrage du projet de l’OTC-CI</w:t>
            </w:r>
          </w:p>
          <w:p w14:paraId="4C355502" w14:textId="77777777" w:rsidR="0013116F" w:rsidRDefault="0013116F" w:rsidP="00FE2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48430D1B" w14:textId="077FEBEC" w:rsidR="00422C27" w:rsidRDefault="00696AAD" w:rsidP="00FE2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  <w:r>
              <w:rPr>
                <w:rFonts w:ascii="Century" w:hAnsi="Century"/>
                <w:b/>
                <w:color w:val="4472C4" w:themeColor="accent1"/>
              </w:rPr>
              <w:t xml:space="preserve">Activité récurrente dans le processus de </w:t>
            </w:r>
            <w:r w:rsidR="00C13C5F">
              <w:rPr>
                <w:rFonts w:ascii="Century" w:hAnsi="Century"/>
                <w:b/>
                <w:color w:val="4472C4" w:themeColor="accent1"/>
              </w:rPr>
              <w:t>c</w:t>
            </w:r>
            <w:r>
              <w:rPr>
                <w:rFonts w:ascii="Century" w:hAnsi="Century"/>
                <w:b/>
                <w:color w:val="4472C4" w:themeColor="accent1"/>
              </w:rPr>
              <w:t>ontrôle budgétaire</w:t>
            </w:r>
            <w:r w:rsidR="0093799C">
              <w:rPr>
                <w:rFonts w:ascii="Century" w:hAnsi="Century"/>
                <w:b/>
                <w:color w:val="4472C4" w:themeColor="accent1"/>
              </w:rPr>
              <w:t> ;</w:t>
            </w:r>
            <w:r w:rsidR="00517D7B">
              <w:rPr>
                <w:rFonts w:ascii="Century" w:hAnsi="Century"/>
                <w:b/>
                <w:color w:val="4472C4" w:themeColor="accent1"/>
              </w:rPr>
              <w:t xml:space="preserve"> </w:t>
            </w:r>
          </w:p>
          <w:p w14:paraId="78BBAFC4" w14:textId="77777777" w:rsidR="00696AAD" w:rsidRDefault="00696AAD" w:rsidP="00E34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56E5CF1A" w14:textId="73EB9103" w:rsidR="00E34CE6" w:rsidRDefault="00E34CE6" w:rsidP="00E34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  <w:r>
              <w:rPr>
                <w:rFonts w:ascii="Century" w:hAnsi="Century"/>
                <w:b/>
                <w:color w:val="4472C4" w:themeColor="accent1"/>
              </w:rPr>
              <w:t xml:space="preserve">Poursuite de la rédaction des TDR sont relatives à la mise en œuvre de la stratégie du déploiement des bureaux régionaux de l’ARTI dans les différentes régions qui sont : Yamoussoukro, San Pedro, Korhogo dans le Court Termes et Bondoukou, Daloa, Man et Abengourou dans le Long Termes. </w:t>
            </w:r>
          </w:p>
          <w:p w14:paraId="3D99F8AD" w14:textId="77777777" w:rsidR="00E34CE6" w:rsidRDefault="00E34CE6" w:rsidP="00FE2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3C0AA668" w14:textId="2CB473B6" w:rsidR="000A2796" w:rsidRPr="00A86EFC" w:rsidRDefault="000A2796" w:rsidP="009147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</w:tc>
        <w:tc>
          <w:tcPr>
            <w:tcW w:w="3118" w:type="dxa"/>
          </w:tcPr>
          <w:p w14:paraId="6A553B39" w14:textId="572DDF29" w:rsidR="00263707" w:rsidRDefault="00263707" w:rsidP="0041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  <w:p w14:paraId="5677633D" w14:textId="77777777" w:rsidR="00CF5FE8" w:rsidRPr="00A92178" w:rsidRDefault="00CF5FE8" w:rsidP="00F10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</w:p>
          <w:p w14:paraId="19B75C81" w14:textId="77777777" w:rsidR="00CF5FE8" w:rsidRPr="00A92178" w:rsidRDefault="00CF5FE8" w:rsidP="00F10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</w:p>
          <w:p w14:paraId="6BB03530" w14:textId="31E83272" w:rsidR="00CF5FE8" w:rsidRPr="00A92178" w:rsidRDefault="00CF5FE8" w:rsidP="00F10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  <w:r w:rsidRPr="00A92178">
              <w:rPr>
                <w:rFonts w:ascii="Century" w:hAnsi="Century"/>
                <w:lang w:val="fr-CI"/>
              </w:rPr>
              <w:t>N/A</w:t>
            </w:r>
          </w:p>
          <w:p w14:paraId="1DFCE931" w14:textId="77777777" w:rsidR="00CF5FE8" w:rsidRPr="00A92178" w:rsidRDefault="00CF5FE8" w:rsidP="00F10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</w:p>
          <w:p w14:paraId="095C5A25" w14:textId="77777777" w:rsidR="00CF5FE8" w:rsidRPr="00A92178" w:rsidRDefault="00CF5FE8" w:rsidP="00F10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</w:p>
          <w:p w14:paraId="4837EB53" w14:textId="0C0ECA4E" w:rsidR="000A1299" w:rsidRDefault="0093799C" w:rsidP="00937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  <w:r>
              <w:rPr>
                <w:rFonts w:ascii="Century" w:hAnsi="Century"/>
                <w:lang w:val="fr-CI"/>
              </w:rPr>
              <w:lastRenderedPageBreak/>
              <w:t>Génération des données de test des modules suivi du personnel et suivi des activités</w:t>
            </w:r>
            <w:r>
              <w:rPr>
                <w:rFonts w:ascii="Century" w:hAnsi="Century"/>
                <w:lang w:val="fr-CI"/>
              </w:rPr>
              <w:t> ;</w:t>
            </w:r>
          </w:p>
          <w:p w14:paraId="03D5DE83" w14:textId="77777777" w:rsidR="000A1299" w:rsidRDefault="000A1299" w:rsidP="00F10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fr-CI"/>
              </w:rPr>
            </w:pPr>
          </w:p>
          <w:p w14:paraId="7297907D" w14:textId="5DA4F015" w:rsidR="000A1299" w:rsidRPr="0013116F" w:rsidRDefault="000A1299" w:rsidP="000A1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en-US"/>
              </w:rPr>
            </w:pPr>
            <w:r w:rsidRPr="0013116F">
              <w:rPr>
                <w:rFonts w:ascii="Century" w:hAnsi="Century"/>
                <w:lang w:val="en-US"/>
              </w:rPr>
              <w:t>N/A</w:t>
            </w:r>
          </w:p>
          <w:p w14:paraId="0D3FF382" w14:textId="77777777" w:rsidR="00E34CE6" w:rsidRPr="0013116F" w:rsidRDefault="00E34CE6" w:rsidP="000A1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en-US"/>
              </w:rPr>
            </w:pPr>
          </w:p>
          <w:p w14:paraId="2AC743D8" w14:textId="77777777" w:rsidR="00E34CE6" w:rsidRPr="0013116F" w:rsidRDefault="00E34CE6" w:rsidP="000A1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en-US"/>
              </w:rPr>
            </w:pPr>
          </w:p>
          <w:p w14:paraId="5E56972D" w14:textId="77777777" w:rsidR="00E34CE6" w:rsidRPr="0013116F" w:rsidRDefault="00E34CE6" w:rsidP="000A1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en-US"/>
              </w:rPr>
            </w:pPr>
          </w:p>
          <w:p w14:paraId="602C19CB" w14:textId="77777777" w:rsidR="00E34CE6" w:rsidRPr="0013116F" w:rsidRDefault="00E34CE6" w:rsidP="00E34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en-US"/>
              </w:rPr>
            </w:pPr>
            <w:r w:rsidRPr="0013116F">
              <w:rPr>
                <w:rFonts w:ascii="Century" w:hAnsi="Century"/>
                <w:lang w:val="en-US"/>
              </w:rPr>
              <w:t>N/A</w:t>
            </w:r>
          </w:p>
          <w:p w14:paraId="25487443" w14:textId="77777777" w:rsidR="00E34CE6" w:rsidRPr="0013116F" w:rsidRDefault="00E34CE6" w:rsidP="000A1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en-US"/>
              </w:rPr>
            </w:pPr>
          </w:p>
          <w:p w14:paraId="7A1D0E64" w14:textId="77777777" w:rsidR="000A1299" w:rsidRPr="0013116F" w:rsidRDefault="000A1299" w:rsidP="00F10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en-US"/>
              </w:rPr>
            </w:pPr>
          </w:p>
          <w:p w14:paraId="624F97C6" w14:textId="2B9035D7" w:rsidR="00696AAD" w:rsidRPr="0013116F" w:rsidRDefault="0013116F" w:rsidP="00F10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en-US"/>
              </w:rPr>
            </w:pPr>
            <w:r w:rsidRPr="0013116F">
              <w:rPr>
                <w:rFonts w:ascii="Century" w:hAnsi="Century"/>
                <w:lang w:val="en-US"/>
              </w:rPr>
              <w:t>N/A</w:t>
            </w:r>
          </w:p>
          <w:p w14:paraId="07EB5E0B" w14:textId="77777777" w:rsidR="0013116F" w:rsidRPr="0013116F" w:rsidRDefault="0013116F" w:rsidP="00F10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en-US"/>
              </w:rPr>
            </w:pPr>
          </w:p>
          <w:p w14:paraId="2C2334A2" w14:textId="77777777" w:rsidR="0013116F" w:rsidRPr="0013116F" w:rsidRDefault="0013116F" w:rsidP="00F10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en-US"/>
              </w:rPr>
            </w:pPr>
          </w:p>
          <w:p w14:paraId="6AED51A9" w14:textId="77777777" w:rsidR="0013116F" w:rsidRPr="0013116F" w:rsidRDefault="0013116F" w:rsidP="00F10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en-US"/>
              </w:rPr>
            </w:pPr>
          </w:p>
          <w:p w14:paraId="6A1ED5DE" w14:textId="5DA70164" w:rsidR="00696AAD" w:rsidRPr="0013116F" w:rsidRDefault="00696AAD" w:rsidP="00F10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en-US"/>
              </w:rPr>
            </w:pPr>
            <w:r w:rsidRPr="0013116F">
              <w:rPr>
                <w:rFonts w:ascii="Century" w:hAnsi="Century"/>
                <w:lang w:val="en-US"/>
              </w:rPr>
              <w:t>N/A</w:t>
            </w:r>
          </w:p>
          <w:p w14:paraId="56BEAE11" w14:textId="77777777" w:rsidR="006D0AEA" w:rsidRPr="0013116F" w:rsidRDefault="006D0AEA" w:rsidP="00F10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en-US"/>
              </w:rPr>
            </w:pPr>
          </w:p>
          <w:p w14:paraId="7131C65E" w14:textId="77777777" w:rsidR="006D0AEA" w:rsidRPr="0013116F" w:rsidRDefault="006D0AEA" w:rsidP="00F10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en-US"/>
              </w:rPr>
            </w:pPr>
          </w:p>
          <w:p w14:paraId="7F9EAC4F" w14:textId="441DA670" w:rsidR="006D0AEA" w:rsidRPr="0013116F" w:rsidRDefault="006D0AEA" w:rsidP="00F10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en-US"/>
              </w:rPr>
            </w:pPr>
            <w:r w:rsidRPr="0013116F">
              <w:rPr>
                <w:rFonts w:ascii="Century" w:hAnsi="Century"/>
                <w:lang w:val="en-US"/>
              </w:rPr>
              <w:t>N/A</w:t>
            </w:r>
          </w:p>
        </w:tc>
      </w:tr>
    </w:tbl>
    <w:p w14:paraId="3DD92FDE" w14:textId="77777777" w:rsidR="000A2796" w:rsidRPr="0013116F" w:rsidRDefault="000A2796" w:rsidP="00BA60C3">
      <w:pPr>
        <w:spacing w:after="160" w:line="259" w:lineRule="auto"/>
        <w:rPr>
          <w:lang w:val="en-US"/>
        </w:rPr>
      </w:pPr>
    </w:p>
    <w:p w14:paraId="50F5CB9D" w14:textId="7A08C778" w:rsidR="00CE1B53" w:rsidRPr="00BA60C3" w:rsidRDefault="00481F6D" w:rsidP="00BA60C3">
      <w:pPr>
        <w:spacing w:after="160" w:line="259" w:lineRule="auto"/>
      </w:pPr>
      <w:r w:rsidRPr="0013116F">
        <w:rPr>
          <w:lang w:val="en-US"/>
        </w:rPr>
        <w:br w:type="page"/>
      </w:r>
      <w:r w:rsidR="00CE1B53" w:rsidRPr="002D59C0">
        <w:rPr>
          <w:rFonts w:ascii="Century" w:hAnsi="Century"/>
          <w:b/>
          <w:sz w:val="28"/>
          <w:szCs w:val="28"/>
          <w:u w:val="single"/>
        </w:rPr>
        <w:lastRenderedPageBreak/>
        <w:t xml:space="preserve">Direction des Statistiques, des Études, de la Stratégie et de la Prospective </w:t>
      </w:r>
      <w:r w:rsidR="00B46BFF" w:rsidRPr="002D59C0">
        <w:rPr>
          <w:rFonts w:ascii="Century" w:hAnsi="Century"/>
          <w:b/>
          <w:sz w:val="28"/>
          <w:szCs w:val="28"/>
          <w:u w:val="single"/>
        </w:rPr>
        <w:t>(DSESP)</w:t>
      </w:r>
    </w:p>
    <w:p w14:paraId="5B387356" w14:textId="718C0007" w:rsidR="005A5D5C" w:rsidRPr="002D59C0" w:rsidRDefault="006841A7" w:rsidP="00CE1B53">
      <w:pPr>
        <w:rPr>
          <w:rFonts w:ascii="Century" w:hAnsi="Century"/>
          <w:b/>
          <w:sz w:val="24"/>
          <w:szCs w:val="24"/>
        </w:rPr>
      </w:pPr>
      <w:r>
        <w:rPr>
          <w:rFonts w:ascii="Century" w:hAnsi="Century"/>
          <w:b/>
          <w:sz w:val="18"/>
          <w:szCs w:val="18"/>
          <w:u w:val="single"/>
        </w:rPr>
        <w:br/>
      </w:r>
      <w:r w:rsidR="00CE1B53" w:rsidRPr="002D59C0">
        <w:rPr>
          <w:rFonts w:ascii="Century" w:hAnsi="Century"/>
          <w:b/>
          <w:sz w:val="24"/>
          <w:szCs w:val="24"/>
        </w:rPr>
        <w:t xml:space="preserve">Perspectives d’activités de la semaine du lundi </w:t>
      </w:r>
      <w:r w:rsidR="00220BF9">
        <w:rPr>
          <w:rFonts w:ascii="Century" w:hAnsi="Century"/>
          <w:b/>
          <w:sz w:val="24"/>
          <w:szCs w:val="24"/>
        </w:rPr>
        <w:t>2</w:t>
      </w:r>
      <w:r w:rsidR="00C2502D">
        <w:rPr>
          <w:rFonts w:ascii="Century" w:hAnsi="Century"/>
          <w:b/>
          <w:sz w:val="24"/>
          <w:szCs w:val="24"/>
        </w:rPr>
        <w:t>7</w:t>
      </w:r>
      <w:r w:rsidR="00CE1B53" w:rsidRPr="002D59C0">
        <w:rPr>
          <w:rFonts w:ascii="Century" w:hAnsi="Century"/>
          <w:b/>
          <w:sz w:val="24"/>
          <w:szCs w:val="24"/>
        </w:rPr>
        <w:t>/</w:t>
      </w:r>
      <w:r w:rsidR="00137370">
        <w:rPr>
          <w:rFonts w:ascii="Century" w:hAnsi="Century"/>
          <w:b/>
          <w:sz w:val="24"/>
          <w:szCs w:val="24"/>
        </w:rPr>
        <w:t>0</w:t>
      </w:r>
      <w:r w:rsidR="009D53E2">
        <w:rPr>
          <w:rFonts w:ascii="Century" w:hAnsi="Century"/>
          <w:b/>
          <w:sz w:val="24"/>
          <w:szCs w:val="24"/>
        </w:rPr>
        <w:t>3</w:t>
      </w:r>
      <w:r w:rsidR="00CE1B53" w:rsidRPr="002D59C0">
        <w:rPr>
          <w:rFonts w:ascii="Century" w:hAnsi="Century"/>
          <w:b/>
          <w:sz w:val="24"/>
          <w:szCs w:val="24"/>
        </w:rPr>
        <w:t>/202</w:t>
      </w:r>
      <w:r w:rsidR="00137370">
        <w:rPr>
          <w:rFonts w:ascii="Century" w:hAnsi="Century"/>
          <w:b/>
          <w:sz w:val="24"/>
          <w:szCs w:val="24"/>
        </w:rPr>
        <w:t>3</w:t>
      </w:r>
      <w:r w:rsidR="00CE1B53" w:rsidRPr="002D59C0">
        <w:rPr>
          <w:rFonts w:ascii="Century" w:hAnsi="Century"/>
          <w:b/>
          <w:sz w:val="24"/>
          <w:szCs w:val="24"/>
        </w:rPr>
        <w:t xml:space="preserve"> au vendredi </w:t>
      </w:r>
      <w:r w:rsidR="00C2502D">
        <w:rPr>
          <w:rFonts w:ascii="Century" w:hAnsi="Century"/>
          <w:b/>
          <w:sz w:val="24"/>
          <w:szCs w:val="24"/>
        </w:rPr>
        <w:t>31</w:t>
      </w:r>
      <w:r w:rsidR="00CE1B53" w:rsidRPr="002D59C0">
        <w:rPr>
          <w:rFonts w:ascii="Century" w:hAnsi="Century"/>
          <w:b/>
          <w:sz w:val="24"/>
          <w:szCs w:val="24"/>
        </w:rPr>
        <w:t>/</w:t>
      </w:r>
      <w:r w:rsidR="00137370">
        <w:rPr>
          <w:rFonts w:ascii="Century" w:hAnsi="Century"/>
          <w:b/>
          <w:sz w:val="24"/>
          <w:szCs w:val="24"/>
        </w:rPr>
        <w:t>0</w:t>
      </w:r>
      <w:r w:rsidR="0027232B">
        <w:rPr>
          <w:rFonts w:ascii="Century" w:hAnsi="Century"/>
          <w:b/>
          <w:sz w:val="24"/>
          <w:szCs w:val="24"/>
        </w:rPr>
        <w:t>3</w:t>
      </w:r>
      <w:r w:rsidR="00CE1B53" w:rsidRPr="002D59C0">
        <w:rPr>
          <w:rFonts w:ascii="Century" w:hAnsi="Century"/>
          <w:b/>
          <w:sz w:val="24"/>
          <w:szCs w:val="24"/>
        </w:rPr>
        <w:t>/202</w:t>
      </w:r>
      <w:r w:rsidR="00137370">
        <w:rPr>
          <w:rFonts w:ascii="Century" w:hAnsi="Century"/>
          <w:b/>
          <w:sz w:val="24"/>
          <w:szCs w:val="24"/>
        </w:rPr>
        <w:t>3</w:t>
      </w:r>
      <w:r w:rsidR="00CE1B53" w:rsidRPr="002D59C0">
        <w:rPr>
          <w:rFonts w:ascii="Century" w:hAnsi="Century"/>
          <w:b/>
          <w:sz w:val="24"/>
          <w:szCs w:val="24"/>
        </w:rPr>
        <w:t xml:space="preserve"> </w:t>
      </w:r>
      <w:r>
        <w:rPr>
          <w:rFonts w:ascii="Century" w:hAnsi="Century"/>
          <w:b/>
          <w:sz w:val="24"/>
          <w:szCs w:val="24"/>
        </w:rPr>
        <w:br/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8075"/>
        <w:gridCol w:w="3686"/>
        <w:gridCol w:w="2187"/>
      </w:tblGrid>
      <w:tr w:rsidR="002D59C0" w:rsidRPr="002D59C0" w14:paraId="7F7884B0" w14:textId="77777777" w:rsidTr="007C5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hideMark/>
          </w:tcPr>
          <w:p w14:paraId="45322D61" w14:textId="77777777" w:rsidR="009F7B01" w:rsidRPr="002D59C0" w:rsidRDefault="009F7B01">
            <w:pPr>
              <w:jc w:val="center"/>
              <w:rPr>
                <w:rFonts w:ascii="Century" w:hAnsi="Century"/>
                <w:b w:val="0"/>
                <w:bCs/>
              </w:rPr>
            </w:pPr>
            <w:r w:rsidRPr="002D59C0">
              <w:rPr>
                <w:rFonts w:ascii="Century" w:hAnsi="Century"/>
              </w:rPr>
              <w:t>Rapport d’</w:t>
            </w:r>
            <w:r w:rsidRPr="002D59C0">
              <w:rPr>
                <w:rFonts w:ascii="Century" w:hAnsi="Century"/>
                <w:b w:val="0"/>
              </w:rPr>
              <w:t>a</w:t>
            </w:r>
            <w:r w:rsidRPr="002D59C0">
              <w:rPr>
                <w:rFonts w:ascii="Century" w:hAnsi="Century"/>
              </w:rPr>
              <w:t>ctivités hebdomadaires prioritaires</w:t>
            </w:r>
          </w:p>
        </w:tc>
        <w:tc>
          <w:tcPr>
            <w:tcW w:w="3686" w:type="dxa"/>
            <w:hideMark/>
          </w:tcPr>
          <w:p w14:paraId="3103C598" w14:textId="77777777" w:rsidR="009F7B01" w:rsidRPr="002D59C0" w:rsidRDefault="009F7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 w:val="0"/>
                <w:bCs/>
              </w:rPr>
            </w:pPr>
            <w:r w:rsidRPr="002D59C0">
              <w:rPr>
                <w:rFonts w:ascii="Century" w:hAnsi="Century"/>
              </w:rPr>
              <w:t xml:space="preserve">Faits marquants et résultats </w:t>
            </w:r>
          </w:p>
        </w:tc>
        <w:tc>
          <w:tcPr>
            <w:tcW w:w="2187" w:type="dxa"/>
          </w:tcPr>
          <w:p w14:paraId="78C02C83" w14:textId="77777777" w:rsidR="009F7B01" w:rsidRPr="002D59C0" w:rsidRDefault="009F7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 w:rsidRPr="002D59C0">
              <w:rPr>
                <w:rFonts w:ascii="Century" w:hAnsi="Century"/>
              </w:rPr>
              <w:t xml:space="preserve">Observations </w:t>
            </w:r>
          </w:p>
        </w:tc>
      </w:tr>
      <w:tr w:rsidR="002D59C0" w:rsidRPr="002D59C0" w14:paraId="3C9A00B6" w14:textId="77777777" w:rsidTr="007C5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2E9D98C2" w14:textId="77777777" w:rsidR="00072F7E" w:rsidRDefault="00072F7E" w:rsidP="006841A7">
            <w:pPr>
              <w:rPr>
                <w:rFonts w:ascii="Century" w:hAnsi="Century"/>
                <w:b w:val="0"/>
                <w:bCs/>
              </w:rPr>
            </w:pPr>
          </w:p>
          <w:p w14:paraId="0F627D9D" w14:textId="03E73BF4" w:rsidR="00E96871" w:rsidRPr="002D59C0" w:rsidRDefault="009F7B01" w:rsidP="006841A7">
            <w:pPr>
              <w:rPr>
                <w:rFonts w:ascii="Century" w:hAnsi="Century"/>
                <w:b w:val="0"/>
                <w:bCs/>
              </w:rPr>
            </w:pPr>
            <w:r w:rsidRPr="002D59C0">
              <w:rPr>
                <w:rFonts w:ascii="Century" w:hAnsi="Century"/>
              </w:rPr>
              <w:t xml:space="preserve">Lundi </w:t>
            </w:r>
            <w:r w:rsidR="00220BF9">
              <w:rPr>
                <w:rFonts w:ascii="Century" w:hAnsi="Century"/>
              </w:rPr>
              <w:t>2</w:t>
            </w:r>
            <w:r w:rsidR="00C2502D">
              <w:rPr>
                <w:rFonts w:ascii="Century" w:hAnsi="Century"/>
              </w:rPr>
              <w:t>7</w:t>
            </w:r>
            <w:r w:rsidRPr="002D59C0">
              <w:rPr>
                <w:rFonts w:ascii="Century" w:hAnsi="Century"/>
              </w:rPr>
              <w:t>/</w:t>
            </w:r>
            <w:r w:rsidR="00CB0A6B">
              <w:rPr>
                <w:rFonts w:ascii="Century" w:hAnsi="Century"/>
              </w:rPr>
              <w:t>0</w:t>
            </w:r>
            <w:r w:rsidR="009D53E2">
              <w:rPr>
                <w:rFonts w:ascii="Century" w:hAnsi="Century"/>
              </w:rPr>
              <w:t>3</w:t>
            </w:r>
            <w:r w:rsidRPr="002D59C0">
              <w:rPr>
                <w:rFonts w:ascii="Century" w:hAnsi="Century"/>
              </w:rPr>
              <w:t>/202</w:t>
            </w:r>
            <w:r w:rsidR="00CB0A6B">
              <w:rPr>
                <w:rFonts w:ascii="Century" w:hAnsi="Century"/>
              </w:rPr>
              <w:t>3</w:t>
            </w:r>
          </w:p>
          <w:p w14:paraId="033A9822" w14:textId="77777777" w:rsidR="00FE236E" w:rsidRDefault="00FE236E" w:rsidP="002A010F">
            <w:pPr>
              <w:ind w:left="708"/>
              <w:rPr>
                <w:rFonts w:ascii="Century" w:hAnsi="Century"/>
              </w:rPr>
            </w:pPr>
          </w:p>
          <w:p w14:paraId="2B05C6AC" w14:textId="22D113C5" w:rsidR="00FE236E" w:rsidRDefault="00F16A09" w:rsidP="002A010F">
            <w:pPr>
              <w:ind w:left="708"/>
              <w:rPr>
                <w:rFonts w:ascii="Century" w:hAnsi="Century"/>
              </w:rPr>
            </w:pPr>
            <w:r>
              <w:rPr>
                <w:rFonts w:ascii="Century" w:hAnsi="Century"/>
                <w:b w:val="0"/>
                <w:bCs/>
              </w:rPr>
              <w:t>Application de pointage et suivi des activités</w:t>
            </w:r>
            <w:r w:rsidR="00A80E0E">
              <w:rPr>
                <w:rFonts w:ascii="Century" w:hAnsi="Century"/>
                <w:b w:val="0"/>
                <w:bCs/>
              </w:rPr>
              <w:t> ;</w:t>
            </w:r>
          </w:p>
          <w:p w14:paraId="19FABAC4" w14:textId="77777777" w:rsidR="00A80E0E" w:rsidRDefault="00A80E0E" w:rsidP="00497DA1">
            <w:pPr>
              <w:rPr>
                <w:rFonts w:ascii="Century" w:hAnsi="Century"/>
              </w:rPr>
            </w:pPr>
          </w:p>
          <w:p w14:paraId="70C73DFB" w14:textId="2B0E436D" w:rsidR="00FB347A" w:rsidRDefault="00FB347A" w:rsidP="002A010F">
            <w:pPr>
              <w:ind w:left="708"/>
              <w:rPr>
                <w:rFonts w:ascii="Century" w:hAnsi="Century"/>
              </w:rPr>
            </w:pPr>
            <w:r w:rsidRPr="00FB347A">
              <w:rPr>
                <w:rFonts w:ascii="Century" w:hAnsi="Century"/>
                <w:b w:val="0"/>
                <w:bCs/>
              </w:rPr>
              <w:t>Suivi budgétaire dans le processus des achats des bien</w:t>
            </w:r>
            <w:r>
              <w:rPr>
                <w:rFonts w:ascii="Century" w:hAnsi="Century"/>
                <w:b w:val="0"/>
                <w:bCs/>
              </w:rPr>
              <w:t>s et</w:t>
            </w:r>
            <w:r w:rsidRPr="00FB347A">
              <w:rPr>
                <w:rFonts w:ascii="Century" w:hAnsi="Century"/>
                <w:b w:val="0"/>
                <w:bCs/>
              </w:rPr>
              <w:t xml:space="preserve"> services</w:t>
            </w:r>
            <w:r>
              <w:rPr>
                <w:rFonts w:ascii="Century" w:hAnsi="Century"/>
                <w:b w:val="0"/>
                <w:bCs/>
              </w:rPr>
              <w:t xml:space="preserve"> (DAAF, DMGP, DGPEC)</w:t>
            </w:r>
            <w:r w:rsidR="00F167CB">
              <w:rPr>
                <w:rFonts w:ascii="Century" w:hAnsi="Century"/>
                <w:b w:val="0"/>
                <w:bCs/>
              </w:rPr>
              <w:t>.</w:t>
            </w:r>
          </w:p>
          <w:p w14:paraId="48185A2B" w14:textId="6947F8AA" w:rsidR="00D7554D" w:rsidRDefault="00D7554D" w:rsidP="002A010F">
            <w:pPr>
              <w:ind w:left="708"/>
              <w:rPr>
                <w:rFonts w:ascii="Century" w:hAnsi="Century"/>
              </w:rPr>
            </w:pPr>
          </w:p>
          <w:p w14:paraId="091B71D2" w14:textId="7CEA3384" w:rsidR="00D7554D" w:rsidRDefault="00D7554D" w:rsidP="002A010F">
            <w:pPr>
              <w:ind w:left="708"/>
              <w:rPr>
                <w:rFonts w:ascii="Century" w:hAnsi="Century"/>
              </w:rPr>
            </w:pPr>
          </w:p>
          <w:p w14:paraId="3FC751EE" w14:textId="5C9EDE6B" w:rsidR="00D7554D" w:rsidRDefault="00D7554D" w:rsidP="002A010F">
            <w:pPr>
              <w:ind w:left="708"/>
              <w:rPr>
                <w:rFonts w:ascii="Century" w:hAnsi="Century"/>
              </w:rPr>
            </w:pPr>
          </w:p>
          <w:p w14:paraId="55C7893C" w14:textId="62E89EE2" w:rsidR="00D7554D" w:rsidRDefault="00D7554D" w:rsidP="002A010F">
            <w:pPr>
              <w:ind w:left="708"/>
              <w:rPr>
                <w:rFonts w:ascii="Century" w:hAnsi="Century"/>
              </w:rPr>
            </w:pPr>
          </w:p>
          <w:p w14:paraId="60550C47" w14:textId="77777777" w:rsidR="0099667B" w:rsidRDefault="0099667B" w:rsidP="008177B3">
            <w:pPr>
              <w:ind w:left="708"/>
              <w:rPr>
                <w:rFonts w:ascii="Century" w:hAnsi="Century"/>
              </w:rPr>
            </w:pPr>
          </w:p>
          <w:p w14:paraId="53BFC4B2" w14:textId="6CA2A7F9" w:rsidR="0099667B" w:rsidRPr="002A010F" w:rsidRDefault="0099667B" w:rsidP="008177B3">
            <w:pPr>
              <w:ind w:left="708"/>
              <w:rPr>
                <w:rFonts w:ascii="Century" w:hAnsi="Century"/>
                <w:b w:val="0"/>
                <w:bCs/>
              </w:rPr>
            </w:pPr>
          </w:p>
        </w:tc>
        <w:tc>
          <w:tcPr>
            <w:tcW w:w="3686" w:type="dxa"/>
          </w:tcPr>
          <w:p w14:paraId="7EE9BDB9" w14:textId="77777777" w:rsidR="009F7B01" w:rsidRPr="002758DA" w:rsidRDefault="009F7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219516A6" w14:textId="77777777" w:rsidR="009F7B01" w:rsidRDefault="009F7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671FFE1C" w14:textId="77777777" w:rsidR="00263707" w:rsidRDefault="00263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10EA4BEB" w14:textId="7CD6A748" w:rsidR="00263707" w:rsidRDefault="002C3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  <w:r>
              <w:rPr>
                <w:rFonts w:ascii="Century" w:hAnsi="Century"/>
                <w:b/>
                <w:color w:val="4472C4" w:themeColor="accent1"/>
              </w:rPr>
              <w:t>Poursuite de l’élaboration ;</w:t>
            </w:r>
          </w:p>
          <w:p w14:paraId="523D121E" w14:textId="77777777" w:rsidR="00263707" w:rsidRDefault="00263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6C7FAB0D" w14:textId="77777777" w:rsidR="00263707" w:rsidRDefault="00A8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  <w:lang w:val="fr-CI"/>
              </w:rPr>
            </w:pPr>
            <w:r w:rsidRPr="00447B18">
              <w:rPr>
                <w:rFonts w:ascii="Century" w:hAnsi="Century"/>
                <w:b/>
                <w:color w:val="4472C4" w:themeColor="accent1"/>
                <w:lang w:val="fr-CI"/>
              </w:rPr>
              <w:t>Activité récurrente dans le processus des achats et de budgétisation des engagements en relation avec la DMGP et la DAAF. Des régularisations des bons de commandes ont été effectuées</w:t>
            </w:r>
            <w:r w:rsidR="002C39EE">
              <w:rPr>
                <w:rFonts w:ascii="Century" w:hAnsi="Century"/>
                <w:b/>
                <w:color w:val="4472C4" w:themeColor="accent1"/>
                <w:lang w:val="fr-CI"/>
              </w:rPr>
              <w:t>.</w:t>
            </w:r>
          </w:p>
          <w:p w14:paraId="682052F9" w14:textId="184A1120" w:rsidR="002C39EE" w:rsidRPr="002758DA" w:rsidRDefault="002C3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</w:tc>
        <w:tc>
          <w:tcPr>
            <w:tcW w:w="2187" w:type="dxa"/>
          </w:tcPr>
          <w:p w14:paraId="5849C36B" w14:textId="77777777" w:rsidR="009F7B01" w:rsidRDefault="009F7B01" w:rsidP="00263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  <w:p w14:paraId="014A15D9" w14:textId="77777777" w:rsidR="00263707" w:rsidRDefault="00263707" w:rsidP="00263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  <w:p w14:paraId="0DAD1DF7" w14:textId="77777777" w:rsidR="00263707" w:rsidRDefault="00263707" w:rsidP="00263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  <w:p w14:paraId="0DB27B33" w14:textId="1E60E205" w:rsidR="00263707" w:rsidRDefault="002C39EE" w:rsidP="00263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N/A</w:t>
            </w:r>
          </w:p>
          <w:p w14:paraId="4027F1E8" w14:textId="77777777" w:rsidR="00263707" w:rsidRDefault="00263707" w:rsidP="00263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  <w:p w14:paraId="0CBD17C4" w14:textId="5C5966C0" w:rsidR="002C39EE" w:rsidRDefault="002C39EE" w:rsidP="00263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  <w:p w14:paraId="6CC7CB2F" w14:textId="47CAB872" w:rsidR="00CD698C" w:rsidRDefault="00CD698C" w:rsidP="00263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  <w:p w14:paraId="4712B652" w14:textId="33E93784" w:rsidR="00CD698C" w:rsidRDefault="00CD698C" w:rsidP="00263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  <w:p w14:paraId="3B1C0288" w14:textId="15B07FE7" w:rsidR="002C39EE" w:rsidRPr="002D59C0" w:rsidRDefault="002C39EE" w:rsidP="00263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N/A</w:t>
            </w:r>
          </w:p>
        </w:tc>
      </w:tr>
      <w:tr w:rsidR="002D59C0" w:rsidRPr="002D59C0" w14:paraId="6FB5E931" w14:textId="77777777" w:rsidTr="007C5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09CF3173" w14:textId="77777777" w:rsidR="00072F7E" w:rsidRDefault="00072F7E" w:rsidP="006841A7">
            <w:pPr>
              <w:rPr>
                <w:rFonts w:ascii="Century" w:hAnsi="Century"/>
                <w:b w:val="0"/>
                <w:bCs/>
              </w:rPr>
            </w:pPr>
          </w:p>
          <w:p w14:paraId="568A874E" w14:textId="187EB3D3" w:rsidR="00FD33EB" w:rsidRPr="004C02EC" w:rsidRDefault="009F7B01" w:rsidP="00885905">
            <w:pPr>
              <w:rPr>
                <w:rFonts w:ascii="Century" w:hAnsi="Century"/>
                <w:b w:val="0"/>
                <w:bCs/>
              </w:rPr>
            </w:pPr>
            <w:r w:rsidRPr="002D59C0">
              <w:rPr>
                <w:rFonts w:ascii="Century" w:hAnsi="Century"/>
              </w:rPr>
              <w:t xml:space="preserve">Mardi </w:t>
            </w:r>
            <w:r w:rsidR="00220BF9">
              <w:rPr>
                <w:rFonts w:ascii="Century" w:hAnsi="Century"/>
              </w:rPr>
              <w:t>2</w:t>
            </w:r>
            <w:r w:rsidR="00C2502D">
              <w:rPr>
                <w:rFonts w:ascii="Century" w:hAnsi="Century"/>
              </w:rPr>
              <w:t>8</w:t>
            </w:r>
            <w:r w:rsidRPr="002D59C0">
              <w:rPr>
                <w:rFonts w:ascii="Century" w:hAnsi="Century"/>
              </w:rPr>
              <w:t>/</w:t>
            </w:r>
            <w:r w:rsidR="00CB0A6B">
              <w:rPr>
                <w:rFonts w:ascii="Century" w:hAnsi="Century"/>
              </w:rPr>
              <w:t>0</w:t>
            </w:r>
            <w:r w:rsidR="007A5F8D">
              <w:rPr>
                <w:rFonts w:ascii="Century" w:hAnsi="Century"/>
              </w:rPr>
              <w:t>3</w:t>
            </w:r>
            <w:r w:rsidRPr="002D59C0">
              <w:rPr>
                <w:rFonts w:ascii="Century" w:hAnsi="Century"/>
              </w:rPr>
              <w:t>/202</w:t>
            </w:r>
            <w:r w:rsidR="00CB0A6B">
              <w:rPr>
                <w:rFonts w:ascii="Century" w:hAnsi="Century"/>
              </w:rPr>
              <w:t>3</w:t>
            </w:r>
          </w:p>
          <w:p w14:paraId="166FC250" w14:textId="614A03E1" w:rsidR="00084058" w:rsidRDefault="00084058" w:rsidP="002608F1">
            <w:pPr>
              <w:ind w:left="708"/>
              <w:rPr>
                <w:rFonts w:ascii="Century" w:hAnsi="Century"/>
                <w:b w:val="0"/>
                <w:bCs/>
              </w:rPr>
            </w:pPr>
          </w:p>
          <w:p w14:paraId="6F83C592" w14:textId="52FF28B2" w:rsidR="00062745" w:rsidRDefault="00062745" w:rsidP="002608F1">
            <w:pPr>
              <w:ind w:left="708"/>
              <w:rPr>
                <w:rFonts w:ascii="Century" w:hAnsi="Century"/>
              </w:rPr>
            </w:pPr>
            <w:r w:rsidRPr="00062745">
              <w:rPr>
                <w:rFonts w:ascii="Century" w:hAnsi="Century"/>
                <w:b w:val="0"/>
                <w:bCs/>
              </w:rPr>
              <w:t>Revue du projet de convention pour la prise en compte des éventuelles modifications du document de cadrage de l’offre de la SOTRA</w:t>
            </w:r>
          </w:p>
          <w:p w14:paraId="21C90EF4" w14:textId="394F7BC3" w:rsidR="00E158B8" w:rsidRDefault="00E158B8" w:rsidP="002608F1">
            <w:pPr>
              <w:ind w:left="708"/>
              <w:rPr>
                <w:rFonts w:ascii="Century" w:hAnsi="Century"/>
              </w:rPr>
            </w:pPr>
          </w:p>
          <w:p w14:paraId="268C2D57" w14:textId="534485DC" w:rsidR="00E158B8" w:rsidRPr="00E158B8" w:rsidRDefault="00E158B8" w:rsidP="00E158B8">
            <w:pPr>
              <w:ind w:left="708"/>
              <w:rPr>
                <w:rFonts w:ascii="Century" w:hAnsi="Century"/>
                <w:b w:val="0"/>
                <w:bCs/>
              </w:rPr>
            </w:pPr>
            <w:r w:rsidRPr="00E158B8">
              <w:rPr>
                <w:rFonts w:ascii="Century" w:hAnsi="Century"/>
                <w:b w:val="0"/>
                <w:bCs/>
              </w:rPr>
              <w:t xml:space="preserve">‘’Forum du Développement Durable’’ </w:t>
            </w:r>
          </w:p>
          <w:p w14:paraId="394BA881" w14:textId="3F3CC17C" w:rsidR="00E158B8" w:rsidRDefault="00E158B8" w:rsidP="00E158B8">
            <w:pPr>
              <w:ind w:left="708"/>
              <w:rPr>
                <w:rFonts w:ascii="Century" w:hAnsi="Century"/>
              </w:rPr>
            </w:pPr>
            <w:r w:rsidRPr="00E158B8">
              <w:rPr>
                <w:rFonts w:ascii="Century" w:hAnsi="Century"/>
                <w:b w:val="0"/>
                <w:bCs/>
              </w:rPr>
              <w:t>Organisé par le Réseau Ivoirien des Communicateurs pour l’Environnement et le Développement Durable (RICED)</w:t>
            </w:r>
          </w:p>
          <w:p w14:paraId="18D77EC7" w14:textId="1E2762C6" w:rsidR="00A60306" w:rsidRDefault="00A60306" w:rsidP="00E158B8">
            <w:pPr>
              <w:ind w:left="708"/>
              <w:rPr>
                <w:rFonts w:ascii="Century" w:hAnsi="Century"/>
              </w:rPr>
            </w:pPr>
          </w:p>
          <w:p w14:paraId="68050E88" w14:textId="17D887B8" w:rsidR="00A60306" w:rsidRPr="00062745" w:rsidRDefault="00A60306" w:rsidP="00E158B8">
            <w:pPr>
              <w:ind w:left="708"/>
              <w:rPr>
                <w:rFonts w:ascii="Century" w:hAnsi="Century"/>
                <w:b w:val="0"/>
                <w:bCs/>
              </w:rPr>
            </w:pPr>
            <w:r>
              <w:rPr>
                <w:rFonts w:ascii="Century" w:hAnsi="Century"/>
                <w:b w:val="0"/>
                <w:bCs/>
              </w:rPr>
              <w:t xml:space="preserve">Participation à la Grande réunion </w:t>
            </w:r>
            <w:r w:rsidR="00A33CB1">
              <w:rPr>
                <w:rFonts w:ascii="Century" w:hAnsi="Century"/>
                <w:b w:val="0"/>
                <w:bCs/>
              </w:rPr>
              <w:t>à la 4</w:t>
            </w:r>
            <w:r w:rsidR="00A33CB1" w:rsidRPr="00A33CB1">
              <w:rPr>
                <w:rFonts w:ascii="Century" w:hAnsi="Century"/>
                <w:b w:val="0"/>
                <w:bCs/>
                <w:vertAlign w:val="superscript"/>
              </w:rPr>
              <w:t>ème</w:t>
            </w:r>
            <w:r w:rsidR="00A33CB1">
              <w:rPr>
                <w:rFonts w:ascii="Century" w:hAnsi="Century"/>
                <w:b w:val="0"/>
                <w:bCs/>
              </w:rPr>
              <w:t xml:space="preserve"> session de la Grande Commission mixte </w:t>
            </w:r>
            <w:r w:rsidR="00163C3D">
              <w:rPr>
                <w:rFonts w:ascii="Century" w:hAnsi="Century"/>
                <w:b w:val="0"/>
                <w:bCs/>
              </w:rPr>
              <w:t>de coopération entre Côte d’Ivoire et Mali</w:t>
            </w:r>
          </w:p>
          <w:p w14:paraId="768740D6" w14:textId="3DCF44D5" w:rsidR="00062745" w:rsidRPr="00062745" w:rsidRDefault="00062745" w:rsidP="002608F1">
            <w:pPr>
              <w:ind w:left="708"/>
              <w:rPr>
                <w:rFonts w:ascii="Century" w:hAnsi="Century"/>
              </w:rPr>
            </w:pPr>
          </w:p>
          <w:p w14:paraId="53907938" w14:textId="77777777" w:rsidR="00062745" w:rsidRDefault="00062745" w:rsidP="002608F1">
            <w:pPr>
              <w:ind w:left="708"/>
              <w:rPr>
                <w:rFonts w:ascii="Century" w:hAnsi="Century"/>
              </w:rPr>
            </w:pPr>
          </w:p>
          <w:p w14:paraId="4D91CC22" w14:textId="5D3D64DE" w:rsidR="008B6942" w:rsidRDefault="008B6942" w:rsidP="002608F1">
            <w:pPr>
              <w:ind w:left="708"/>
              <w:rPr>
                <w:rFonts w:ascii="Century" w:hAnsi="Century"/>
              </w:rPr>
            </w:pPr>
            <w:r w:rsidRPr="006F6FD4">
              <w:rPr>
                <w:rFonts w:ascii="Century" w:hAnsi="Century"/>
                <w:b w:val="0"/>
                <w:bCs/>
              </w:rPr>
              <w:t>Séance de travail avec les services des impôts sur la parafiscalité</w:t>
            </w:r>
            <w:r>
              <w:rPr>
                <w:rFonts w:ascii="Century" w:hAnsi="Century"/>
                <w:b w:val="0"/>
                <w:bCs/>
              </w:rPr>
              <w:t xml:space="preserve"> proposée à l’annexe fiscale 2022</w:t>
            </w:r>
            <w:r w:rsidR="00F167CB">
              <w:rPr>
                <w:rFonts w:ascii="Century" w:hAnsi="Century"/>
                <w:b w:val="0"/>
                <w:bCs/>
              </w:rPr>
              <w:t>.</w:t>
            </w:r>
          </w:p>
          <w:p w14:paraId="5E4A9F1E" w14:textId="6FC717C3" w:rsidR="002C046D" w:rsidRDefault="002C046D" w:rsidP="002608F1">
            <w:pPr>
              <w:ind w:left="708"/>
              <w:rPr>
                <w:rFonts w:ascii="Century" w:hAnsi="Century"/>
              </w:rPr>
            </w:pPr>
          </w:p>
          <w:p w14:paraId="43E79A30" w14:textId="2712F124" w:rsidR="002C046D" w:rsidRDefault="002C046D" w:rsidP="002608F1">
            <w:pPr>
              <w:ind w:left="708"/>
              <w:rPr>
                <w:rFonts w:ascii="Century" w:hAnsi="Century"/>
              </w:rPr>
            </w:pPr>
          </w:p>
          <w:p w14:paraId="760405EC" w14:textId="608D11ED" w:rsidR="00354931" w:rsidRPr="005D31A8" w:rsidRDefault="00354931" w:rsidP="003D2BD4">
            <w:pPr>
              <w:rPr>
                <w:rFonts w:ascii="Century" w:hAnsi="Century"/>
                <w:b w:val="0"/>
                <w:bCs/>
              </w:rPr>
            </w:pPr>
          </w:p>
        </w:tc>
        <w:tc>
          <w:tcPr>
            <w:tcW w:w="3686" w:type="dxa"/>
          </w:tcPr>
          <w:p w14:paraId="136431A3" w14:textId="77777777" w:rsidR="009F7B01" w:rsidRPr="002758DA" w:rsidRDefault="009F7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59DBB9F7" w14:textId="5D7A1305" w:rsidR="002D59C0" w:rsidRPr="002758DA" w:rsidRDefault="002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3B6181A3" w14:textId="77777777" w:rsidR="009F7B01" w:rsidRDefault="009F7B01" w:rsidP="004E4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58233EF5" w14:textId="77777777" w:rsidR="002608F1" w:rsidRDefault="002608F1" w:rsidP="004E4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509F577A" w14:textId="56015AC2" w:rsidR="00AC71F0" w:rsidRPr="002758DA" w:rsidRDefault="00AC71F0" w:rsidP="003D2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</w:tc>
        <w:tc>
          <w:tcPr>
            <w:tcW w:w="2187" w:type="dxa"/>
          </w:tcPr>
          <w:p w14:paraId="6BDB968E" w14:textId="77777777" w:rsidR="009F7B01" w:rsidRDefault="009F7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  <w:p w14:paraId="3F8CDEF7" w14:textId="77777777" w:rsidR="006C7B8A" w:rsidRDefault="006C7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  <w:p w14:paraId="68ED7C76" w14:textId="77777777" w:rsidR="006C7B8A" w:rsidRDefault="006C7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  <w:p w14:paraId="3BB0700D" w14:textId="77777777" w:rsidR="006C7B8A" w:rsidRDefault="006C7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  <w:p w14:paraId="0BEBCA20" w14:textId="544AC1F1" w:rsidR="006C7B8A" w:rsidRPr="002D59C0" w:rsidRDefault="006C7B8A" w:rsidP="00885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</w:tc>
      </w:tr>
      <w:tr w:rsidR="002D59C0" w:rsidRPr="002D59C0" w14:paraId="20600B13" w14:textId="77777777" w:rsidTr="007C5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233639AA" w14:textId="77777777" w:rsidR="00072F7E" w:rsidRDefault="00072F7E" w:rsidP="006841A7">
            <w:pPr>
              <w:rPr>
                <w:rFonts w:ascii="Century" w:hAnsi="Century"/>
                <w:b w:val="0"/>
                <w:bCs/>
              </w:rPr>
            </w:pPr>
          </w:p>
          <w:p w14:paraId="09173237" w14:textId="603E4111" w:rsidR="009F7B01" w:rsidRDefault="009F7B01" w:rsidP="006841A7">
            <w:pPr>
              <w:rPr>
                <w:rFonts w:ascii="Century" w:hAnsi="Century"/>
                <w:b w:val="0"/>
                <w:bCs/>
              </w:rPr>
            </w:pPr>
            <w:r w:rsidRPr="002D59C0">
              <w:rPr>
                <w:rFonts w:ascii="Century" w:hAnsi="Century"/>
              </w:rPr>
              <w:t xml:space="preserve">Mercredi </w:t>
            </w:r>
            <w:r w:rsidR="00220BF9">
              <w:rPr>
                <w:rFonts w:ascii="Century" w:hAnsi="Century"/>
              </w:rPr>
              <w:t>2</w:t>
            </w:r>
            <w:r w:rsidR="00C2502D">
              <w:rPr>
                <w:rFonts w:ascii="Century" w:hAnsi="Century"/>
              </w:rPr>
              <w:t>9</w:t>
            </w:r>
            <w:r w:rsidRPr="002D59C0">
              <w:rPr>
                <w:rFonts w:ascii="Century" w:hAnsi="Century"/>
              </w:rPr>
              <w:t>/</w:t>
            </w:r>
            <w:r w:rsidR="00CB0A6B">
              <w:rPr>
                <w:rFonts w:ascii="Century" w:hAnsi="Century"/>
              </w:rPr>
              <w:t>0</w:t>
            </w:r>
            <w:r w:rsidR="0027232B">
              <w:rPr>
                <w:rFonts w:ascii="Century" w:hAnsi="Century"/>
              </w:rPr>
              <w:t>3</w:t>
            </w:r>
            <w:r w:rsidRPr="002D59C0">
              <w:rPr>
                <w:rFonts w:ascii="Century" w:hAnsi="Century"/>
              </w:rPr>
              <w:t>/202</w:t>
            </w:r>
            <w:r w:rsidR="00CB0A6B">
              <w:rPr>
                <w:rFonts w:ascii="Century" w:hAnsi="Century"/>
              </w:rPr>
              <w:t>3</w:t>
            </w:r>
          </w:p>
          <w:p w14:paraId="32B073F7" w14:textId="77777777" w:rsidR="00072F7E" w:rsidRDefault="00072F7E" w:rsidP="006841A7">
            <w:pPr>
              <w:rPr>
                <w:rFonts w:ascii="Century" w:hAnsi="Century"/>
                <w:b w:val="0"/>
                <w:bCs/>
              </w:rPr>
            </w:pPr>
          </w:p>
          <w:p w14:paraId="21858ACE" w14:textId="4E82848F" w:rsidR="00062745" w:rsidRDefault="00062745" w:rsidP="005D31A8">
            <w:pPr>
              <w:ind w:left="708"/>
              <w:rPr>
                <w:rFonts w:ascii="Century" w:hAnsi="Century"/>
              </w:rPr>
            </w:pPr>
            <w:r w:rsidRPr="00062745">
              <w:rPr>
                <w:rFonts w:ascii="Century" w:hAnsi="Century"/>
                <w:b w:val="0"/>
                <w:bCs/>
              </w:rPr>
              <w:t>Revue du projet de convention pour la prise en compte des éventuelles modifications du document de cadrage de l’offre de la SOTRA</w:t>
            </w:r>
          </w:p>
          <w:p w14:paraId="53BB2B8C" w14:textId="77777777" w:rsidR="00062745" w:rsidRDefault="00062745" w:rsidP="005D31A8">
            <w:pPr>
              <w:ind w:left="708"/>
              <w:rPr>
                <w:rFonts w:ascii="Century" w:hAnsi="Century"/>
              </w:rPr>
            </w:pPr>
          </w:p>
          <w:p w14:paraId="624B4479" w14:textId="5242F1B4" w:rsidR="005D658B" w:rsidRDefault="005D658B" w:rsidP="005D31A8">
            <w:pPr>
              <w:ind w:left="708"/>
              <w:rPr>
                <w:rFonts w:ascii="Century" w:hAnsi="Century"/>
              </w:rPr>
            </w:pPr>
            <w:r>
              <w:rPr>
                <w:rFonts w:ascii="Century" w:hAnsi="Century"/>
                <w:b w:val="0"/>
                <w:bCs/>
              </w:rPr>
              <w:t>Budget par Direction</w:t>
            </w:r>
            <w:r w:rsidR="00F167CB">
              <w:rPr>
                <w:rFonts w:ascii="Century" w:hAnsi="Century"/>
                <w:b w:val="0"/>
                <w:bCs/>
              </w:rPr>
              <w:t> ;</w:t>
            </w:r>
          </w:p>
          <w:p w14:paraId="0C67AF57" w14:textId="77777777" w:rsidR="00CA1952" w:rsidRDefault="00CA1952" w:rsidP="005D31A8">
            <w:pPr>
              <w:ind w:left="708"/>
              <w:rPr>
                <w:rFonts w:ascii="Century" w:hAnsi="Century"/>
              </w:rPr>
            </w:pPr>
          </w:p>
          <w:p w14:paraId="5391A67A" w14:textId="6D3F6C97" w:rsidR="0099667B" w:rsidRPr="005D31A8" w:rsidRDefault="0099667B" w:rsidP="0099667B">
            <w:pPr>
              <w:ind w:left="708"/>
              <w:rPr>
                <w:rFonts w:ascii="Century" w:hAnsi="Century"/>
                <w:b w:val="0"/>
                <w:bCs/>
              </w:rPr>
            </w:pPr>
            <w:r>
              <w:rPr>
                <w:rFonts w:ascii="Century" w:hAnsi="Century"/>
                <w:b w:val="0"/>
                <w:bCs/>
              </w:rPr>
              <w:t>Transmission et validation des livrables HELIOS</w:t>
            </w:r>
            <w:r w:rsidR="00F167CB">
              <w:rPr>
                <w:rFonts w:ascii="Century" w:hAnsi="Century"/>
                <w:b w:val="0"/>
                <w:bCs/>
              </w:rPr>
              <w:t>.</w:t>
            </w:r>
          </w:p>
        </w:tc>
        <w:tc>
          <w:tcPr>
            <w:tcW w:w="3686" w:type="dxa"/>
          </w:tcPr>
          <w:p w14:paraId="15AC8478" w14:textId="77777777" w:rsidR="009F7B01" w:rsidRPr="002758DA" w:rsidRDefault="009F7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1E1C2924" w14:textId="77777777" w:rsidR="009F7B01" w:rsidRPr="002758DA" w:rsidRDefault="009F7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0CF3E9AF" w14:textId="77777777" w:rsidR="007D0CFA" w:rsidRDefault="007D0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55A6F5CB" w14:textId="77777777" w:rsidR="00CA1952" w:rsidRDefault="00CA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360C134D" w14:textId="77777777" w:rsidR="00CA1952" w:rsidRDefault="00CA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17DFEED7" w14:textId="77777777" w:rsidR="00CA1952" w:rsidRDefault="00CA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4A1D7472" w14:textId="77777777" w:rsidR="00CA1952" w:rsidRDefault="00CA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25F3A343" w14:textId="63C350D6" w:rsidR="00CA1952" w:rsidRPr="002758DA" w:rsidRDefault="00CA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</w:tc>
        <w:tc>
          <w:tcPr>
            <w:tcW w:w="2187" w:type="dxa"/>
          </w:tcPr>
          <w:p w14:paraId="0ECB17E3" w14:textId="77777777" w:rsidR="009F7B01" w:rsidRPr="002D59C0" w:rsidRDefault="009F7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</w:tc>
      </w:tr>
      <w:tr w:rsidR="002D59C0" w:rsidRPr="002D59C0" w14:paraId="7EAAD327" w14:textId="77777777" w:rsidTr="007C5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3BE1344F" w14:textId="77777777" w:rsidR="00072F7E" w:rsidRDefault="00072F7E" w:rsidP="006841A7">
            <w:pPr>
              <w:rPr>
                <w:rFonts w:ascii="Century" w:hAnsi="Century"/>
                <w:b w:val="0"/>
                <w:bCs/>
              </w:rPr>
            </w:pPr>
          </w:p>
          <w:p w14:paraId="460588F4" w14:textId="3E7C6411" w:rsidR="00920C0C" w:rsidRPr="002D59C0" w:rsidRDefault="009F7B01" w:rsidP="006841A7">
            <w:pPr>
              <w:rPr>
                <w:rFonts w:ascii="Century" w:hAnsi="Century"/>
                <w:b w:val="0"/>
                <w:bCs/>
              </w:rPr>
            </w:pPr>
            <w:r w:rsidRPr="002D59C0">
              <w:rPr>
                <w:rFonts w:ascii="Century" w:hAnsi="Century"/>
              </w:rPr>
              <w:t xml:space="preserve">Jeudi </w:t>
            </w:r>
            <w:r w:rsidR="00220BF9">
              <w:rPr>
                <w:rFonts w:ascii="Century" w:hAnsi="Century"/>
              </w:rPr>
              <w:t>3</w:t>
            </w:r>
            <w:r w:rsidR="00C2502D">
              <w:rPr>
                <w:rFonts w:ascii="Century" w:hAnsi="Century"/>
              </w:rPr>
              <w:t>0</w:t>
            </w:r>
            <w:r w:rsidRPr="002D59C0">
              <w:rPr>
                <w:rFonts w:ascii="Century" w:hAnsi="Century"/>
              </w:rPr>
              <w:t>/</w:t>
            </w:r>
            <w:r w:rsidR="00CB0A6B">
              <w:rPr>
                <w:rFonts w:ascii="Century" w:hAnsi="Century"/>
              </w:rPr>
              <w:t>0</w:t>
            </w:r>
            <w:r w:rsidR="0027232B">
              <w:rPr>
                <w:rFonts w:ascii="Century" w:hAnsi="Century"/>
              </w:rPr>
              <w:t>3</w:t>
            </w:r>
            <w:r w:rsidRPr="002D59C0">
              <w:rPr>
                <w:rFonts w:ascii="Century" w:hAnsi="Century"/>
              </w:rPr>
              <w:t>/202</w:t>
            </w:r>
            <w:r w:rsidR="00CB0A6B">
              <w:rPr>
                <w:rFonts w:ascii="Century" w:hAnsi="Century"/>
              </w:rPr>
              <w:t>3</w:t>
            </w:r>
          </w:p>
          <w:p w14:paraId="61A20618" w14:textId="00242E9B" w:rsidR="00D766FC" w:rsidRDefault="00D766FC" w:rsidP="002F3A54">
            <w:pPr>
              <w:ind w:left="708"/>
              <w:rPr>
                <w:rFonts w:ascii="Century" w:hAnsi="Century"/>
              </w:rPr>
            </w:pPr>
          </w:p>
          <w:p w14:paraId="071C9CD2" w14:textId="6E8A331E" w:rsidR="00062745" w:rsidRDefault="00062745" w:rsidP="002F3A54">
            <w:pPr>
              <w:ind w:left="708"/>
              <w:rPr>
                <w:rFonts w:ascii="Century" w:hAnsi="Century"/>
              </w:rPr>
            </w:pPr>
            <w:r w:rsidRPr="00062745">
              <w:rPr>
                <w:rFonts w:ascii="Century" w:hAnsi="Century"/>
                <w:b w:val="0"/>
                <w:bCs/>
              </w:rPr>
              <w:t>Revue du projet de convention pour la prise en compte des éventuelles modifications du document de cadrage de l’offre de la SOTRA</w:t>
            </w:r>
          </w:p>
          <w:p w14:paraId="46D7F145" w14:textId="654FC925" w:rsidR="009736A4" w:rsidRDefault="009736A4" w:rsidP="002F3A54">
            <w:pPr>
              <w:ind w:left="708"/>
              <w:rPr>
                <w:rFonts w:ascii="Century" w:hAnsi="Century"/>
                <w:b w:val="0"/>
                <w:bCs/>
              </w:rPr>
            </w:pPr>
          </w:p>
          <w:p w14:paraId="24BA3C72" w14:textId="6D09EA3B" w:rsidR="00D766FC" w:rsidRPr="00D766FC" w:rsidRDefault="00D766FC" w:rsidP="002F3A54">
            <w:pPr>
              <w:ind w:left="708"/>
              <w:rPr>
                <w:rFonts w:ascii="Century" w:hAnsi="Century"/>
                <w:b w:val="0"/>
                <w:bCs/>
              </w:rPr>
            </w:pPr>
            <w:r w:rsidRPr="00D766FC">
              <w:rPr>
                <w:rFonts w:ascii="Century" w:hAnsi="Century"/>
                <w:b w:val="0"/>
                <w:bCs/>
              </w:rPr>
              <w:t>Rapport annuel d’activité ARTI</w:t>
            </w:r>
            <w:r w:rsidR="00F167CB">
              <w:rPr>
                <w:rFonts w:ascii="Century" w:hAnsi="Century"/>
                <w:b w:val="0"/>
                <w:bCs/>
              </w:rPr>
              <w:t> ;</w:t>
            </w:r>
          </w:p>
          <w:p w14:paraId="00DED8A7" w14:textId="77777777" w:rsidR="00FE4121" w:rsidRPr="00A15E63" w:rsidRDefault="00FE4121" w:rsidP="002F3A54">
            <w:pPr>
              <w:ind w:left="708"/>
              <w:rPr>
                <w:rFonts w:ascii="Century" w:hAnsi="Century"/>
                <w:b w:val="0"/>
                <w:bCs/>
              </w:rPr>
            </w:pPr>
          </w:p>
          <w:p w14:paraId="013F95E1" w14:textId="77777777" w:rsidR="009F7B01" w:rsidRDefault="00A15E63" w:rsidP="00B17066">
            <w:pPr>
              <w:ind w:left="708"/>
              <w:rPr>
                <w:rFonts w:ascii="Century" w:hAnsi="Century"/>
              </w:rPr>
            </w:pPr>
            <w:r w:rsidRPr="00A15E63">
              <w:rPr>
                <w:rFonts w:ascii="Century" w:hAnsi="Century"/>
                <w:b w:val="0"/>
                <w:bCs/>
              </w:rPr>
              <w:t>Manuel de procédure suivi-évaluation</w:t>
            </w:r>
            <w:r w:rsidR="00F167CB">
              <w:rPr>
                <w:rFonts w:ascii="Century" w:hAnsi="Century"/>
                <w:b w:val="0"/>
                <w:bCs/>
              </w:rPr>
              <w:t>.</w:t>
            </w:r>
          </w:p>
          <w:p w14:paraId="779E162F" w14:textId="77777777" w:rsidR="00696AAD" w:rsidRDefault="00696AAD" w:rsidP="00B17066">
            <w:pPr>
              <w:ind w:left="708"/>
              <w:rPr>
                <w:rFonts w:ascii="Century" w:hAnsi="Century"/>
                <w:b w:val="0"/>
                <w:bCs/>
              </w:rPr>
            </w:pPr>
          </w:p>
          <w:p w14:paraId="3AAC44E0" w14:textId="77777777" w:rsidR="00696AAD" w:rsidRDefault="00696AAD" w:rsidP="00B17066">
            <w:pPr>
              <w:ind w:left="708"/>
              <w:rPr>
                <w:rFonts w:ascii="Century" w:hAnsi="Century"/>
              </w:rPr>
            </w:pPr>
            <w:r w:rsidRPr="00696AAD">
              <w:rPr>
                <w:rFonts w:ascii="Century" w:hAnsi="Century"/>
                <w:b w:val="0"/>
                <w:bCs/>
              </w:rPr>
              <w:t>Démarrage de la mission d’Audit Interne Comptable et Financier (pré-CAC 2022).</w:t>
            </w:r>
          </w:p>
          <w:p w14:paraId="5A12B51C" w14:textId="77777777" w:rsidR="006D0AEA" w:rsidRDefault="006D0AEA" w:rsidP="00B17066">
            <w:pPr>
              <w:ind w:left="708"/>
              <w:rPr>
                <w:rFonts w:ascii="Century" w:hAnsi="Century"/>
              </w:rPr>
            </w:pPr>
          </w:p>
          <w:p w14:paraId="0F672F1D" w14:textId="7FC3AA78" w:rsidR="006D0AEA" w:rsidRPr="006D0AEA" w:rsidRDefault="006D0AEA" w:rsidP="00B17066">
            <w:pPr>
              <w:ind w:left="708"/>
              <w:rPr>
                <w:rFonts w:ascii="Century" w:hAnsi="Century"/>
                <w:b w:val="0"/>
                <w:bCs/>
                <w:lang w:val="fr-CI"/>
              </w:rPr>
            </w:pPr>
            <w:r>
              <w:rPr>
                <w:rFonts w:ascii="Century" w:hAnsi="Century"/>
                <w:b w:val="0"/>
                <w:bCs/>
                <w:lang w:val="fr-CI"/>
              </w:rPr>
              <w:t>Test de fonctionnalité</w:t>
            </w:r>
            <w:r w:rsidRPr="006D0AEA">
              <w:rPr>
                <w:rFonts w:ascii="Century" w:hAnsi="Century"/>
                <w:b w:val="0"/>
                <w:bCs/>
                <w:lang w:val="fr-CI"/>
              </w:rPr>
              <w:t xml:space="preserve"> des modules suivi du personnel et suivi des activités </w:t>
            </w:r>
            <w:r>
              <w:rPr>
                <w:rFonts w:ascii="Century" w:hAnsi="Century"/>
                <w:b w:val="0"/>
                <w:bCs/>
                <w:lang w:val="fr-CI"/>
              </w:rPr>
              <w:t>de l’Application de suivi-évaluation</w:t>
            </w:r>
            <w:r w:rsidRPr="006D0AEA">
              <w:rPr>
                <w:rFonts w:ascii="Century" w:hAnsi="Century"/>
                <w:b w:val="0"/>
                <w:bCs/>
                <w:lang w:val="fr-CI"/>
              </w:rPr>
              <w:t>;</w:t>
            </w:r>
          </w:p>
        </w:tc>
        <w:tc>
          <w:tcPr>
            <w:tcW w:w="3686" w:type="dxa"/>
          </w:tcPr>
          <w:p w14:paraId="04871EB7" w14:textId="77777777" w:rsidR="009F7B01" w:rsidRPr="002758DA" w:rsidRDefault="009F7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  <w:p w14:paraId="2352EDDA" w14:textId="2C08EF5A" w:rsidR="009F7B01" w:rsidRPr="002758DA" w:rsidRDefault="009F7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</w:tc>
        <w:tc>
          <w:tcPr>
            <w:tcW w:w="2187" w:type="dxa"/>
          </w:tcPr>
          <w:p w14:paraId="3F7B77AC" w14:textId="77777777" w:rsidR="009F7B01" w:rsidRPr="002D59C0" w:rsidRDefault="009F7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</w:tc>
      </w:tr>
      <w:tr w:rsidR="002D59C0" w:rsidRPr="002D59C0" w14:paraId="61241176" w14:textId="77777777" w:rsidTr="007C5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57A5E554" w14:textId="77777777" w:rsidR="00072F7E" w:rsidRDefault="00072F7E" w:rsidP="006841A7">
            <w:pPr>
              <w:rPr>
                <w:rFonts w:ascii="Century" w:hAnsi="Century"/>
                <w:b w:val="0"/>
                <w:bCs/>
              </w:rPr>
            </w:pPr>
          </w:p>
          <w:p w14:paraId="0CCA1612" w14:textId="1626C41D" w:rsidR="009F7B01" w:rsidRDefault="009F7B01" w:rsidP="006841A7">
            <w:pPr>
              <w:rPr>
                <w:rFonts w:ascii="Century" w:hAnsi="Century"/>
                <w:b w:val="0"/>
                <w:bCs/>
              </w:rPr>
            </w:pPr>
            <w:r w:rsidRPr="002D59C0">
              <w:rPr>
                <w:rFonts w:ascii="Century" w:hAnsi="Century"/>
              </w:rPr>
              <w:lastRenderedPageBreak/>
              <w:t xml:space="preserve">Vendredi </w:t>
            </w:r>
            <w:r w:rsidR="00C2502D">
              <w:rPr>
                <w:rFonts w:ascii="Century" w:hAnsi="Century"/>
              </w:rPr>
              <w:t>31</w:t>
            </w:r>
            <w:r w:rsidRPr="002D59C0">
              <w:rPr>
                <w:rFonts w:ascii="Century" w:hAnsi="Century"/>
              </w:rPr>
              <w:t>/</w:t>
            </w:r>
            <w:r w:rsidR="00BD5A4E">
              <w:rPr>
                <w:rFonts w:ascii="Century" w:hAnsi="Century"/>
              </w:rPr>
              <w:t>0</w:t>
            </w:r>
            <w:r w:rsidR="0027232B">
              <w:rPr>
                <w:rFonts w:ascii="Century" w:hAnsi="Century"/>
              </w:rPr>
              <w:t>3</w:t>
            </w:r>
            <w:r w:rsidRPr="002D59C0">
              <w:rPr>
                <w:rFonts w:ascii="Century" w:hAnsi="Century"/>
              </w:rPr>
              <w:t>/2022</w:t>
            </w:r>
          </w:p>
          <w:p w14:paraId="637A4D00" w14:textId="77777777" w:rsidR="00072F7E" w:rsidRPr="002D59C0" w:rsidRDefault="00072F7E" w:rsidP="006841A7">
            <w:pPr>
              <w:rPr>
                <w:rFonts w:ascii="Century" w:hAnsi="Century"/>
                <w:b w:val="0"/>
                <w:bCs/>
              </w:rPr>
            </w:pPr>
          </w:p>
          <w:p w14:paraId="65A3ECC4" w14:textId="15349500" w:rsidR="00062745" w:rsidRDefault="00062745" w:rsidP="007C58E5">
            <w:pPr>
              <w:ind w:left="708"/>
              <w:rPr>
                <w:rFonts w:ascii="Century" w:hAnsi="Century"/>
                <w:b w:val="0"/>
                <w:bCs/>
              </w:rPr>
            </w:pPr>
          </w:p>
          <w:p w14:paraId="7F00E2A3" w14:textId="5CBEF6C4" w:rsidR="007C58E5" w:rsidRPr="00941E7B" w:rsidRDefault="00941E7B" w:rsidP="007C58E5">
            <w:pPr>
              <w:ind w:left="708"/>
              <w:rPr>
                <w:rFonts w:ascii="Century" w:hAnsi="Century"/>
                <w:b w:val="0"/>
                <w:bCs/>
              </w:rPr>
            </w:pPr>
            <w:r w:rsidRPr="00941E7B">
              <w:rPr>
                <w:rFonts w:ascii="Century" w:hAnsi="Century"/>
                <w:b w:val="0"/>
                <w:bCs/>
              </w:rPr>
              <w:t>Élaboration</w:t>
            </w:r>
            <w:r w:rsidR="00222262" w:rsidRPr="00941E7B">
              <w:rPr>
                <w:rFonts w:ascii="Century" w:hAnsi="Century"/>
                <w:b w:val="0"/>
                <w:bCs/>
              </w:rPr>
              <w:t xml:space="preserve"> de la stratégie de déploiement des bureaux régionaux</w:t>
            </w:r>
            <w:r w:rsidR="00F167CB">
              <w:rPr>
                <w:rFonts w:ascii="Century" w:hAnsi="Century"/>
                <w:b w:val="0"/>
                <w:bCs/>
              </w:rPr>
              <w:t> ;</w:t>
            </w:r>
          </w:p>
          <w:p w14:paraId="0499C3AA" w14:textId="77777777" w:rsidR="00941E7B" w:rsidRPr="00941E7B" w:rsidRDefault="00941E7B" w:rsidP="007C58E5">
            <w:pPr>
              <w:ind w:left="708"/>
              <w:rPr>
                <w:rFonts w:ascii="Century" w:hAnsi="Century"/>
                <w:b w:val="0"/>
                <w:bCs/>
              </w:rPr>
            </w:pPr>
          </w:p>
          <w:p w14:paraId="14EC3A17" w14:textId="0F67E2A5" w:rsidR="008177B3" w:rsidRPr="004F4240" w:rsidRDefault="00941E7B" w:rsidP="004F4240">
            <w:pPr>
              <w:ind w:left="708"/>
              <w:rPr>
                <w:rFonts w:ascii="Century" w:hAnsi="Century"/>
              </w:rPr>
            </w:pPr>
            <w:r w:rsidRPr="00941E7B">
              <w:rPr>
                <w:rFonts w:ascii="Century" w:hAnsi="Century"/>
                <w:b w:val="0"/>
                <w:bCs/>
              </w:rPr>
              <w:t>Projet d’élaboration de la lettre de la politique sectorielle du DG ARTI au MT</w:t>
            </w:r>
            <w:r w:rsidR="00F167CB">
              <w:rPr>
                <w:rFonts w:ascii="Century" w:hAnsi="Century"/>
                <w:b w:val="0"/>
                <w:bCs/>
              </w:rPr>
              <w:t>.</w:t>
            </w:r>
          </w:p>
        </w:tc>
        <w:tc>
          <w:tcPr>
            <w:tcW w:w="3686" w:type="dxa"/>
          </w:tcPr>
          <w:p w14:paraId="457D41DF" w14:textId="77777777" w:rsidR="009F7B01" w:rsidRPr="002758DA" w:rsidRDefault="009F7B01" w:rsidP="005C0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/>
                <w:color w:val="4472C4" w:themeColor="accent1"/>
              </w:rPr>
            </w:pPr>
          </w:p>
        </w:tc>
        <w:tc>
          <w:tcPr>
            <w:tcW w:w="2187" w:type="dxa"/>
          </w:tcPr>
          <w:p w14:paraId="7154E6B8" w14:textId="77777777" w:rsidR="009F7B01" w:rsidRPr="002D59C0" w:rsidRDefault="009F7B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</w:p>
        </w:tc>
      </w:tr>
    </w:tbl>
    <w:p w14:paraId="6C59D774" w14:textId="77777777" w:rsidR="00CE1B53" w:rsidRPr="002D59C0" w:rsidRDefault="00CE1B53"/>
    <w:sectPr w:rsidR="00CE1B53" w:rsidRPr="002D59C0" w:rsidSect="00CE1B53">
      <w:headerReference w:type="default" r:id="rId10"/>
      <w:footerReference w:type="defaul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63F53" w14:textId="77777777" w:rsidR="00690F7A" w:rsidRDefault="00690F7A" w:rsidP="00D56563">
      <w:r>
        <w:separator/>
      </w:r>
    </w:p>
  </w:endnote>
  <w:endnote w:type="continuationSeparator" w:id="0">
    <w:p w14:paraId="5273C1E6" w14:textId="77777777" w:rsidR="00690F7A" w:rsidRDefault="00690F7A" w:rsidP="00D56563">
      <w:r>
        <w:continuationSeparator/>
      </w:r>
    </w:p>
  </w:endnote>
  <w:endnote w:type="continuationNotice" w:id="1">
    <w:p w14:paraId="31D77431" w14:textId="77777777" w:rsidR="00690F7A" w:rsidRDefault="00690F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73856" w14:textId="3D2E5AB7" w:rsidR="002A010F" w:rsidRDefault="002A010F">
    <w:pPr>
      <w:pStyle w:val="Pieddepage"/>
    </w:pPr>
  </w:p>
  <w:p w14:paraId="365AEB5C" w14:textId="77777777" w:rsidR="002A010F" w:rsidRDefault="002A010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BE6F9" w14:textId="77777777" w:rsidR="00690F7A" w:rsidRDefault="00690F7A" w:rsidP="00D56563">
      <w:r>
        <w:separator/>
      </w:r>
    </w:p>
  </w:footnote>
  <w:footnote w:type="continuationSeparator" w:id="0">
    <w:p w14:paraId="597155EE" w14:textId="77777777" w:rsidR="00690F7A" w:rsidRDefault="00690F7A" w:rsidP="00D56563">
      <w:r>
        <w:continuationSeparator/>
      </w:r>
    </w:p>
  </w:footnote>
  <w:footnote w:type="continuationNotice" w:id="1">
    <w:p w14:paraId="001E4BDF" w14:textId="77777777" w:rsidR="00690F7A" w:rsidRDefault="00690F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595AF" w14:textId="04796E32" w:rsidR="00D56563" w:rsidRDefault="00D56563">
    <w:pPr>
      <w:pStyle w:val="En-tte"/>
    </w:pPr>
    <w:r w:rsidRPr="00F85444">
      <w:rPr>
        <w:rFonts w:ascii="Century" w:hAnsi="Century"/>
        <w:noProof/>
      </w:rPr>
      <w:drawing>
        <wp:inline distT="0" distB="0" distL="0" distR="0" wp14:anchorId="0539AC8E" wp14:editId="109D6BD3">
          <wp:extent cx="2000250" cy="495300"/>
          <wp:effectExtent l="0" t="0" r="0" b="0"/>
          <wp:docPr id="1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02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85276A" w14:textId="77777777" w:rsidR="002A010F" w:rsidRDefault="002A010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7E9"/>
    <w:multiLevelType w:val="hybridMultilevel"/>
    <w:tmpl w:val="8FAEA15C"/>
    <w:lvl w:ilvl="0" w:tplc="D8060942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63F55"/>
    <w:multiLevelType w:val="hybridMultilevel"/>
    <w:tmpl w:val="BF720DFA"/>
    <w:lvl w:ilvl="0" w:tplc="3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53197"/>
    <w:multiLevelType w:val="hybridMultilevel"/>
    <w:tmpl w:val="4404DAB2"/>
    <w:lvl w:ilvl="0" w:tplc="3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62278"/>
    <w:multiLevelType w:val="hybridMultilevel"/>
    <w:tmpl w:val="1D6AE65A"/>
    <w:lvl w:ilvl="0" w:tplc="3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85A79"/>
    <w:multiLevelType w:val="hybridMultilevel"/>
    <w:tmpl w:val="2730A7CE"/>
    <w:lvl w:ilvl="0" w:tplc="7AC2D1FC">
      <w:numFmt w:val="bullet"/>
      <w:lvlText w:val="-"/>
      <w:lvlJc w:val="left"/>
      <w:pPr>
        <w:ind w:left="720" w:hanging="360"/>
      </w:pPr>
      <w:rPr>
        <w:rFonts w:ascii="Century" w:eastAsiaTheme="minorHAnsi" w:hAnsi="Century" w:cs="Calibri" w:hint="default"/>
      </w:rPr>
    </w:lvl>
    <w:lvl w:ilvl="1" w:tplc="3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80EE7"/>
    <w:multiLevelType w:val="hybridMultilevel"/>
    <w:tmpl w:val="BC522C06"/>
    <w:lvl w:ilvl="0" w:tplc="3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A40F0"/>
    <w:multiLevelType w:val="hybridMultilevel"/>
    <w:tmpl w:val="ED128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15C08"/>
    <w:multiLevelType w:val="hybridMultilevel"/>
    <w:tmpl w:val="EB663D9E"/>
    <w:lvl w:ilvl="0" w:tplc="3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41B03"/>
    <w:multiLevelType w:val="hybridMultilevel"/>
    <w:tmpl w:val="7FD0C074"/>
    <w:lvl w:ilvl="0" w:tplc="F60EFB90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41FEF"/>
    <w:multiLevelType w:val="hybridMultilevel"/>
    <w:tmpl w:val="A26EE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422D4"/>
    <w:multiLevelType w:val="hybridMultilevel"/>
    <w:tmpl w:val="93F80B26"/>
    <w:lvl w:ilvl="0" w:tplc="3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E3DD0"/>
    <w:multiLevelType w:val="hybridMultilevel"/>
    <w:tmpl w:val="37681F5E"/>
    <w:lvl w:ilvl="0" w:tplc="8FAAF328"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30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4C1F71"/>
    <w:multiLevelType w:val="hybridMultilevel"/>
    <w:tmpl w:val="DDC466C4"/>
    <w:lvl w:ilvl="0" w:tplc="3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45724"/>
    <w:multiLevelType w:val="hybridMultilevel"/>
    <w:tmpl w:val="86EEF3B6"/>
    <w:lvl w:ilvl="0" w:tplc="3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2D2BD8"/>
    <w:multiLevelType w:val="hybridMultilevel"/>
    <w:tmpl w:val="5180F7FA"/>
    <w:lvl w:ilvl="0" w:tplc="3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876935">
    <w:abstractNumId w:val="1"/>
  </w:num>
  <w:num w:numId="2" w16cid:durableId="1095244021">
    <w:abstractNumId w:val="7"/>
  </w:num>
  <w:num w:numId="3" w16cid:durableId="120466869">
    <w:abstractNumId w:val="11"/>
  </w:num>
  <w:num w:numId="4" w16cid:durableId="586378827">
    <w:abstractNumId w:val="2"/>
  </w:num>
  <w:num w:numId="5" w16cid:durableId="507251551">
    <w:abstractNumId w:val="12"/>
  </w:num>
  <w:num w:numId="6" w16cid:durableId="738594484">
    <w:abstractNumId w:val="3"/>
  </w:num>
  <w:num w:numId="7" w16cid:durableId="1599874543">
    <w:abstractNumId w:val="13"/>
  </w:num>
  <w:num w:numId="8" w16cid:durableId="491795056">
    <w:abstractNumId w:val="5"/>
  </w:num>
  <w:num w:numId="9" w16cid:durableId="1804880943">
    <w:abstractNumId w:val="0"/>
  </w:num>
  <w:num w:numId="10" w16cid:durableId="207448803">
    <w:abstractNumId w:val="14"/>
  </w:num>
  <w:num w:numId="11" w16cid:durableId="534077507">
    <w:abstractNumId w:val="10"/>
  </w:num>
  <w:num w:numId="12" w16cid:durableId="1168400728">
    <w:abstractNumId w:val="6"/>
  </w:num>
  <w:num w:numId="13" w16cid:durableId="995842298">
    <w:abstractNumId w:val="9"/>
  </w:num>
  <w:num w:numId="14" w16cid:durableId="1748765724">
    <w:abstractNumId w:val="8"/>
  </w:num>
  <w:num w:numId="15" w16cid:durableId="5170880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53"/>
    <w:rsid w:val="0000017D"/>
    <w:rsid w:val="000019CF"/>
    <w:rsid w:val="00004155"/>
    <w:rsid w:val="00006A10"/>
    <w:rsid w:val="00006A52"/>
    <w:rsid w:val="000114E4"/>
    <w:rsid w:val="00011A11"/>
    <w:rsid w:val="00012716"/>
    <w:rsid w:val="00012DFC"/>
    <w:rsid w:val="00013FBD"/>
    <w:rsid w:val="00016040"/>
    <w:rsid w:val="000160D2"/>
    <w:rsid w:val="00017F1C"/>
    <w:rsid w:val="00020FA6"/>
    <w:rsid w:val="00022514"/>
    <w:rsid w:val="0002468E"/>
    <w:rsid w:val="000248D1"/>
    <w:rsid w:val="00024AEB"/>
    <w:rsid w:val="00024F83"/>
    <w:rsid w:val="000264D4"/>
    <w:rsid w:val="00026ABD"/>
    <w:rsid w:val="00027FF7"/>
    <w:rsid w:val="000301B1"/>
    <w:rsid w:val="000314F5"/>
    <w:rsid w:val="00035FCB"/>
    <w:rsid w:val="00036439"/>
    <w:rsid w:val="00037736"/>
    <w:rsid w:val="00037CDD"/>
    <w:rsid w:val="00037EF7"/>
    <w:rsid w:val="00040593"/>
    <w:rsid w:val="000407AE"/>
    <w:rsid w:val="0004083F"/>
    <w:rsid w:val="00040BED"/>
    <w:rsid w:val="00041585"/>
    <w:rsid w:val="00042023"/>
    <w:rsid w:val="0004331C"/>
    <w:rsid w:val="00044868"/>
    <w:rsid w:val="00044D2C"/>
    <w:rsid w:val="000453E9"/>
    <w:rsid w:val="000518C0"/>
    <w:rsid w:val="000526F8"/>
    <w:rsid w:val="000531C5"/>
    <w:rsid w:val="00054F4F"/>
    <w:rsid w:val="00060121"/>
    <w:rsid w:val="00061A35"/>
    <w:rsid w:val="00061D60"/>
    <w:rsid w:val="00062745"/>
    <w:rsid w:val="0006511E"/>
    <w:rsid w:val="00067FDF"/>
    <w:rsid w:val="000711A8"/>
    <w:rsid w:val="00071F16"/>
    <w:rsid w:val="00072032"/>
    <w:rsid w:val="00072764"/>
    <w:rsid w:val="00072F7E"/>
    <w:rsid w:val="000748FA"/>
    <w:rsid w:val="00074CDB"/>
    <w:rsid w:val="00074E12"/>
    <w:rsid w:val="000812CB"/>
    <w:rsid w:val="00082E6B"/>
    <w:rsid w:val="00082F9F"/>
    <w:rsid w:val="000834F9"/>
    <w:rsid w:val="00084058"/>
    <w:rsid w:val="00093D35"/>
    <w:rsid w:val="00096464"/>
    <w:rsid w:val="00097220"/>
    <w:rsid w:val="000A0221"/>
    <w:rsid w:val="000A0BF2"/>
    <w:rsid w:val="000A0EC3"/>
    <w:rsid w:val="000A1299"/>
    <w:rsid w:val="000A1789"/>
    <w:rsid w:val="000A19D1"/>
    <w:rsid w:val="000A19D5"/>
    <w:rsid w:val="000A2796"/>
    <w:rsid w:val="000A311E"/>
    <w:rsid w:val="000A4939"/>
    <w:rsid w:val="000A4A7A"/>
    <w:rsid w:val="000A5A1E"/>
    <w:rsid w:val="000A65D7"/>
    <w:rsid w:val="000A6D6C"/>
    <w:rsid w:val="000A72E7"/>
    <w:rsid w:val="000A7830"/>
    <w:rsid w:val="000B09A1"/>
    <w:rsid w:val="000B11C2"/>
    <w:rsid w:val="000B2C59"/>
    <w:rsid w:val="000B6F43"/>
    <w:rsid w:val="000B7DAC"/>
    <w:rsid w:val="000B7DFA"/>
    <w:rsid w:val="000C15DF"/>
    <w:rsid w:val="000C1FEA"/>
    <w:rsid w:val="000C23E5"/>
    <w:rsid w:val="000C34D4"/>
    <w:rsid w:val="000C53BE"/>
    <w:rsid w:val="000C7F8E"/>
    <w:rsid w:val="000D27D0"/>
    <w:rsid w:val="000D3CA1"/>
    <w:rsid w:val="000D42D8"/>
    <w:rsid w:val="000D67E6"/>
    <w:rsid w:val="000D7669"/>
    <w:rsid w:val="000E023C"/>
    <w:rsid w:val="000E2963"/>
    <w:rsid w:val="000E3508"/>
    <w:rsid w:val="000E395B"/>
    <w:rsid w:val="000E6B35"/>
    <w:rsid w:val="000E7AE3"/>
    <w:rsid w:val="000F06AA"/>
    <w:rsid w:val="000F0731"/>
    <w:rsid w:val="000F0FE6"/>
    <w:rsid w:val="000F5A71"/>
    <w:rsid w:val="000F6BFA"/>
    <w:rsid w:val="000F6F50"/>
    <w:rsid w:val="00101186"/>
    <w:rsid w:val="00101DC2"/>
    <w:rsid w:val="0010225D"/>
    <w:rsid w:val="00103D99"/>
    <w:rsid w:val="00104910"/>
    <w:rsid w:val="00110376"/>
    <w:rsid w:val="001115DC"/>
    <w:rsid w:val="00115B11"/>
    <w:rsid w:val="0011667B"/>
    <w:rsid w:val="00116A80"/>
    <w:rsid w:val="00116C83"/>
    <w:rsid w:val="00117C75"/>
    <w:rsid w:val="00117E47"/>
    <w:rsid w:val="00117F49"/>
    <w:rsid w:val="001206DF"/>
    <w:rsid w:val="00120A51"/>
    <w:rsid w:val="00121859"/>
    <w:rsid w:val="0012193E"/>
    <w:rsid w:val="00121C30"/>
    <w:rsid w:val="001221EA"/>
    <w:rsid w:val="0012358A"/>
    <w:rsid w:val="00123912"/>
    <w:rsid w:val="00123E06"/>
    <w:rsid w:val="001243C5"/>
    <w:rsid w:val="0012455D"/>
    <w:rsid w:val="00125209"/>
    <w:rsid w:val="00126909"/>
    <w:rsid w:val="001270A7"/>
    <w:rsid w:val="00127853"/>
    <w:rsid w:val="00130CB5"/>
    <w:rsid w:val="0013116F"/>
    <w:rsid w:val="0013182D"/>
    <w:rsid w:val="0013325E"/>
    <w:rsid w:val="001335D8"/>
    <w:rsid w:val="00133954"/>
    <w:rsid w:val="00135110"/>
    <w:rsid w:val="00136470"/>
    <w:rsid w:val="001364C9"/>
    <w:rsid w:val="0013715E"/>
    <w:rsid w:val="00137370"/>
    <w:rsid w:val="0014160A"/>
    <w:rsid w:val="00142432"/>
    <w:rsid w:val="00143143"/>
    <w:rsid w:val="001436DB"/>
    <w:rsid w:val="001448B7"/>
    <w:rsid w:val="001448C3"/>
    <w:rsid w:val="001451A8"/>
    <w:rsid w:val="001473C2"/>
    <w:rsid w:val="0014796C"/>
    <w:rsid w:val="00147BED"/>
    <w:rsid w:val="00151F6F"/>
    <w:rsid w:val="001536FA"/>
    <w:rsid w:val="0015556E"/>
    <w:rsid w:val="001555A5"/>
    <w:rsid w:val="00157799"/>
    <w:rsid w:val="00157D8F"/>
    <w:rsid w:val="00160DA8"/>
    <w:rsid w:val="00161083"/>
    <w:rsid w:val="001610D8"/>
    <w:rsid w:val="00161680"/>
    <w:rsid w:val="00163107"/>
    <w:rsid w:val="0016322E"/>
    <w:rsid w:val="001639B6"/>
    <w:rsid w:val="00163C3D"/>
    <w:rsid w:val="00164850"/>
    <w:rsid w:val="00165605"/>
    <w:rsid w:val="00165AA8"/>
    <w:rsid w:val="0017126D"/>
    <w:rsid w:val="00171379"/>
    <w:rsid w:val="00174A70"/>
    <w:rsid w:val="00175A80"/>
    <w:rsid w:val="00176815"/>
    <w:rsid w:val="00176B32"/>
    <w:rsid w:val="00176F8B"/>
    <w:rsid w:val="001771F4"/>
    <w:rsid w:val="00177C03"/>
    <w:rsid w:val="00180FF3"/>
    <w:rsid w:val="00181626"/>
    <w:rsid w:val="0018256B"/>
    <w:rsid w:val="001833EA"/>
    <w:rsid w:val="00183A2B"/>
    <w:rsid w:val="00183BF5"/>
    <w:rsid w:val="00184A08"/>
    <w:rsid w:val="00184BBA"/>
    <w:rsid w:val="00184E8C"/>
    <w:rsid w:val="001854B7"/>
    <w:rsid w:val="00186629"/>
    <w:rsid w:val="00186BF2"/>
    <w:rsid w:val="00190ED7"/>
    <w:rsid w:val="001934E6"/>
    <w:rsid w:val="001943DE"/>
    <w:rsid w:val="0019456C"/>
    <w:rsid w:val="0019456D"/>
    <w:rsid w:val="0019469A"/>
    <w:rsid w:val="00195877"/>
    <w:rsid w:val="001960F5"/>
    <w:rsid w:val="001A45D1"/>
    <w:rsid w:val="001A4C95"/>
    <w:rsid w:val="001A4FA2"/>
    <w:rsid w:val="001A5B5F"/>
    <w:rsid w:val="001A5F39"/>
    <w:rsid w:val="001A62CA"/>
    <w:rsid w:val="001A663C"/>
    <w:rsid w:val="001A6702"/>
    <w:rsid w:val="001A7A12"/>
    <w:rsid w:val="001B0E8E"/>
    <w:rsid w:val="001B1A44"/>
    <w:rsid w:val="001B1F9D"/>
    <w:rsid w:val="001B2C29"/>
    <w:rsid w:val="001B2D0E"/>
    <w:rsid w:val="001B7613"/>
    <w:rsid w:val="001B7C93"/>
    <w:rsid w:val="001C02E0"/>
    <w:rsid w:val="001C0863"/>
    <w:rsid w:val="001C091C"/>
    <w:rsid w:val="001C1D68"/>
    <w:rsid w:val="001C3F29"/>
    <w:rsid w:val="001C49C6"/>
    <w:rsid w:val="001C53CB"/>
    <w:rsid w:val="001C63D7"/>
    <w:rsid w:val="001D5CEB"/>
    <w:rsid w:val="001D72E7"/>
    <w:rsid w:val="001D7FCC"/>
    <w:rsid w:val="001E2A66"/>
    <w:rsid w:val="001E314E"/>
    <w:rsid w:val="001E3223"/>
    <w:rsid w:val="001E33F9"/>
    <w:rsid w:val="001E53A3"/>
    <w:rsid w:val="001E5CEF"/>
    <w:rsid w:val="001E607D"/>
    <w:rsid w:val="001E6822"/>
    <w:rsid w:val="001E7B72"/>
    <w:rsid w:val="001F13EA"/>
    <w:rsid w:val="001F27EC"/>
    <w:rsid w:val="001F35E4"/>
    <w:rsid w:val="001F37A3"/>
    <w:rsid w:val="001F48B0"/>
    <w:rsid w:val="001F564F"/>
    <w:rsid w:val="0020538E"/>
    <w:rsid w:val="00210545"/>
    <w:rsid w:val="00211A79"/>
    <w:rsid w:val="002129E0"/>
    <w:rsid w:val="002135F7"/>
    <w:rsid w:val="002157C9"/>
    <w:rsid w:val="0021742B"/>
    <w:rsid w:val="00220BF9"/>
    <w:rsid w:val="00220F4B"/>
    <w:rsid w:val="0022107D"/>
    <w:rsid w:val="00221309"/>
    <w:rsid w:val="00222262"/>
    <w:rsid w:val="00223597"/>
    <w:rsid w:val="002237C9"/>
    <w:rsid w:val="00225C79"/>
    <w:rsid w:val="00225CAF"/>
    <w:rsid w:val="002263B2"/>
    <w:rsid w:val="00226CCD"/>
    <w:rsid w:val="00226D81"/>
    <w:rsid w:val="002339FB"/>
    <w:rsid w:val="002344F8"/>
    <w:rsid w:val="0023508B"/>
    <w:rsid w:val="00235612"/>
    <w:rsid w:val="0023620F"/>
    <w:rsid w:val="00236FA1"/>
    <w:rsid w:val="002371C4"/>
    <w:rsid w:val="00240083"/>
    <w:rsid w:val="00241539"/>
    <w:rsid w:val="00241849"/>
    <w:rsid w:val="0024186D"/>
    <w:rsid w:val="00242C2E"/>
    <w:rsid w:val="002437AA"/>
    <w:rsid w:val="0024741E"/>
    <w:rsid w:val="002475D5"/>
    <w:rsid w:val="0025104D"/>
    <w:rsid w:val="00251F14"/>
    <w:rsid w:val="00252522"/>
    <w:rsid w:val="0025298B"/>
    <w:rsid w:val="00253B44"/>
    <w:rsid w:val="00254C28"/>
    <w:rsid w:val="00255DA1"/>
    <w:rsid w:val="002566E6"/>
    <w:rsid w:val="002608F1"/>
    <w:rsid w:val="00260A15"/>
    <w:rsid w:val="00261186"/>
    <w:rsid w:val="00263707"/>
    <w:rsid w:val="00264476"/>
    <w:rsid w:val="002646AE"/>
    <w:rsid w:val="00264A22"/>
    <w:rsid w:val="00265F87"/>
    <w:rsid w:val="002660E0"/>
    <w:rsid w:val="00270A99"/>
    <w:rsid w:val="002711F3"/>
    <w:rsid w:val="0027232B"/>
    <w:rsid w:val="0027336C"/>
    <w:rsid w:val="002758DA"/>
    <w:rsid w:val="002772C4"/>
    <w:rsid w:val="0027746D"/>
    <w:rsid w:val="00280406"/>
    <w:rsid w:val="00280AE4"/>
    <w:rsid w:val="00280BD2"/>
    <w:rsid w:val="00280C97"/>
    <w:rsid w:val="002827C4"/>
    <w:rsid w:val="00282D1A"/>
    <w:rsid w:val="0028366F"/>
    <w:rsid w:val="00283833"/>
    <w:rsid w:val="0028499B"/>
    <w:rsid w:val="00285399"/>
    <w:rsid w:val="00287B12"/>
    <w:rsid w:val="00290156"/>
    <w:rsid w:val="002932F8"/>
    <w:rsid w:val="002956E7"/>
    <w:rsid w:val="00295B38"/>
    <w:rsid w:val="002A010F"/>
    <w:rsid w:val="002A0262"/>
    <w:rsid w:val="002A177F"/>
    <w:rsid w:val="002A30F0"/>
    <w:rsid w:val="002A37EE"/>
    <w:rsid w:val="002A397B"/>
    <w:rsid w:val="002A398D"/>
    <w:rsid w:val="002A4463"/>
    <w:rsid w:val="002A6169"/>
    <w:rsid w:val="002A6848"/>
    <w:rsid w:val="002A7E56"/>
    <w:rsid w:val="002B0761"/>
    <w:rsid w:val="002B14D3"/>
    <w:rsid w:val="002B20A7"/>
    <w:rsid w:val="002B2F17"/>
    <w:rsid w:val="002B3A7F"/>
    <w:rsid w:val="002B45CB"/>
    <w:rsid w:val="002C046D"/>
    <w:rsid w:val="002C2348"/>
    <w:rsid w:val="002C3254"/>
    <w:rsid w:val="002C3342"/>
    <w:rsid w:val="002C39EE"/>
    <w:rsid w:val="002C491C"/>
    <w:rsid w:val="002C5F43"/>
    <w:rsid w:val="002C72F1"/>
    <w:rsid w:val="002D1DCC"/>
    <w:rsid w:val="002D1DF2"/>
    <w:rsid w:val="002D2D4A"/>
    <w:rsid w:val="002D3C39"/>
    <w:rsid w:val="002D3F2E"/>
    <w:rsid w:val="002D49B9"/>
    <w:rsid w:val="002D59C0"/>
    <w:rsid w:val="002D6350"/>
    <w:rsid w:val="002D6E77"/>
    <w:rsid w:val="002D7B99"/>
    <w:rsid w:val="002E0AFB"/>
    <w:rsid w:val="002E2156"/>
    <w:rsid w:val="002E3D43"/>
    <w:rsid w:val="002E43DE"/>
    <w:rsid w:val="002E4CBD"/>
    <w:rsid w:val="002E5450"/>
    <w:rsid w:val="002E585B"/>
    <w:rsid w:val="002E5AAB"/>
    <w:rsid w:val="002E6734"/>
    <w:rsid w:val="002E6C02"/>
    <w:rsid w:val="002F135F"/>
    <w:rsid w:val="002F192E"/>
    <w:rsid w:val="002F2F28"/>
    <w:rsid w:val="002F3884"/>
    <w:rsid w:val="002F3A54"/>
    <w:rsid w:val="002F42AB"/>
    <w:rsid w:val="002F4310"/>
    <w:rsid w:val="002F46B2"/>
    <w:rsid w:val="002F68A4"/>
    <w:rsid w:val="002F6A26"/>
    <w:rsid w:val="00302402"/>
    <w:rsid w:val="0030280D"/>
    <w:rsid w:val="003044FE"/>
    <w:rsid w:val="003062B1"/>
    <w:rsid w:val="003063AE"/>
    <w:rsid w:val="0030653A"/>
    <w:rsid w:val="003079D2"/>
    <w:rsid w:val="00310060"/>
    <w:rsid w:val="003101B3"/>
    <w:rsid w:val="00312770"/>
    <w:rsid w:val="00313052"/>
    <w:rsid w:val="003155EF"/>
    <w:rsid w:val="003200B3"/>
    <w:rsid w:val="00321BB3"/>
    <w:rsid w:val="00324713"/>
    <w:rsid w:val="00325076"/>
    <w:rsid w:val="003252A2"/>
    <w:rsid w:val="00325A1F"/>
    <w:rsid w:val="00327E21"/>
    <w:rsid w:val="00332051"/>
    <w:rsid w:val="0033316D"/>
    <w:rsid w:val="00333400"/>
    <w:rsid w:val="0033478F"/>
    <w:rsid w:val="00335B7E"/>
    <w:rsid w:val="0033641C"/>
    <w:rsid w:val="003378F7"/>
    <w:rsid w:val="00340483"/>
    <w:rsid w:val="00340EF4"/>
    <w:rsid w:val="003458CB"/>
    <w:rsid w:val="003458E4"/>
    <w:rsid w:val="00346899"/>
    <w:rsid w:val="003479B6"/>
    <w:rsid w:val="003511E6"/>
    <w:rsid w:val="00352F69"/>
    <w:rsid w:val="003539C1"/>
    <w:rsid w:val="0035455C"/>
    <w:rsid w:val="00354931"/>
    <w:rsid w:val="003555AE"/>
    <w:rsid w:val="00356F80"/>
    <w:rsid w:val="00357879"/>
    <w:rsid w:val="00360BC7"/>
    <w:rsid w:val="003614EC"/>
    <w:rsid w:val="003650A6"/>
    <w:rsid w:val="00365338"/>
    <w:rsid w:val="00367678"/>
    <w:rsid w:val="00367FDB"/>
    <w:rsid w:val="0037002C"/>
    <w:rsid w:val="00371EE0"/>
    <w:rsid w:val="00373C1B"/>
    <w:rsid w:val="00380748"/>
    <w:rsid w:val="00380CDF"/>
    <w:rsid w:val="003810F7"/>
    <w:rsid w:val="0038177E"/>
    <w:rsid w:val="003838D3"/>
    <w:rsid w:val="0038436B"/>
    <w:rsid w:val="00384DAA"/>
    <w:rsid w:val="003856C3"/>
    <w:rsid w:val="00386B19"/>
    <w:rsid w:val="00392283"/>
    <w:rsid w:val="00394A7C"/>
    <w:rsid w:val="003A08EF"/>
    <w:rsid w:val="003A0B3F"/>
    <w:rsid w:val="003A0DDA"/>
    <w:rsid w:val="003A1E7D"/>
    <w:rsid w:val="003A373A"/>
    <w:rsid w:val="003A3A3B"/>
    <w:rsid w:val="003A5230"/>
    <w:rsid w:val="003A5A79"/>
    <w:rsid w:val="003A7CC2"/>
    <w:rsid w:val="003B261B"/>
    <w:rsid w:val="003B280B"/>
    <w:rsid w:val="003B3402"/>
    <w:rsid w:val="003B3488"/>
    <w:rsid w:val="003B3D9A"/>
    <w:rsid w:val="003B5F69"/>
    <w:rsid w:val="003B7805"/>
    <w:rsid w:val="003C06F6"/>
    <w:rsid w:val="003C12CE"/>
    <w:rsid w:val="003C1FEE"/>
    <w:rsid w:val="003C2D6C"/>
    <w:rsid w:val="003C5365"/>
    <w:rsid w:val="003C67C2"/>
    <w:rsid w:val="003D0BDC"/>
    <w:rsid w:val="003D181F"/>
    <w:rsid w:val="003D1A00"/>
    <w:rsid w:val="003D1EBE"/>
    <w:rsid w:val="003D2BD4"/>
    <w:rsid w:val="003D2FEA"/>
    <w:rsid w:val="003D3A18"/>
    <w:rsid w:val="003D51B9"/>
    <w:rsid w:val="003D55BC"/>
    <w:rsid w:val="003D5D22"/>
    <w:rsid w:val="003D60A0"/>
    <w:rsid w:val="003E0B82"/>
    <w:rsid w:val="003E1D45"/>
    <w:rsid w:val="003E2952"/>
    <w:rsid w:val="003E312F"/>
    <w:rsid w:val="003E36DD"/>
    <w:rsid w:val="003E47B6"/>
    <w:rsid w:val="003E6690"/>
    <w:rsid w:val="003E6C18"/>
    <w:rsid w:val="003F0B42"/>
    <w:rsid w:val="003F0C5B"/>
    <w:rsid w:val="003F0D6F"/>
    <w:rsid w:val="003F16B9"/>
    <w:rsid w:val="003F2123"/>
    <w:rsid w:val="003F2AAD"/>
    <w:rsid w:val="003F3A16"/>
    <w:rsid w:val="003F6D8E"/>
    <w:rsid w:val="003F73F2"/>
    <w:rsid w:val="00400680"/>
    <w:rsid w:val="00400B0D"/>
    <w:rsid w:val="00401767"/>
    <w:rsid w:val="00401CC4"/>
    <w:rsid w:val="00402167"/>
    <w:rsid w:val="00402F8D"/>
    <w:rsid w:val="00406E52"/>
    <w:rsid w:val="00406EC4"/>
    <w:rsid w:val="00407AAB"/>
    <w:rsid w:val="00410078"/>
    <w:rsid w:val="00410315"/>
    <w:rsid w:val="00410FA9"/>
    <w:rsid w:val="00411771"/>
    <w:rsid w:val="004121BC"/>
    <w:rsid w:val="0041516A"/>
    <w:rsid w:val="00417990"/>
    <w:rsid w:val="00417A13"/>
    <w:rsid w:val="00417EFC"/>
    <w:rsid w:val="0042073D"/>
    <w:rsid w:val="004209DC"/>
    <w:rsid w:val="004210A1"/>
    <w:rsid w:val="00421ABB"/>
    <w:rsid w:val="00421EDC"/>
    <w:rsid w:val="0042268F"/>
    <w:rsid w:val="00422C27"/>
    <w:rsid w:val="004234DA"/>
    <w:rsid w:val="004235A1"/>
    <w:rsid w:val="00424C5D"/>
    <w:rsid w:val="00426C68"/>
    <w:rsid w:val="00427684"/>
    <w:rsid w:val="004321DE"/>
    <w:rsid w:val="0043233D"/>
    <w:rsid w:val="004324E9"/>
    <w:rsid w:val="00432F55"/>
    <w:rsid w:val="00434BAF"/>
    <w:rsid w:val="004355F0"/>
    <w:rsid w:val="004369C4"/>
    <w:rsid w:val="00436BEC"/>
    <w:rsid w:val="0043768F"/>
    <w:rsid w:val="0044060C"/>
    <w:rsid w:val="004420AB"/>
    <w:rsid w:val="00443CD6"/>
    <w:rsid w:val="004455CF"/>
    <w:rsid w:val="00445E78"/>
    <w:rsid w:val="00447B18"/>
    <w:rsid w:val="00447B6F"/>
    <w:rsid w:val="004511CC"/>
    <w:rsid w:val="004561B2"/>
    <w:rsid w:val="00457413"/>
    <w:rsid w:val="00457ED9"/>
    <w:rsid w:val="00457F3A"/>
    <w:rsid w:val="00461C8D"/>
    <w:rsid w:val="00461C93"/>
    <w:rsid w:val="00462633"/>
    <w:rsid w:val="00463C66"/>
    <w:rsid w:val="004676CB"/>
    <w:rsid w:val="00470C88"/>
    <w:rsid w:val="004711B7"/>
    <w:rsid w:val="00471ED8"/>
    <w:rsid w:val="0047384F"/>
    <w:rsid w:val="00474DE7"/>
    <w:rsid w:val="00475E24"/>
    <w:rsid w:val="004771BE"/>
    <w:rsid w:val="00481F6D"/>
    <w:rsid w:val="00484F2E"/>
    <w:rsid w:val="0048530E"/>
    <w:rsid w:val="00485A9E"/>
    <w:rsid w:val="00486277"/>
    <w:rsid w:val="00490543"/>
    <w:rsid w:val="004907AA"/>
    <w:rsid w:val="00490915"/>
    <w:rsid w:val="004911AB"/>
    <w:rsid w:val="00491973"/>
    <w:rsid w:val="004928F0"/>
    <w:rsid w:val="00492E39"/>
    <w:rsid w:val="00494E2E"/>
    <w:rsid w:val="00497DA1"/>
    <w:rsid w:val="004A1336"/>
    <w:rsid w:val="004A37AE"/>
    <w:rsid w:val="004A4CC2"/>
    <w:rsid w:val="004A56C0"/>
    <w:rsid w:val="004A72BE"/>
    <w:rsid w:val="004A770F"/>
    <w:rsid w:val="004B0132"/>
    <w:rsid w:val="004B027D"/>
    <w:rsid w:val="004B1647"/>
    <w:rsid w:val="004B2762"/>
    <w:rsid w:val="004B4312"/>
    <w:rsid w:val="004B6658"/>
    <w:rsid w:val="004B7E85"/>
    <w:rsid w:val="004C02EB"/>
    <w:rsid w:val="004C02EC"/>
    <w:rsid w:val="004C03F8"/>
    <w:rsid w:val="004C4945"/>
    <w:rsid w:val="004C4FDE"/>
    <w:rsid w:val="004C5274"/>
    <w:rsid w:val="004D0CFE"/>
    <w:rsid w:val="004D3DCB"/>
    <w:rsid w:val="004D5576"/>
    <w:rsid w:val="004D56DC"/>
    <w:rsid w:val="004D5D3A"/>
    <w:rsid w:val="004D678B"/>
    <w:rsid w:val="004D6CD0"/>
    <w:rsid w:val="004D7399"/>
    <w:rsid w:val="004E169D"/>
    <w:rsid w:val="004E430B"/>
    <w:rsid w:val="004E4B62"/>
    <w:rsid w:val="004E4BE3"/>
    <w:rsid w:val="004E6855"/>
    <w:rsid w:val="004E757E"/>
    <w:rsid w:val="004F0051"/>
    <w:rsid w:val="004F0B39"/>
    <w:rsid w:val="004F0C3E"/>
    <w:rsid w:val="004F1742"/>
    <w:rsid w:val="004F1934"/>
    <w:rsid w:val="004F26D0"/>
    <w:rsid w:val="004F2D00"/>
    <w:rsid w:val="004F2D61"/>
    <w:rsid w:val="004F3C93"/>
    <w:rsid w:val="004F3F7B"/>
    <w:rsid w:val="004F4240"/>
    <w:rsid w:val="004F48DA"/>
    <w:rsid w:val="004F59A0"/>
    <w:rsid w:val="004F5C3E"/>
    <w:rsid w:val="004F6B1B"/>
    <w:rsid w:val="0050223D"/>
    <w:rsid w:val="005043B7"/>
    <w:rsid w:val="00505DB1"/>
    <w:rsid w:val="00506853"/>
    <w:rsid w:val="0050741A"/>
    <w:rsid w:val="00510C34"/>
    <w:rsid w:val="005111A4"/>
    <w:rsid w:val="00512A89"/>
    <w:rsid w:val="00516562"/>
    <w:rsid w:val="00516EA9"/>
    <w:rsid w:val="00517D7B"/>
    <w:rsid w:val="00521DF1"/>
    <w:rsid w:val="00524687"/>
    <w:rsid w:val="005248A6"/>
    <w:rsid w:val="0052495C"/>
    <w:rsid w:val="005249A3"/>
    <w:rsid w:val="005250FD"/>
    <w:rsid w:val="00525B22"/>
    <w:rsid w:val="00525BD7"/>
    <w:rsid w:val="00525F81"/>
    <w:rsid w:val="005263BA"/>
    <w:rsid w:val="00526B5B"/>
    <w:rsid w:val="00526D1B"/>
    <w:rsid w:val="00527851"/>
    <w:rsid w:val="00527C1C"/>
    <w:rsid w:val="00527DA3"/>
    <w:rsid w:val="00531BB4"/>
    <w:rsid w:val="00531E63"/>
    <w:rsid w:val="00531FAF"/>
    <w:rsid w:val="005335FD"/>
    <w:rsid w:val="005363ED"/>
    <w:rsid w:val="0054093F"/>
    <w:rsid w:val="00541658"/>
    <w:rsid w:val="0054355F"/>
    <w:rsid w:val="005439BB"/>
    <w:rsid w:val="00544325"/>
    <w:rsid w:val="00545541"/>
    <w:rsid w:val="00545BE7"/>
    <w:rsid w:val="0054613F"/>
    <w:rsid w:val="00546CF0"/>
    <w:rsid w:val="00547C41"/>
    <w:rsid w:val="0055001C"/>
    <w:rsid w:val="00550C29"/>
    <w:rsid w:val="00550FE1"/>
    <w:rsid w:val="00551401"/>
    <w:rsid w:val="0055192F"/>
    <w:rsid w:val="00552D3C"/>
    <w:rsid w:val="005531FE"/>
    <w:rsid w:val="005546FD"/>
    <w:rsid w:val="0055514A"/>
    <w:rsid w:val="00557AE9"/>
    <w:rsid w:val="00560997"/>
    <w:rsid w:val="00560E5B"/>
    <w:rsid w:val="0056111C"/>
    <w:rsid w:val="0056185B"/>
    <w:rsid w:val="0056280C"/>
    <w:rsid w:val="00563405"/>
    <w:rsid w:val="00563CF1"/>
    <w:rsid w:val="00564AFB"/>
    <w:rsid w:val="00564D5C"/>
    <w:rsid w:val="00572BCF"/>
    <w:rsid w:val="00573059"/>
    <w:rsid w:val="005733A7"/>
    <w:rsid w:val="00573F2E"/>
    <w:rsid w:val="005755D6"/>
    <w:rsid w:val="00576ED8"/>
    <w:rsid w:val="00577980"/>
    <w:rsid w:val="00577FB2"/>
    <w:rsid w:val="0058079B"/>
    <w:rsid w:val="0058331E"/>
    <w:rsid w:val="00583BB5"/>
    <w:rsid w:val="00584398"/>
    <w:rsid w:val="005866AF"/>
    <w:rsid w:val="005866CE"/>
    <w:rsid w:val="00586A6A"/>
    <w:rsid w:val="00587A05"/>
    <w:rsid w:val="005905EC"/>
    <w:rsid w:val="00591EAB"/>
    <w:rsid w:val="00592ACA"/>
    <w:rsid w:val="00593389"/>
    <w:rsid w:val="00594CFC"/>
    <w:rsid w:val="00594E36"/>
    <w:rsid w:val="00595AFA"/>
    <w:rsid w:val="00595B71"/>
    <w:rsid w:val="00596175"/>
    <w:rsid w:val="00597725"/>
    <w:rsid w:val="00597926"/>
    <w:rsid w:val="005A00A7"/>
    <w:rsid w:val="005A0934"/>
    <w:rsid w:val="005A1555"/>
    <w:rsid w:val="005A1A3D"/>
    <w:rsid w:val="005A1F64"/>
    <w:rsid w:val="005A40D0"/>
    <w:rsid w:val="005A489F"/>
    <w:rsid w:val="005A4AA9"/>
    <w:rsid w:val="005A4D56"/>
    <w:rsid w:val="005A5D5C"/>
    <w:rsid w:val="005A7B3D"/>
    <w:rsid w:val="005B00C2"/>
    <w:rsid w:val="005B1A35"/>
    <w:rsid w:val="005B2E3A"/>
    <w:rsid w:val="005B4357"/>
    <w:rsid w:val="005B5ADD"/>
    <w:rsid w:val="005B68E0"/>
    <w:rsid w:val="005C0AB2"/>
    <w:rsid w:val="005C2B52"/>
    <w:rsid w:val="005C7597"/>
    <w:rsid w:val="005D1005"/>
    <w:rsid w:val="005D10AB"/>
    <w:rsid w:val="005D2DC3"/>
    <w:rsid w:val="005D2FF1"/>
    <w:rsid w:val="005D31A8"/>
    <w:rsid w:val="005D3C50"/>
    <w:rsid w:val="005D5183"/>
    <w:rsid w:val="005D658B"/>
    <w:rsid w:val="005D72E1"/>
    <w:rsid w:val="005D7465"/>
    <w:rsid w:val="005D7C39"/>
    <w:rsid w:val="005E1069"/>
    <w:rsid w:val="005E3450"/>
    <w:rsid w:val="005E3805"/>
    <w:rsid w:val="005E49D2"/>
    <w:rsid w:val="005E5542"/>
    <w:rsid w:val="005E60A5"/>
    <w:rsid w:val="005E69C3"/>
    <w:rsid w:val="005F08CA"/>
    <w:rsid w:val="005F0C30"/>
    <w:rsid w:val="005F11C4"/>
    <w:rsid w:val="005F1E6D"/>
    <w:rsid w:val="005F2F18"/>
    <w:rsid w:val="005F4B3A"/>
    <w:rsid w:val="005F4C21"/>
    <w:rsid w:val="005F526A"/>
    <w:rsid w:val="005F65C5"/>
    <w:rsid w:val="005F7F1B"/>
    <w:rsid w:val="00600086"/>
    <w:rsid w:val="006015C7"/>
    <w:rsid w:val="0060284D"/>
    <w:rsid w:val="00602ADD"/>
    <w:rsid w:val="00603840"/>
    <w:rsid w:val="006046BA"/>
    <w:rsid w:val="006048CD"/>
    <w:rsid w:val="00605C51"/>
    <w:rsid w:val="006069EB"/>
    <w:rsid w:val="0060787C"/>
    <w:rsid w:val="00607FE7"/>
    <w:rsid w:val="00610F21"/>
    <w:rsid w:val="00611B53"/>
    <w:rsid w:val="0061378D"/>
    <w:rsid w:val="00613BBB"/>
    <w:rsid w:val="00614725"/>
    <w:rsid w:val="00615479"/>
    <w:rsid w:val="00616BDF"/>
    <w:rsid w:val="00621017"/>
    <w:rsid w:val="00621527"/>
    <w:rsid w:val="00621765"/>
    <w:rsid w:val="006226E7"/>
    <w:rsid w:val="00622ED7"/>
    <w:rsid w:val="00623614"/>
    <w:rsid w:val="00623AEB"/>
    <w:rsid w:val="00625377"/>
    <w:rsid w:val="00626A46"/>
    <w:rsid w:val="00626E60"/>
    <w:rsid w:val="00627B81"/>
    <w:rsid w:val="00630639"/>
    <w:rsid w:val="00630D2B"/>
    <w:rsid w:val="006318A2"/>
    <w:rsid w:val="006346A7"/>
    <w:rsid w:val="00634C92"/>
    <w:rsid w:val="006351FC"/>
    <w:rsid w:val="00635794"/>
    <w:rsid w:val="0063740B"/>
    <w:rsid w:val="006378BE"/>
    <w:rsid w:val="00637C95"/>
    <w:rsid w:val="006409AC"/>
    <w:rsid w:val="00640F3C"/>
    <w:rsid w:val="0064231E"/>
    <w:rsid w:val="006446E3"/>
    <w:rsid w:val="006460AA"/>
    <w:rsid w:val="00650A96"/>
    <w:rsid w:val="0065177D"/>
    <w:rsid w:val="00651CEB"/>
    <w:rsid w:val="00651CF0"/>
    <w:rsid w:val="006521A8"/>
    <w:rsid w:val="00652217"/>
    <w:rsid w:val="00652C08"/>
    <w:rsid w:val="00653CBB"/>
    <w:rsid w:val="0065647B"/>
    <w:rsid w:val="00656C9C"/>
    <w:rsid w:val="006600FA"/>
    <w:rsid w:val="006603A7"/>
    <w:rsid w:val="006603AA"/>
    <w:rsid w:val="006616AF"/>
    <w:rsid w:val="00663EDA"/>
    <w:rsid w:val="0066426E"/>
    <w:rsid w:val="00664600"/>
    <w:rsid w:val="00667CF2"/>
    <w:rsid w:val="0067081F"/>
    <w:rsid w:val="00670F50"/>
    <w:rsid w:val="006716FB"/>
    <w:rsid w:val="0067175C"/>
    <w:rsid w:val="006723AA"/>
    <w:rsid w:val="00676F1C"/>
    <w:rsid w:val="006813D6"/>
    <w:rsid w:val="00681B91"/>
    <w:rsid w:val="006820A7"/>
    <w:rsid w:val="00683D4B"/>
    <w:rsid w:val="006841A7"/>
    <w:rsid w:val="006842BA"/>
    <w:rsid w:val="006844EB"/>
    <w:rsid w:val="00685886"/>
    <w:rsid w:val="00687E2E"/>
    <w:rsid w:val="00690F7A"/>
    <w:rsid w:val="00691CB0"/>
    <w:rsid w:val="00692137"/>
    <w:rsid w:val="00692780"/>
    <w:rsid w:val="00693881"/>
    <w:rsid w:val="006948FA"/>
    <w:rsid w:val="00696886"/>
    <w:rsid w:val="006968B9"/>
    <w:rsid w:val="00696A75"/>
    <w:rsid w:val="00696AAD"/>
    <w:rsid w:val="006A2575"/>
    <w:rsid w:val="006A30E9"/>
    <w:rsid w:val="006A3A0F"/>
    <w:rsid w:val="006A3CE7"/>
    <w:rsid w:val="006A75F0"/>
    <w:rsid w:val="006A780A"/>
    <w:rsid w:val="006B16AA"/>
    <w:rsid w:val="006B1C8C"/>
    <w:rsid w:val="006B2B4A"/>
    <w:rsid w:val="006B30CC"/>
    <w:rsid w:val="006B37EC"/>
    <w:rsid w:val="006B38BB"/>
    <w:rsid w:val="006B3AA0"/>
    <w:rsid w:val="006B4903"/>
    <w:rsid w:val="006B5A0F"/>
    <w:rsid w:val="006B6544"/>
    <w:rsid w:val="006B69DC"/>
    <w:rsid w:val="006B6C0D"/>
    <w:rsid w:val="006B6EFF"/>
    <w:rsid w:val="006C0EAA"/>
    <w:rsid w:val="006C2BF4"/>
    <w:rsid w:val="006C363F"/>
    <w:rsid w:val="006C3D56"/>
    <w:rsid w:val="006C3F8E"/>
    <w:rsid w:val="006C591C"/>
    <w:rsid w:val="006C5B62"/>
    <w:rsid w:val="006C7B33"/>
    <w:rsid w:val="006C7B8A"/>
    <w:rsid w:val="006D0AEA"/>
    <w:rsid w:val="006D385B"/>
    <w:rsid w:val="006D4B15"/>
    <w:rsid w:val="006D5A0C"/>
    <w:rsid w:val="006D5BB5"/>
    <w:rsid w:val="006D5D15"/>
    <w:rsid w:val="006D77A4"/>
    <w:rsid w:val="006E01F1"/>
    <w:rsid w:val="006E083B"/>
    <w:rsid w:val="006E0A01"/>
    <w:rsid w:val="006E0ED3"/>
    <w:rsid w:val="006E2771"/>
    <w:rsid w:val="006E29FF"/>
    <w:rsid w:val="006E2F4D"/>
    <w:rsid w:val="006E3177"/>
    <w:rsid w:val="006E52F2"/>
    <w:rsid w:val="006E7036"/>
    <w:rsid w:val="006E787E"/>
    <w:rsid w:val="006F31B4"/>
    <w:rsid w:val="006F571D"/>
    <w:rsid w:val="006F6109"/>
    <w:rsid w:val="00700089"/>
    <w:rsid w:val="00701E2F"/>
    <w:rsid w:val="00702C39"/>
    <w:rsid w:val="00704412"/>
    <w:rsid w:val="00705DA9"/>
    <w:rsid w:val="00707829"/>
    <w:rsid w:val="00707FDA"/>
    <w:rsid w:val="0071150B"/>
    <w:rsid w:val="007121ED"/>
    <w:rsid w:val="007122EF"/>
    <w:rsid w:val="007142F4"/>
    <w:rsid w:val="00714648"/>
    <w:rsid w:val="00715725"/>
    <w:rsid w:val="00715D3C"/>
    <w:rsid w:val="0071639B"/>
    <w:rsid w:val="007166D4"/>
    <w:rsid w:val="00720248"/>
    <w:rsid w:val="00720E63"/>
    <w:rsid w:val="00722146"/>
    <w:rsid w:val="007228F1"/>
    <w:rsid w:val="00723F0C"/>
    <w:rsid w:val="007243C9"/>
    <w:rsid w:val="00725479"/>
    <w:rsid w:val="0072599D"/>
    <w:rsid w:val="00725AD8"/>
    <w:rsid w:val="00727B6E"/>
    <w:rsid w:val="00731F60"/>
    <w:rsid w:val="007327B5"/>
    <w:rsid w:val="007334F3"/>
    <w:rsid w:val="0073409D"/>
    <w:rsid w:val="0073485F"/>
    <w:rsid w:val="007358E1"/>
    <w:rsid w:val="00736059"/>
    <w:rsid w:val="00736B84"/>
    <w:rsid w:val="00740307"/>
    <w:rsid w:val="00740CA8"/>
    <w:rsid w:val="00741031"/>
    <w:rsid w:val="00743673"/>
    <w:rsid w:val="007443EE"/>
    <w:rsid w:val="00750974"/>
    <w:rsid w:val="00751A08"/>
    <w:rsid w:val="0075291E"/>
    <w:rsid w:val="00753DE1"/>
    <w:rsid w:val="00754037"/>
    <w:rsid w:val="00755091"/>
    <w:rsid w:val="00756A86"/>
    <w:rsid w:val="00760FC0"/>
    <w:rsid w:val="007619C8"/>
    <w:rsid w:val="0076381C"/>
    <w:rsid w:val="00763C29"/>
    <w:rsid w:val="00763D0C"/>
    <w:rsid w:val="0076451C"/>
    <w:rsid w:val="0077056D"/>
    <w:rsid w:val="00771451"/>
    <w:rsid w:val="00774C31"/>
    <w:rsid w:val="00782CE0"/>
    <w:rsid w:val="00783F93"/>
    <w:rsid w:val="00785198"/>
    <w:rsid w:val="00786433"/>
    <w:rsid w:val="00790785"/>
    <w:rsid w:val="0079153F"/>
    <w:rsid w:val="0079168C"/>
    <w:rsid w:val="007916F0"/>
    <w:rsid w:val="007935A9"/>
    <w:rsid w:val="00794D89"/>
    <w:rsid w:val="007952C0"/>
    <w:rsid w:val="00795C98"/>
    <w:rsid w:val="00797A1B"/>
    <w:rsid w:val="007A131F"/>
    <w:rsid w:val="007A18F8"/>
    <w:rsid w:val="007A419F"/>
    <w:rsid w:val="007A5F8D"/>
    <w:rsid w:val="007A7AC2"/>
    <w:rsid w:val="007A7D98"/>
    <w:rsid w:val="007B0BBD"/>
    <w:rsid w:val="007B1E0A"/>
    <w:rsid w:val="007B4BAE"/>
    <w:rsid w:val="007B6133"/>
    <w:rsid w:val="007B689D"/>
    <w:rsid w:val="007B74E1"/>
    <w:rsid w:val="007B7724"/>
    <w:rsid w:val="007C58E5"/>
    <w:rsid w:val="007C5E7A"/>
    <w:rsid w:val="007C6308"/>
    <w:rsid w:val="007C7B4D"/>
    <w:rsid w:val="007D0CFA"/>
    <w:rsid w:val="007D1B19"/>
    <w:rsid w:val="007D1C61"/>
    <w:rsid w:val="007D25A2"/>
    <w:rsid w:val="007D45A0"/>
    <w:rsid w:val="007D5732"/>
    <w:rsid w:val="007D5F31"/>
    <w:rsid w:val="007D7BFB"/>
    <w:rsid w:val="007E1DEF"/>
    <w:rsid w:val="007E442E"/>
    <w:rsid w:val="007E46DA"/>
    <w:rsid w:val="007E49EA"/>
    <w:rsid w:val="007E4A77"/>
    <w:rsid w:val="007E4B6B"/>
    <w:rsid w:val="007E5EE4"/>
    <w:rsid w:val="007E6435"/>
    <w:rsid w:val="007E6789"/>
    <w:rsid w:val="007E72CF"/>
    <w:rsid w:val="007E7CB9"/>
    <w:rsid w:val="007F0DCF"/>
    <w:rsid w:val="007F0FBC"/>
    <w:rsid w:val="007F24C6"/>
    <w:rsid w:val="007F47EB"/>
    <w:rsid w:val="007F572F"/>
    <w:rsid w:val="007F5828"/>
    <w:rsid w:val="007F5A2F"/>
    <w:rsid w:val="007F5CD0"/>
    <w:rsid w:val="007F61B5"/>
    <w:rsid w:val="007F690F"/>
    <w:rsid w:val="007F7B5C"/>
    <w:rsid w:val="007F7DB9"/>
    <w:rsid w:val="007F7E06"/>
    <w:rsid w:val="00800A37"/>
    <w:rsid w:val="0080146A"/>
    <w:rsid w:val="00802C7C"/>
    <w:rsid w:val="00802E4A"/>
    <w:rsid w:val="008039F4"/>
    <w:rsid w:val="008042FF"/>
    <w:rsid w:val="00804689"/>
    <w:rsid w:val="00805183"/>
    <w:rsid w:val="0080521B"/>
    <w:rsid w:val="00805522"/>
    <w:rsid w:val="0080575A"/>
    <w:rsid w:val="00805F47"/>
    <w:rsid w:val="0080617F"/>
    <w:rsid w:val="0080691D"/>
    <w:rsid w:val="008111D2"/>
    <w:rsid w:val="00811258"/>
    <w:rsid w:val="008112F4"/>
    <w:rsid w:val="0081147B"/>
    <w:rsid w:val="008117C7"/>
    <w:rsid w:val="00813992"/>
    <w:rsid w:val="008142B4"/>
    <w:rsid w:val="00815553"/>
    <w:rsid w:val="008164C9"/>
    <w:rsid w:val="00817437"/>
    <w:rsid w:val="008177B3"/>
    <w:rsid w:val="00817849"/>
    <w:rsid w:val="00820D75"/>
    <w:rsid w:val="00820FFF"/>
    <w:rsid w:val="00821185"/>
    <w:rsid w:val="0082189B"/>
    <w:rsid w:val="00821F30"/>
    <w:rsid w:val="008221CC"/>
    <w:rsid w:val="00822949"/>
    <w:rsid w:val="00822F97"/>
    <w:rsid w:val="0082568C"/>
    <w:rsid w:val="00826ADC"/>
    <w:rsid w:val="008277C8"/>
    <w:rsid w:val="00830322"/>
    <w:rsid w:val="00832127"/>
    <w:rsid w:val="0083400C"/>
    <w:rsid w:val="00834BF1"/>
    <w:rsid w:val="008367AD"/>
    <w:rsid w:val="0083763F"/>
    <w:rsid w:val="00837994"/>
    <w:rsid w:val="00837BCF"/>
    <w:rsid w:val="00837DEE"/>
    <w:rsid w:val="00840BAD"/>
    <w:rsid w:val="00841B7B"/>
    <w:rsid w:val="00841CF8"/>
    <w:rsid w:val="00842A2A"/>
    <w:rsid w:val="00842E81"/>
    <w:rsid w:val="0084312F"/>
    <w:rsid w:val="0084521A"/>
    <w:rsid w:val="008454C9"/>
    <w:rsid w:val="00845A32"/>
    <w:rsid w:val="0084629B"/>
    <w:rsid w:val="008464DD"/>
    <w:rsid w:val="00847029"/>
    <w:rsid w:val="00850307"/>
    <w:rsid w:val="00850A22"/>
    <w:rsid w:val="008556D1"/>
    <w:rsid w:val="008561D7"/>
    <w:rsid w:val="008562D5"/>
    <w:rsid w:val="00856F91"/>
    <w:rsid w:val="008615E8"/>
    <w:rsid w:val="00861A60"/>
    <w:rsid w:val="00863593"/>
    <w:rsid w:val="00864CB2"/>
    <w:rsid w:val="00865467"/>
    <w:rsid w:val="00865A83"/>
    <w:rsid w:val="00871004"/>
    <w:rsid w:val="00871854"/>
    <w:rsid w:val="00872A02"/>
    <w:rsid w:val="00873F70"/>
    <w:rsid w:val="008766BA"/>
    <w:rsid w:val="00877FDD"/>
    <w:rsid w:val="00880966"/>
    <w:rsid w:val="00881277"/>
    <w:rsid w:val="00881529"/>
    <w:rsid w:val="00881DEC"/>
    <w:rsid w:val="00882B70"/>
    <w:rsid w:val="00883337"/>
    <w:rsid w:val="0088368E"/>
    <w:rsid w:val="0088383D"/>
    <w:rsid w:val="00883BC8"/>
    <w:rsid w:val="00883E02"/>
    <w:rsid w:val="00884A13"/>
    <w:rsid w:val="00885905"/>
    <w:rsid w:val="00886A37"/>
    <w:rsid w:val="0088700C"/>
    <w:rsid w:val="0089004C"/>
    <w:rsid w:val="00891E13"/>
    <w:rsid w:val="00897237"/>
    <w:rsid w:val="008978AD"/>
    <w:rsid w:val="008A229E"/>
    <w:rsid w:val="008A3834"/>
    <w:rsid w:val="008B000E"/>
    <w:rsid w:val="008B1718"/>
    <w:rsid w:val="008B174B"/>
    <w:rsid w:val="008B198C"/>
    <w:rsid w:val="008B4001"/>
    <w:rsid w:val="008B586B"/>
    <w:rsid w:val="008B6942"/>
    <w:rsid w:val="008C09E4"/>
    <w:rsid w:val="008C0C5D"/>
    <w:rsid w:val="008C2ECD"/>
    <w:rsid w:val="008C580A"/>
    <w:rsid w:val="008C61CD"/>
    <w:rsid w:val="008C6F8E"/>
    <w:rsid w:val="008D05CE"/>
    <w:rsid w:val="008D2BAA"/>
    <w:rsid w:val="008D3311"/>
    <w:rsid w:val="008D4707"/>
    <w:rsid w:val="008D5CFC"/>
    <w:rsid w:val="008D5DB9"/>
    <w:rsid w:val="008D679B"/>
    <w:rsid w:val="008E0C8A"/>
    <w:rsid w:val="008E0DAB"/>
    <w:rsid w:val="008E127E"/>
    <w:rsid w:val="008E2AE3"/>
    <w:rsid w:val="008E33C2"/>
    <w:rsid w:val="008E3415"/>
    <w:rsid w:val="008E3825"/>
    <w:rsid w:val="008E3AA3"/>
    <w:rsid w:val="008E5F1F"/>
    <w:rsid w:val="008F1E69"/>
    <w:rsid w:val="008F1F3D"/>
    <w:rsid w:val="008F3245"/>
    <w:rsid w:val="008F5811"/>
    <w:rsid w:val="008F7F37"/>
    <w:rsid w:val="009005B7"/>
    <w:rsid w:val="00900C23"/>
    <w:rsid w:val="00901A52"/>
    <w:rsid w:val="00902252"/>
    <w:rsid w:val="00902719"/>
    <w:rsid w:val="009029D5"/>
    <w:rsid w:val="00903131"/>
    <w:rsid w:val="00903C15"/>
    <w:rsid w:val="00903ED5"/>
    <w:rsid w:val="00904413"/>
    <w:rsid w:val="00904443"/>
    <w:rsid w:val="00904E9F"/>
    <w:rsid w:val="00906479"/>
    <w:rsid w:val="00907C50"/>
    <w:rsid w:val="009107E6"/>
    <w:rsid w:val="00910EF3"/>
    <w:rsid w:val="0091108A"/>
    <w:rsid w:val="00912B61"/>
    <w:rsid w:val="00913B7E"/>
    <w:rsid w:val="00914702"/>
    <w:rsid w:val="00914B45"/>
    <w:rsid w:val="00916FB4"/>
    <w:rsid w:val="00916FE6"/>
    <w:rsid w:val="0091703E"/>
    <w:rsid w:val="00920C0C"/>
    <w:rsid w:val="00922A25"/>
    <w:rsid w:val="00922FDA"/>
    <w:rsid w:val="00927565"/>
    <w:rsid w:val="00930D61"/>
    <w:rsid w:val="00931049"/>
    <w:rsid w:val="00931DF4"/>
    <w:rsid w:val="0093234D"/>
    <w:rsid w:val="00933BE0"/>
    <w:rsid w:val="00935F9F"/>
    <w:rsid w:val="0093686D"/>
    <w:rsid w:val="00937880"/>
    <w:rsid w:val="0093799C"/>
    <w:rsid w:val="00937DC3"/>
    <w:rsid w:val="00940377"/>
    <w:rsid w:val="00940D15"/>
    <w:rsid w:val="00941B35"/>
    <w:rsid w:val="00941E7B"/>
    <w:rsid w:val="00946229"/>
    <w:rsid w:val="00946B4F"/>
    <w:rsid w:val="00947494"/>
    <w:rsid w:val="009476ED"/>
    <w:rsid w:val="00947A45"/>
    <w:rsid w:val="00947E77"/>
    <w:rsid w:val="00950485"/>
    <w:rsid w:val="00951D1E"/>
    <w:rsid w:val="00952826"/>
    <w:rsid w:val="00953FB3"/>
    <w:rsid w:val="009544A1"/>
    <w:rsid w:val="00954ABA"/>
    <w:rsid w:val="00954F24"/>
    <w:rsid w:val="00955730"/>
    <w:rsid w:val="00956A12"/>
    <w:rsid w:val="00956FF6"/>
    <w:rsid w:val="009571BF"/>
    <w:rsid w:val="00960D3F"/>
    <w:rsid w:val="00960F19"/>
    <w:rsid w:val="00962A90"/>
    <w:rsid w:val="00962B34"/>
    <w:rsid w:val="00970588"/>
    <w:rsid w:val="00971306"/>
    <w:rsid w:val="00972AC8"/>
    <w:rsid w:val="00972FD8"/>
    <w:rsid w:val="009736A4"/>
    <w:rsid w:val="009753C4"/>
    <w:rsid w:val="0097568A"/>
    <w:rsid w:val="00981759"/>
    <w:rsid w:val="0098213B"/>
    <w:rsid w:val="00985588"/>
    <w:rsid w:val="00985F8E"/>
    <w:rsid w:val="0098618A"/>
    <w:rsid w:val="009862AE"/>
    <w:rsid w:val="00986FB7"/>
    <w:rsid w:val="0098742D"/>
    <w:rsid w:val="009905C7"/>
    <w:rsid w:val="00992F2C"/>
    <w:rsid w:val="0099667B"/>
    <w:rsid w:val="00996B32"/>
    <w:rsid w:val="009A1A0F"/>
    <w:rsid w:val="009A3ABC"/>
    <w:rsid w:val="009A4A1E"/>
    <w:rsid w:val="009A5CF4"/>
    <w:rsid w:val="009A6D67"/>
    <w:rsid w:val="009A75C5"/>
    <w:rsid w:val="009A7FC2"/>
    <w:rsid w:val="009B1C3D"/>
    <w:rsid w:val="009B1EB1"/>
    <w:rsid w:val="009B451E"/>
    <w:rsid w:val="009B4B10"/>
    <w:rsid w:val="009B4ECD"/>
    <w:rsid w:val="009B566E"/>
    <w:rsid w:val="009B71A9"/>
    <w:rsid w:val="009B77B5"/>
    <w:rsid w:val="009B7B90"/>
    <w:rsid w:val="009B7C59"/>
    <w:rsid w:val="009C1CB0"/>
    <w:rsid w:val="009C4B8A"/>
    <w:rsid w:val="009C5B3B"/>
    <w:rsid w:val="009C7837"/>
    <w:rsid w:val="009D4478"/>
    <w:rsid w:val="009D48AC"/>
    <w:rsid w:val="009D4C18"/>
    <w:rsid w:val="009D4D50"/>
    <w:rsid w:val="009D5104"/>
    <w:rsid w:val="009D53E2"/>
    <w:rsid w:val="009E12E5"/>
    <w:rsid w:val="009E1478"/>
    <w:rsid w:val="009E174C"/>
    <w:rsid w:val="009E1B1D"/>
    <w:rsid w:val="009E1CE2"/>
    <w:rsid w:val="009E2526"/>
    <w:rsid w:val="009E2CD4"/>
    <w:rsid w:val="009E2E9A"/>
    <w:rsid w:val="009E30DE"/>
    <w:rsid w:val="009E4F3D"/>
    <w:rsid w:val="009E5A79"/>
    <w:rsid w:val="009E5AB4"/>
    <w:rsid w:val="009E6208"/>
    <w:rsid w:val="009E62BA"/>
    <w:rsid w:val="009E6DB9"/>
    <w:rsid w:val="009F22BB"/>
    <w:rsid w:val="009F4F11"/>
    <w:rsid w:val="009F55FB"/>
    <w:rsid w:val="009F5B58"/>
    <w:rsid w:val="009F60DD"/>
    <w:rsid w:val="009F7B01"/>
    <w:rsid w:val="00A00600"/>
    <w:rsid w:val="00A00A24"/>
    <w:rsid w:val="00A023A1"/>
    <w:rsid w:val="00A03744"/>
    <w:rsid w:val="00A043CB"/>
    <w:rsid w:val="00A0511E"/>
    <w:rsid w:val="00A05249"/>
    <w:rsid w:val="00A05390"/>
    <w:rsid w:val="00A07837"/>
    <w:rsid w:val="00A10BB2"/>
    <w:rsid w:val="00A10E4D"/>
    <w:rsid w:val="00A13BBD"/>
    <w:rsid w:val="00A14769"/>
    <w:rsid w:val="00A15086"/>
    <w:rsid w:val="00A15E63"/>
    <w:rsid w:val="00A16317"/>
    <w:rsid w:val="00A1638D"/>
    <w:rsid w:val="00A215B1"/>
    <w:rsid w:val="00A21D53"/>
    <w:rsid w:val="00A23122"/>
    <w:rsid w:val="00A24123"/>
    <w:rsid w:val="00A24654"/>
    <w:rsid w:val="00A24BB5"/>
    <w:rsid w:val="00A24C86"/>
    <w:rsid w:val="00A251EA"/>
    <w:rsid w:val="00A27413"/>
    <w:rsid w:val="00A3102B"/>
    <w:rsid w:val="00A313BC"/>
    <w:rsid w:val="00A31E80"/>
    <w:rsid w:val="00A3299F"/>
    <w:rsid w:val="00A32B73"/>
    <w:rsid w:val="00A32CCC"/>
    <w:rsid w:val="00A32D2C"/>
    <w:rsid w:val="00A33CB1"/>
    <w:rsid w:val="00A35C33"/>
    <w:rsid w:val="00A36177"/>
    <w:rsid w:val="00A363C0"/>
    <w:rsid w:val="00A366D1"/>
    <w:rsid w:val="00A37FF7"/>
    <w:rsid w:val="00A4035E"/>
    <w:rsid w:val="00A40A3C"/>
    <w:rsid w:val="00A4137C"/>
    <w:rsid w:val="00A4384A"/>
    <w:rsid w:val="00A43ED2"/>
    <w:rsid w:val="00A45586"/>
    <w:rsid w:val="00A467D0"/>
    <w:rsid w:val="00A46B6B"/>
    <w:rsid w:val="00A475AA"/>
    <w:rsid w:val="00A50DF8"/>
    <w:rsid w:val="00A5201B"/>
    <w:rsid w:val="00A53AB8"/>
    <w:rsid w:val="00A55689"/>
    <w:rsid w:val="00A600A2"/>
    <w:rsid w:val="00A60306"/>
    <w:rsid w:val="00A60693"/>
    <w:rsid w:val="00A62401"/>
    <w:rsid w:val="00A629B4"/>
    <w:rsid w:val="00A62CFD"/>
    <w:rsid w:val="00A66838"/>
    <w:rsid w:val="00A67BF6"/>
    <w:rsid w:val="00A7020A"/>
    <w:rsid w:val="00A70911"/>
    <w:rsid w:val="00A716A5"/>
    <w:rsid w:val="00A7212F"/>
    <w:rsid w:val="00A72A72"/>
    <w:rsid w:val="00A72DC0"/>
    <w:rsid w:val="00A7339A"/>
    <w:rsid w:val="00A73471"/>
    <w:rsid w:val="00A73B4D"/>
    <w:rsid w:val="00A73EFB"/>
    <w:rsid w:val="00A74035"/>
    <w:rsid w:val="00A75843"/>
    <w:rsid w:val="00A75DB3"/>
    <w:rsid w:val="00A7605C"/>
    <w:rsid w:val="00A76A1F"/>
    <w:rsid w:val="00A76E8C"/>
    <w:rsid w:val="00A77A0E"/>
    <w:rsid w:val="00A77AC7"/>
    <w:rsid w:val="00A803B6"/>
    <w:rsid w:val="00A809AD"/>
    <w:rsid w:val="00A80A92"/>
    <w:rsid w:val="00A80E0E"/>
    <w:rsid w:val="00A81989"/>
    <w:rsid w:val="00A82F6B"/>
    <w:rsid w:val="00A8328B"/>
    <w:rsid w:val="00A83A4B"/>
    <w:rsid w:val="00A84A8E"/>
    <w:rsid w:val="00A8563F"/>
    <w:rsid w:val="00A85976"/>
    <w:rsid w:val="00A86EFC"/>
    <w:rsid w:val="00A87011"/>
    <w:rsid w:val="00A87ADB"/>
    <w:rsid w:val="00A91399"/>
    <w:rsid w:val="00A91BA7"/>
    <w:rsid w:val="00A92178"/>
    <w:rsid w:val="00A922F1"/>
    <w:rsid w:val="00A9248A"/>
    <w:rsid w:val="00A933D4"/>
    <w:rsid w:val="00A9348B"/>
    <w:rsid w:val="00A9578F"/>
    <w:rsid w:val="00A97085"/>
    <w:rsid w:val="00A97BE4"/>
    <w:rsid w:val="00AA03C9"/>
    <w:rsid w:val="00AA26C7"/>
    <w:rsid w:val="00AA2960"/>
    <w:rsid w:val="00AA37C4"/>
    <w:rsid w:val="00AA3CDC"/>
    <w:rsid w:val="00AA57B7"/>
    <w:rsid w:val="00AA7630"/>
    <w:rsid w:val="00AA7915"/>
    <w:rsid w:val="00AA79FA"/>
    <w:rsid w:val="00AB095B"/>
    <w:rsid w:val="00AB1E8F"/>
    <w:rsid w:val="00AB26B4"/>
    <w:rsid w:val="00AB462A"/>
    <w:rsid w:val="00AB5642"/>
    <w:rsid w:val="00AB6520"/>
    <w:rsid w:val="00AB730E"/>
    <w:rsid w:val="00AC10AB"/>
    <w:rsid w:val="00AC1D90"/>
    <w:rsid w:val="00AC30CC"/>
    <w:rsid w:val="00AC6B67"/>
    <w:rsid w:val="00AC71F0"/>
    <w:rsid w:val="00AD0A24"/>
    <w:rsid w:val="00AD2C63"/>
    <w:rsid w:val="00AD415F"/>
    <w:rsid w:val="00AD5005"/>
    <w:rsid w:val="00AD56B6"/>
    <w:rsid w:val="00AD5743"/>
    <w:rsid w:val="00AD5E98"/>
    <w:rsid w:val="00AD7111"/>
    <w:rsid w:val="00AD7253"/>
    <w:rsid w:val="00AD7714"/>
    <w:rsid w:val="00AD7AC3"/>
    <w:rsid w:val="00AE0C14"/>
    <w:rsid w:val="00AE1885"/>
    <w:rsid w:val="00AE2863"/>
    <w:rsid w:val="00AE38B3"/>
    <w:rsid w:val="00AE40D5"/>
    <w:rsid w:val="00AE609F"/>
    <w:rsid w:val="00AE6E83"/>
    <w:rsid w:val="00AE7813"/>
    <w:rsid w:val="00AF0344"/>
    <w:rsid w:val="00AF1FFE"/>
    <w:rsid w:val="00AF3F3A"/>
    <w:rsid w:val="00AF4B50"/>
    <w:rsid w:val="00AF5B77"/>
    <w:rsid w:val="00AF6ADE"/>
    <w:rsid w:val="00AF7302"/>
    <w:rsid w:val="00B00C68"/>
    <w:rsid w:val="00B018EA"/>
    <w:rsid w:val="00B02AAA"/>
    <w:rsid w:val="00B02DEC"/>
    <w:rsid w:val="00B0410E"/>
    <w:rsid w:val="00B04EFA"/>
    <w:rsid w:val="00B053CB"/>
    <w:rsid w:val="00B06922"/>
    <w:rsid w:val="00B105B2"/>
    <w:rsid w:val="00B10DA1"/>
    <w:rsid w:val="00B13571"/>
    <w:rsid w:val="00B1375E"/>
    <w:rsid w:val="00B13E2C"/>
    <w:rsid w:val="00B1549C"/>
    <w:rsid w:val="00B1596B"/>
    <w:rsid w:val="00B17066"/>
    <w:rsid w:val="00B175DC"/>
    <w:rsid w:val="00B17B68"/>
    <w:rsid w:val="00B20853"/>
    <w:rsid w:val="00B22E62"/>
    <w:rsid w:val="00B22FE2"/>
    <w:rsid w:val="00B231C8"/>
    <w:rsid w:val="00B25194"/>
    <w:rsid w:val="00B30462"/>
    <w:rsid w:val="00B30DA0"/>
    <w:rsid w:val="00B30DB5"/>
    <w:rsid w:val="00B316FD"/>
    <w:rsid w:val="00B318BD"/>
    <w:rsid w:val="00B32F31"/>
    <w:rsid w:val="00B33D76"/>
    <w:rsid w:val="00B345F1"/>
    <w:rsid w:val="00B415B2"/>
    <w:rsid w:val="00B41715"/>
    <w:rsid w:val="00B425A2"/>
    <w:rsid w:val="00B459E7"/>
    <w:rsid w:val="00B4630A"/>
    <w:rsid w:val="00B46BFF"/>
    <w:rsid w:val="00B46C57"/>
    <w:rsid w:val="00B47A26"/>
    <w:rsid w:val="00B545BB"/>
    <w:rsid w:val="00B54F98"/>
    <w:rsid w:val="00B5505F"/>
    <w:rsid w:val="00B55A6C"/>
    <w:rsid w:val="00B562E8"/>
    <w:rsid w:val="00B56934"/>
    <w:rsid w:val="00B60F77"/>
    <w:rsid w:val="00B62207"/>
    <w:rsid w:val="00B6255F"/>
    <w:rsid w:val="00B659EB"/>
    <w:rsid w:val="00B6680F"/>
    <w:rsid w:val="00B67AA3"/>
    <w:rsid w:val="00B729A4"/>
    <w:rsid w:val="00B7345F"/>
    <w:rsid w:val="00B76623"/>
    <w:rsid w:val="00B76826"/>
    <w:rsid w:val="00B772B5"/>
    <w:rsid w:val="00B8007F"/>
    <w:rsid w:val="00B81B41"/>
    <w:rsid w:val="00B826D2"/>
    <w:rsid w:val="00B85069"/>
    <w:rsid w:val="00B901A5"/>
    <w:rsid w:val="00B92610"/>
    <w:rsid w:val="00B935F0"/>
    <w:rsid w:val="00BA2F04"/>
    <w:rsid w:val="00BA38B7"/>
    <w:rsid w:val="00BA461E"/>
    <w:rsid w:val="00BA4D92"/>
    <w:rsid w:val="00BA4FC6"/>
    <w:rsid w:val="00BA60C3"/>
    <w:rsid w:val="00BA6B3C"/>
    <w:rsid w:val="00BB05A7"/>
    <w:rsid w:val="00BB14BA"/>
    <w:rsid w:val="00BB2788"/>
    <w:rsid w:val="00BB2B6D"/>
    <w:rsid w:val="00BB2EA6"/>
    <w:rsid w:val="00BB47D7"/>
    <w:rsid w:val="00BB553A"/>
    <w:rsid w:val="00BB76C7"/>
    <w:rsid w:val="00BC0883"/>
    <w:rsid w:val="00BC222C"/>
    <w:rsid w:val="00BC2A51"/>
    <w:rsid w:val="00BC571F"/>
    <w:rsid w:val="00BC61BB"/>
    <w:rsid w:val="00BC7220"/>
    <w:rsid w:val="00BC7FEB"/>
    <w:rsid w:val="00BD0879"/>
    <w:rsid w:val="00BD0AF2"/>
    <w:rsid w:val="00BD1109"/>
    <w:rsid w:val="00BD1F72"/>
    <w:rsid w:val="00BD2304"/>
    <w:rsid w:val="00BD25B4"/>
    <w:rsid w:val="00BD2BFA"/>
    <w:rsid w:val="00BD31A7"/>
    <w:rsid w:val="00BD5A4E"/>
    <w:rsid w:val="00BD64E8"/>
    <w:rsid w:val="00BE148C"/>
    <w:rsid w:val="00BE32E4"/>
    <w:rsid w:val="00BE3D2C"/>
    <w:rsid w:val="00BE43C2"/>
    <w:rsid w:val="00BE4D58"/>
    <w:rsid w:val="00BE639C"/>
    <w:rsid w:val="00BE641E"/>
    <w:rsid w:val="00BE656F"/>
    <w:rsid w:val="00BF09B5"/>
    <w:rsid w:val="00BF0CF2"/>
    <w:rsid w:val="00BF139B"/>
    <w:rsid w:val="00BF1969"/>
    <w:rsid w:val="00BF2F53"/>
    <w:rsid w:val="00BF3F23"/>
    <w:rsid w:val="00BF4C90"/>
    <w:rsid w:val="00BF4D14"/>
    <w:rsid w:val="00BF52BB"/>
    <w:rsid w:val="00C02CAB"/>
    <w:rsid w:val="00C02EE1"/>
    <w:rsid w:val="00C0324D"/>
    <w:rsid w:val="00C032A8"/>
    <w:rsid w:val="00C039CF"/>
    <w:rsid w:val="00C066F1"/>
    <w:rsid w:val="00C07259"/>
    <w:rsid w:val="00C073DE"/>
    <w:rsid w:val="00C07466"/>
    <w:rsid w:val="00C11148"/>
    <w:rsid w:val="00C120AA"/>
    <w:rsid w:val="00C13C5F"/>
    <w:rsid w:val="00C15495"/>
    <w:rsid w:val="00C166DF"/>
    <w:rsid w:val="00C170C5"/>
    <w:rsid w:val="00C20196"/>
    <w:rsid w:val="00C20A07"/>
    <w:rsid w:val="00C2139E"/>
    <w:rsid w:val="00C21B66"/>
    <w:rsid w:val="00C23BEE"/>
    <w:rsid w:val="00C24109"/>
    <w:rsid w:val="00C24354"/>
    <w:rsid w:val="00C2502D"/>
    <w:rsid w:val="00C2581A"/>
    <w:rsid w:val="00C25B17"/>
    <w:rsid w:val="00C25D5A"/>
    <w:rsid w:val="00C27A71"/>
    <w:rsid w:val="00C31261"/>
    <w:rsid w:val="00C32525"/>
    <w:rsid w:val="00C32B26"/>
    <w:rsid w:val="00C34142"/>
    <w:rsid w:val="00C341D9"/>
    <w:rsid w:val="00C35669"/>
    <w:rsid w:val="00C35D90"/>
    <w:rsid w:val="00C37157"/>
    <w:rsid w:val="00C37228"/>
    <w:rsid w:val="00C37C5D"/>
    <w:rsid w:val="00C4043A"/>
    <w:rsid w:val="00C40C1D"/>
    <w:rsid w:val="00C416E7"/>
    <w:rsid w:val="00C43BBF"/>
    <w:rsid w:val="00C441D9"/>
    <w:rsid w:val="00C46183"/>
    <w:rsid w:val="00C47500"/>
    <w:rsid w:val="00C51235"/>
    <w:rsid w:val="00C5204D"/>
    <w:rsid w:val="00C54550"/>
    <w:rsid w:val="00C55F32"/>
    <w:rsid w:val="00C60ED2"/>
    <w:rsid w:val="00C616AA"/>
    <w:rsid w:val="00C62811"/>
    <w:rsid w:val="00C62C40"/>
    <w:rsid w:val="00C63D3E"/>
    <w:rsid w:val="00C64757"/>
    <w:rsid w:val="00C6573C"/>
    <w:rsid w:val="00C663CB"/>
    <w:rsid w:val="00C66B6A"/>
    <w:rsid w:val="00C6736C"/>
    <w:rsid w:val="00C70755"/>
    <w:rsid w:val="00C728D4"/>
    <w:rsid w:val="00C75E0B"/>
    <w:rsid w:val="00C76091"/>
    <w:rsid w:val="00C7786F"/>
    <w:rsid w:val="00C805E0"/>
    <w:rsid w:val="00C8086A"/>
    <w:rsid w:val="00C8136A"/>
    <w:rsid w:val="00C82183"/>
    <w:rsid w:val="00C8253F"/>
    <w:rsid w:val="00C82636"/>
    <w:rsid w:val="00C83397"/>
    <w:rsid w:val="00C85BDA"/>
    <w:rsid w:val="00C87E9D"/>
    <w:rsid w:val="00C907A3"/>
    <w:rsid w:val="00C90CB9"/>
    <w:rsid w:val="00C91365"/>
    <w:rsid w:val="00C928F1"/>
    <w:rsid w:val="00C92CD6"/>
    <w:rsid w:val="00C92D93"/>
    <w:rsid w:val="00C936A4"/>
    <w:rsid w:val="00C95F80"/>
    <w:rsid w:val="00C968B5"/>
    <w:rsid w:val="00C96DA4"/>
    <w:rsid w:val="00C974AF"/>
    <w:rsid w:val="00C97B19"/>
    <w:rsid w:val="00C97DD4"/>
    <w:rsid w:val="00CA1952"/>
    <w:rsid w:val="00CA1E7A"/>
    <w:rsid w:val="00CA2F18"/>
    <w:rsid w:val="00CA5835"/>
    <w:rsid w:val="00CA70C4"/>
    <w:rsid w:val="00CB0A6B"/>
    <w:rsid w:val="00CB1465"/>
    <w:rsid w:val="00CB16B4"/>
    <w:rsid w:val="00CB1AFF"/>
    <w:rsid w:val="00CB1B68"/>
    <w:rsid w:val="00CB1F46"/>
    <w:rsid w:val="00CB415E"/>
    <w:rsid w:val="00CC4261"/>
    <w:rsid w:val="00CC5E4D"/>
    <w:rsid w:val="00CC682F"/>
    <w:rsid w:val="00CC786D"/>
    <w:rsid w:val="00CD0DBD"/>
    <w:rsid w:val="00CD0EBB"/>
    <w:rsid w:val="00CD1B1E"/>
    <w:rsid w:val="00CD1E2D"/>
    <w:rsid w:val="00CD2F2C"/>
    <w:rsid w:val="00CD4CD3"/>
    <w:rsid w:val="00CD50E5"/>
    <w:rsid w:val="00CD607E"/>
    <w:rsid w:val="00CD623F"/>
    <w:rsid w:val="00CD6265"/>
    <w:rsid w:val="00CD698C"/>
    <w:rsid w:val="00CE1B53"/>
    <w:rsid w:val="00CE3D1C"/>
    <w:rsid w:val="00CE3E23"/>
    <w:rsid w:val="00CE6E66"/>
    <w:rsid w:val="00CE7675"/>
    <w:rsid w:val="00CF1994"/>
    <w:rsid w:val="00CF1D88"/>
    <w:rsid w:val="00CF41CB"/>
    <w:rsid w:val="00CF4320"/>
    <w:rsid w:val="00CF5FE8"/>
    <w:rsid w:val="00CF64A5"/>
    <w:rsid w:val="00CF7B20"/>
    <w:rsid w:val="00D009D1"/>
    <w:rsid w:val="00D01083"/>
    <w:rsid w:val="00D01611"/>
    <w:rsid w:val="00D12E3A"/>
    <w:rsid w:val="00D13279"/>
    <w:rsid w:val="00D13788"/>
    <w:rsid w:val="00D151B7"/>
    <w:rsid w:val="00D160C9"/>
    <w:rsid w:val="00D16DA1"/>
    <w:rsid w:val="00D17267"/>
    <w:rsid w:val="00D22BBF"/>
    <w:rsid w:val="00D22C9E"/>
    <w:rsid w:val="00D247F2"/>
    <w:rsid w:val="00D24AD9"/>
    <w:rsid w:val="00D24EC4"/>
    <w:rsid w:val="00D261F9"/>
    <w:rsid w:val="00D27F48"/>
    <w:rsid w:val="00D329BF"/>
    <w:rsid w:val="00D33161"/>
    <w:rsid w:val="00D33372"/>
    <w:rsid w:val="00D3454C"/>
    <w:rsid w:val="00D346E3"/>
    <w:rsid w:val="00D34C75"/>
    <w:rsid w:val="00D354A9"/>
    <w:rsid w:val="00D36BB0"/>
    <w:rsid w:val="00D3790F"/>
    <w:rsid w:val="00D379DB"/>
    <w:rsid w:val="00D40D42"/>
    <w:rsid w:val="00D41370"/>
    <w:rsid w:val="00D4190C"/>
    <w:rsid w:val="00D41C32"/>
    <w:rsid w:val="00D4325F"/>
    <w:rsid w:val="00D435E4"/>
    <w:rsid w:val="00D452A9"/>
    <w:rsid w:val="00D462E7"/>
    <w:rsid w:val="00D465B7"/>
    <w:rsid w:val="00D513DA"/>
    <w:rsid w:val="00D519F0"/>
    <w:rsid w:val="00D5282D"/>
    <w:rsid w:val="00D53FDE"/>
    <w:rsid w:val="00D55539"/>
    <w:rsid w:val="00D55BDF"/>
    <w:rsid w:val="00D56563"/>
    <w:rsid w:val="00D56FB4"/>
    <w:rsid w:val="00D577B6"/>
    <w:rsid w:val="00D610C3"/>
    <w:rsid w:val="00D6168F"/>
    <w:rsid w:val="00D61A29"/>
    <w:rsid w:val="00D623DD"/>
    <w:rsid w:val="00D62625"/>
    <w:rsid w:val="00D63012"/>
    <w:rsid w:val="00D646EA"/>
    <w:rsid w:val="00D651D8"/>
    <w:rsid w:val="00D661A2"/>
    <w:rsid w:val="00D66741"/>
    <w:rsid w:val="00D66F7A"/>
    <w:rsid w:val="00D71237"/>
    <w:rsid w:val="00D72C23"/>
    <w:rsid w:val="00D7441A"/>
    <w:rsid w:val="00D7554D"/>
    <w:rsid w:val="00D766FC"/>
    <w:rsid w:val="00D76F44"/>
    <w:rsid w:val="00D779BA"/>
    <w:rsid w:val="00D80281"/>
    <w:rsid w:val="00D817AB"/>
    <w:rsid w:val="00D81A70"/>
    <w:rsid w:val="00D83CB0"/>
    <w:rsid w:val="00D842EC"/>
    <w:rsid w:val="00D84B34"/>
    <w:rsid w:val="00D84B75"/>
    <w:rsid w:val="00D91452"/>
    <w:rsid w:val="00D931F2"/>
    <w:rsid w:val="00D95B9A"/>
    <w:rsid w:val="00D96435"/>
    <w:rsid w:val="00DA06E1"/>
    <w:rsid w:val="00DA2488"/>
    <w:rsid w:val="00DA3717"/>
    <w:rsid w:val="00DA3F19"/>
    <w:rsid w:val="00DA4CD7"/>
    <w:rsid w:val="00DA5D01"/>
    <w:rsid w:val="00DA6B21"/>
    <w:rsid w:val="00DA7737"/>
    <w:rsid w:val="00DA7803"/>
    <w:rsid w:val="00DA7C83"/>
    <w:rsid w:val="00DB10BA"/>
    <w:rsid w:val="00DB2654"/>
    <w:rsid w:val="00DB3410"/>
    <w:rsid w:val="00DB39EF"/>
    <w:rsid w:val="00DB7616"/>
    <w:rsid w:val="00DB7F14"/>
    <w:rsid w:val="00DC2693"/>
    <w:rsid w:val="00DC762F"/>
    <w:rsid w:val="00DD0083"/>
    <w:rsid w:val="00DD06E2"/>
    <w:rsid w:val="00DD1F3D"/>
    <w:rsid w:val="00DD2FDE"/>
    <w:rsid w:val="00DD5A21"/>
    <w:rsid w:val="00DD5C27"/>
    <w:rsid w:val="00DD6412"/>
    <w:rsid w:val="00DD681C"/>
    <w:rsid w:val="00DE0770"/>
    <w:rsid w:val="00DE20AF"/>
    <w:rsid w:val="00DE2D5F"/>
    <w:rsid w:val="00DE46DF"/>
    <w:rsid w:val="00DE6B69"/>
    <w:rsid w:val="00DE71CB"/>
    <w:rsid w:val="00DF0D3D"/>
    <w:rsid w:val="00DF4FAC"/>
    <w:rsid w:val="00DF6F7D"/>
    <w:rsid w:val="00DF76CF"/>
    <w:rsid w:val="00DF7809"/>
    <w:rsid w:val="00E0021E"/>
    <w:rsid w:val="00E0092C"/>
    <w:rsid w:val="00E01F91"/>
    <w:rsid w:val="00E042C3"/>
    <w:rsid w:val="00E04EB8"/>
    <w:rsid w:val="00E05E70"/>
    <w:rsid w:val="00E0612F"/>
    <w:rsid w:val="00E062AE"/>
    <w:rsid w:val="00E10ABE"/>
    <w:rsid w:val="00E10EB0"/>
    <w:rsid w:val="00E15559"/>
    <w:rsid w:val="00E158B8"/>
    <w:rsid w:val="00E16252"/>
    <w:rsid w:val="00E16286"/>
    <w:rsid w:val="00E171A2"/>
    <w:rsid w:val="00E25A86"/>
    <w:rsid w:val="00E26B37"/>
    <w:rsid w:val="00E300B8"/>
    <w:rsid w:val="00E31EE4"/>
    <w:rsid w:val="00E31F41"/>
    <w:rsid w:val="00E325DF"/>
    <w:rsid w:val="00E32F4F"/>
    <w:rsid w:val="00E342C5"/>
    <w:rsid w:val="00E34CE6"/>
    <w:rsid w:val="00E414F8"/>
    <w:rsid w:val="00E417D6"/>
    <w:rsid w:val="00E41DBB"/>
    <w:rsid w:val="00E42B83"/>
    <w:rsid w:val="00E44385"/>
    <w:rsid w:val="00E46DE2"/>
    <w:rsid w:val="00E511EE"/>
    <w:rsid w:val="00E52379"/>
    <w:rsid w:val="00E53EBF"/>
    <w:rsid w:val="00E545F2"/>
    <w:rsid w:val="00E546CA"/>
    <w:rsid w:val="00E56CC0"/>
    <w:rsid w:val="00E60023"/>
    <w:rsid w:val="00E61507"/>
    <w:rsid w:val="00E61942"/>
    <w:rsid w:val="00E624D9"/>
    <w:rsid w:val="00E627A5"/>
    <w:rsid w:val="00E64964"/>
    <w:rsid w:val="00E676F8"/>
    <w:rsid w:val="00E67AD8"/>
    <w:rsid w:val="00E67D9C"/>
    <w:rsid w:val="00E702EA"/>
    <w:rsid w:val="00E70A99"/>
    <w:rsid w:val="00E75259"/>
    <w:rsid w:val="00E777FE"/>
    <w:rsid w:val="00E80629"/>
    <w:rsid w:val="00E82193"/>
    <w:rsid w:val="00E82DC7"/>
    <w:rsid w:val="00E83E3E"/>
    <w:rsid w:val="00E84BBE"/>
    <w:rsid w:val="00E86858"/>
    <w:rsid w:val="00E913FC"/>
    <w:rsid w:val="00E91EBA"/>
    <w:rsid w:val="00E92950"/>
    <w:rsid w:val="00E94263"/>
    <w:rsid w:val="00E94E65"/>
    <w:rsid w:val="00E95011"/>
    <w:rsid w:val="00E95E6B"/>
    <w:rsid w:val="00E96531"/>
    <w:rsid w:val="00E96871"/>
    <w:rsid w:val="00E97936"/>
    <w:rsid w:val="00EA1EC3"/>
    <w:rsid w:val="00EA2209"/>
    <w:rsid w:val="00EA2C09"/>
    <w:rsid w:val="00EA45F3"/>
    <w:rsid w:val="00EA4B43"/>
    <w:rsid w:val="00EA4E16"/>
    <w:rsid w:val="00EA6A3E"/>
    <w:rsid w:val="00EA6BD8"/>
    <w:rsid w:val="00EB070F"/>
    <w:rsid w:val="00EB2C99"/>
    <w:rsid w:val="00EB2F41"/>
    <w:rsid w:val="00EB4424"/>
    <w:rsid w:val="00EB48E7"/>
    <w:rsid w:val="00EB50FE"/>
    <w:rsid w:val="00EB5966"/>
    <w:rsid w:val="00EB5ADE"/>
    <w:rsid w:val="00EB62EA"/>
    <w:rsid w:val="00EB6549"/>
    <w:rsid w:val="00EB77AE"/>
    <w:rsid w:val="00EC0D08"/>
    <w:rsid w:val="00EC3606"/>
    <w:rsid w:val="00EC47BA"/>
    <w:rsid w:val="00EC4C6F"/>
    <w:rsid w:val="00EC4F41"/>
    <w:rsid w:val="00EC72A1"/>
    <w:rsid w:val="00EC782D"/>
    <w:rsid w:val="00EC7CA8"/>
    <w:rsid w:val="00ED2021"/>
    <w:rsid w:val="00ED2AE9"/>
    <w:rsid w:val="00ED53DB"/>
    <w:rsid w:val="00ED5C39"/>
    <w:rsid w:val="00EE165E"/>
    <w:rsid w:val="00EE1B62"/>
    <w:rsid w:val="00EE2DEF"/>
    <w:rsid w:val="00EE34AF"/>
    <w:rsid w:val="00EE3E1F"/>
    <w:rsid w:val="00EE56B9"/>
    <w:rsid w:val="00EE62FE"/>
    <w:rsid w:val="00EE7249"/>
    <w:rsid w:val="00EF1160"/>
    <w:rsid w:val="00EF183D"/>
    <w:rsid w:val="00EF48A3"/>
    <w:rsid w:val="00EF5340"/>
    <w:rsid w:val="00EF7569"/>
    <w:rsid w:val="00F0017E"/>
    <w:rsid w:val="00F001DA"/>
    <w:rsid w:val="00F00C1B"/>
    <w:rsid w:val="00F015FA"/>
    <w:rsid w:val="00F04185"/>
    <w:rsid w:val="00F041A2"/>
    <w:rsid w:val="00F044D4"/>
    <w:rsid w:val="00F0476F"/>
    <w:rsid w:val="00F05E68"/>
    <w:rsid w:val="00F06A8F"/>
    <w:rsid w:val="00F07033"/>
    <w:rsid w:val="00F07D58"/>
    <w:rsid w:val="00F105EA"/>
    <w:rsid w:val="00F129A3"/>
    <w:rsid w:val="00F12F7B"/>
    <w:rsid w:val="00F15527"/>
    <w:rsid w:val="00F15770"/>
    <w:rsid w:val="00F167CB"/>
    <w:rsid w:val="00F168E2"/>
    <w:rsid w:val="00F16992"/>
    <w:rsid w:val="00F16A09"/>
    <w:rsid w:val="00F2023A"/>
    <w:rsid w:val="00F226B4"/>
    <w:rsid w:val="00F22739"/>
    <w:rsid w:val="00F23BDC"/>
    <w:rsid w:val="00F24703"/>
    <w:rsid w:val="00F24B68"/>
    <w:rsid w:val="00F3063F"/>
    <w:rsid w:val="00F31CF0"/>
    <w:rsid w:val="00F338A7"/>
    <w:rsid w:val="00F343F5"/>
    <w:rsid w:val="00F3668C"/>
    <w:rsid w:val="00F37628"/>
    <w:rsid w:val="00F37ACE"/>
    <w:rsid w:val="00F42B19"/>
    <w:rsid w:val="00F4416F"/>
    <w:rsid w:val="00F44D0C"/>
    <w:rsid w:val="00F47216"/>
    <w:rsid w:val="00F47C7E"/>
    <w:rsid w:val="00F5004F"/>
    <w:rsid w:val="00F51DDA"/>
    <w:rsid w:val="00F532A2"/>
    <w:rsid w:val="00F53802"/>
    <w:rsid w:val="00F54C97"/>
    <w:rsid w:val="00F54CA9"/>
    <w:rsid w:val="00F5634A"/>
    <w:rsid w:val="00F56BDE"/>
    <w:rsid w:val="00F57E20"/>
    <w:rsid w:val="00F60DFF"/>
    <w:rsid w:val="00F61356"/>
    <w:rsid w:val="00F65110"/>
    <w:rsid w:val="00F70564"/>
    <w:rsid w:val="00F72120"/>
    <w:rsid w:val="00F72C8E"/>
    <w:rsid w:val="00F732C7"/>
    <w:rsid w:val="00F734BA"/>
    <w:rsid w:val="00F7414A"/>
    <w:rsid w:val="00F74DD5"/>
    <w:rsid w:val="00F75002"/>
    <w:rsid w:val="00F75C59"/>
    <w:rsid w:val="00F766E9"/>
    <w:rsid w:val="00F7763C"/>
    <w:rsid w:val="00F807A7"/>
    <w:rsid w:val="00F87C2C"/>
    <w:rsid w:val="00F87D5F"/>
    <w:rsid w:val="00F96209"/>
    <w:rsid w:val="00F97080"/>
    <w:rsid w:val="00FA03CA"/>
    <w:rsid w:val="00FA089C"/>
    <w:rsid w:val="00FA156B"/>
    <w:rsid w:val="00FA5C99"/>
    <w:rsid w:val="00FA5E27"/>
    <w:rsid w:val="00FA61D0"/>
    <w:rsid w:val="00FA6AB0"/>
    <w:rsid w:val="00FA7045"/>
    <w:rsid w:val="00FB15A5"/>
    <w:rsid w:val="00FB18AE"/>
    <w:rsid w:val="00FB23ED"/>
    <w:rsid w:val="00FB29CA"/>
    <w:rsid w:val="00FB347A"/>
    <w:rsid w:val="00FB379A"/>
    <w:rsid w:val="00FB3AAF"/>
    <w:rsid w:val="00FB56FB"/>
    <w:rsid w:val="00FB744F"/>
    <w:rsid w:val="00FB7C5C"/>
    <w:rsid w:val="00FB7CF6"/>
    <w:rsid w:val="00FC0ADF"/>
    <w:rsid w:val="00FC2142"/>
    <w:rsid w:val="00FC267B"/>
    <w:rsid w:val="00FC26B5"/>
    <w:rsid w:val="00FC2A7E"/>
    <w:rsid w:val="00FC3695"/>
    <w:rsid w:val="00FC4250"/>
    <w:rsid w:val="00FC4855"/>
    <w:rsid w:val="00FC5B27"/>
    <w:rsid w:val="00FC67AE"/>
    <w:rsid w:val="00FC7EF8"/>
    <w:rsid w:val="00FD0022"/>
    <w:rsid w:val="00FD00A2"/>
    <w:rsid w:val="00FD33EB"/>
    <w:rsid w:val="00FD45FA"/>
    <w:rsid w:val="00FD5663"/>
    <w:rsid w:val="00FD66A3"/>
    <w:rsid w:val="00FD762F"/>
    <w:rsid w:val="00FD7CC8"/>
    <w:rsid w:val="00FD7D9C"/>
    <w:rsid w:val="00FE20F5"/>
    <w:rsid w:val="00FE236E"/>
    <w:rsid w:val="00FE304B"/>
    <w:rsid w:val="00FE379A"/>
    <w:rsid w:val="00FE4121"/>
    <w:rsid w:val="00FE56AA"/>
    <w:rsid w:val="00FE5EFB"/>
    <w:rsid w:val="00FE75F7"/>
    <w:rsid w:val="00FE7A5A"/>
    <w:rsid w:val="00FE7C62"/>
    <w:rsid w:val="00FF06A7"/>
    <w:rsid w:val="00FF1FD5"/>
    <w:rsid w:val="00FF42AD"/>
    <w:rsid w:val="00FF6083"/>
    <w:rsid w:val="00FF6092"/>
    <w:rsid w:val="00FF693D"/>
    <w:rsid w:val="00FF693E"/>
    <w:rsid w:val="00FF6BEC"/>
    <w:rsid w:val="00FF7987"/>
    <w:rsid w:val="01092630"/>
    <w:rsid w:val="0128F9B8"/>
    <w:rsid w:val="01CCCAEE"/>
    <w:rsid w:val="03A240F0"/>
    <w:rsid w:val="044E261B"/>
    <w:rsid w:val="07A82674"/>
    <w:rsid w:val="0AD8BEA1"/>
    <w:rsid w:val="0B2B77C4"/>
    <w:rsid w:val="0D1491AE"/>
    <w:rsid w:val="106CC3FD"/>
    <w:rsid w:val="10BC157C"/>
    <w:rsid w:val="10E165A9"/>
    <w:rsid w:val="116DE16C"/>
    <w:rsid w:val="1274B6D2"/>
    <w:rsid w:val="12F6F5F0"/>
    <w:rsid w:val="1410B46D"/>
    <w:rsid w:val="1835BD2E"/>
    <w:rsid w:val="19D3855C"/>
    <w:rsid w:val="1F836E7E"/>
    <w:rsid w:val="1FC422B8"/>
    <w:rsid w:val="1FF2AB76"/>
    <w:rsid w:val="20DBF7C8"/>
    <w:rsid w:val="21755A15"/>
    <w:rsid w:val="226C1F3B"/>
    <w:rsid w:val="2277C829"/>
    <w:rsid w:val="253ADF6F"/>
    <w:rsid w:val="29070B8F"/>
    <w:rsid w:val="29FE2F54"/>
    <w:rsid w:val="2A3F01FA"/>
    <w:rsid w:val="2D08E490"/>
    <w:rsid w:val="2ED7AC55"/>
    <w:rsid w:val="3049FDFD"/>
    <w:rsid w:val="30AC8A80"/>
    <w:rsid w:val="3254FB12"/>
    <w:rsid w:val="32D1FCD6"/>
    <w:rsid w:val="330E25E3"/>
    <w:rsid w:val="34B17E28"/>
    <w:rsid w:val="35858DF4"/>
    <w:rsid w:val="3607A928"/>
    <w:rsid w:val="37410AAE"/>
    <w:rsid w:val="3927CD19"/>
    <w:rsid w:val="3CBCF5AF"/>
    <w:rsid w:val="3E4E070B"/>
    <w:rsid w:val="4168617E"/>
    <w:rsid w:val="41A39874"/>
    <w:rsid w:val="430431DF"/>
    <w:rsid w:val="43B57464"/>
    <w:rsid w:val="43C0625C"/>
    <w:rsid w:val="4648EA2B"/>
    <w:rsid w:val="4663D7F5"/>
    <w:rsid w:val="46DFFD2F"/>
    <w:rsid w:val="4731D42A"/>
    <w:rsid w:val="49718A1D"/>
    <w:rsid w:val="4C2F6FE7"/>
    <w:rsid w:val="4CD31979"/>
    <w:rsid w:val="4DC33056"/>
    <w:rsid w:val="4EE5A584"/>
    <w:rsid w:val="4FF191DE"/>
    <w:rsid w:val="50D834D9"/>
    <w:rsid w:val="52EC1CBC"/>
    <w:rsid w:val="53028879"/>
    <w:rsid w:val="5335F6A4"/>
    <w:rsid w:val="54843AF2"/>
    <w:rsid w:val="54D77760"/>
    <w:rsid w:val="57A70975"/>
    <w:rsid w:val="580F1822"/>
    <w:rsid w:val="5B9B2258"/>
    <w:rsid w:val="5D2A758C"/>
    <w:rsid w:val="5E6907E9"/>
    <w:rsid w:val="5F467FDD"/>
    <w:rsid w:val="61FDE6AF"/>
    <w:rsid w:val="629748FC"/>
    <w:rsid w:val="629F2A01"/>
    <w:rsid w:val="6399B710"/>
    <w:rsid w:val="63F1EBAC"/>
    <w:rsid w:val="6419F100"/>
    <w:rsid w:val="65358771"/>
    <w:rsid w:val="6647AAEE"/>
    <w:rsid w:val="66C5F6C5"/>
    <w:rsid w:val="66D91FA1"/>
    <w:rsid w:val="675191C2"/>
    <w:rsid w:val="6B7B300A"/>
    <w:rsid w:val="6BDEE190"/>
    <w:rsid w:val="6BE43AD6"/>
    <w:rsid w:val="6DC1C5D3"/>
    <w:rsid w:val="6DC71D05"/>
    <w:rsid w:val="6FCBD68C"/>
    <w:rsid w:val="70FC2D92"/>
    <w:rsid w:val="7200C9F9"/>
    <w:rsid w:val="72CCDEF4"/>
    <w:rsid w:val="73B015E0"/>
    <w:rsid w:val="745321FF"/>
    <w:rsid w:val="77404522"/>
    <w:rsid w:val="7762C3F6"/>
    <w:rsid w:val="776FA312"/>
    <w:rsid w:val="7937102F"/>
    <w:rsid w:val="7A5EB2A4"/>
    <w:rsid w:val="7AB9B863"/>
    <w:rsid w:val="7AE08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61AEE"/>
  <w15:chartTrackingRefBased/>
  <w15:docId w15:val="{72DD2300-0648-4209-9819-8AD9BC683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HAnsi" w:hAnsi="Century Gothic" w:cs="Times New Roman"/>
        <w:bCs/>
        <w:color w:val="000000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99C"/>
    <w:pPr>
      <w:spacing w:after="0" w:line="240" w:lineRule="auto"/>
    </w:pPr>
    <w:rPr>
      <w:rFonts w:ascii="Calibri" w:hAnsi="Calibri" w:cs="Calibri"/>
      <w:bCs w:val="0"/>
      <w:color w:val="auto"/>
      <w:sz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1Clair">
    <w:name w:val="Grid Table 1 Light"/>
    <w:basedOn w:val="TableauNormal"/>
    <w:uiPriority w:val="46"/>
    <w:rsid w:val="00CE1B53"/>
    <w:pPr>
      <w:spacing w:after="0" w:line="240" w:lineRule="auto"/>
    </w:pPr>
    <w:rPr>
      <w:rFonts w:asciiTheme="minorHAnsi" w:hAnsiTheme="minorHAnsi" w:cstheme="minorBidi"/>
      <w:bCs w:val="0"/>
      <w:color w:val="auto"/>
      <w:sz w:val="22"/>
      <w:lang w:val="fr-F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aliases w:val="References,RM1,lp1,Table/Figure Heading,List Paragraph (numbered (a)),Bullets,I..1,Medium Grid 1 - Accent 21,Numbered List Paragraph,Liste 1,List Paragraph1,List Bullet Mary,ReferencesCxSpLast,Colorful List - Accent 11,En tête 1"/>
    <w:basedOn w:val="Normal"/>
    <w:link w:val="ParagraphedelisteCar"/>
    <w:uiPriority w:val="34"/>
    <w:qFormat/>
    <w:rsid w:val="00DA6B2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656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56563"/>
    <w:rPr>
      <w:rFonts w:ascii="Calibri" w:hAnsi="Calibri" w:cs="Calibri"/>
      <w:bCs w:val="0"/>
      <w:color w:val="auto"/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D5656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56563"/>
    <w:rPr>
      <w:rFonts w:ascii="Calibri" w:hAnsi="Calibri" w:cs="Calibri"/>
      <w:bCs w:val="0"/>
      <w:color w:val="auto"/>
      <w:sz w:val="22"/>
    </w:rPr>
  </w:style>
  <w:style w:type="character" w:customStyle="1" w:styleId="ParagraphedelisteCar">
    <w:name w:val="Paragraphe de liste Car"/>
    <w:aliases w:val="References Car,RM1 Car,lp1 Car,Table/Figure Heading Car,List Paragraph (numbered (a)) Car,Bullets Car,I..1 Car,Medium Grid 1 - Accent 21 Car,Numbered List Paragraph Car,Liste 1 Car,List Paragraph1 Car,List Bullet Mary Car"/>
    <w:basedOn w:val="Policepardfaut"/>
    <w:link w:val="Paragraphedeliste"/>
    <w:uiPriority w:val="34"/>
    <w:locked/>
    <w:rsid w:val="00265F87"/>
    <w:rPr>
      <w:rFonts w:ascii="Calibri" w:hAnsi="Calibri" w:cs="Calibri"/>
      <w:bCs w:val="0"/>
      <w:color w:val="auto"/>
      <w:sz w:val="22"/>
    </w:rPr>
  </w:style>
  <w:style w:type="paragraph" w:styleId="Rvision">
    <w:name w:val="Revision"/>
    <w:hidden/>
    <w:uiPriority w:val="99"/>
    <w:semiHidden/>
    <w:rsid w:val="000C1FEA"/>
    <w:pPr>
      <w:spacing w:after="0" w:line="240" w:lineRule="auto"/>
    </w:pPr>
    <w:rPr>
      <w:rFonts w:ascii="Calibri" w:hAnsi="Calibri" w:cs="Calibri"/>
      <w:bCs w:val="0"/>
      <w:color w:val="auto"/>
      <w:sz w:val="22"/>
    </w:rPr>
  </w:style>
  <w:style w:type="character" w:styleId="Lienhypertexte">
    <w:name w:val="Hyperlink"/>
    <w:basedOn w:val="Policepardfaut"/>
    <w:uiPriority w:val="99"/>
    <w:semiHidden/>
    <w:unhideWhenUsed/>
    <w:rsid w:val="005A4D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31F60"/>
    <w:pPr>
      <w:spacing w:before="100" w:beforeAutospacing="1" w:after="100" w:afterAutospacing="1"/>
    </w:pPr>
    <w:rPr>
      <w:lang w:val="fr-CI" w:eastAsia="fr-CI"/>
    </w:rPr>
  </w:style>
  <w:style w:type="paragraph" w:styleId="Titre">
    <w:name w:val="Title"/>
    <w:basedOn w:val="Normal"/>
    <w:next w:val="Sous-titre"/>
    <w:link w:val="TitreCar"/>
    <w:uiPriority w:val="1"/>
    <w:qFormat/>
    <w:rsid w:val="00E158B8"/>
    <w:pPr>
      <w:spacing w:after="280"/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100"/>
      <w:szCs w:val="56"/>
      <w:lang w:val="en-GB" w:eastAsia="ja-JP" w:bidi="fr-FR"/>
    </w:rPr>
  </w:style>
  <w:style w:type="character" w:customStyle="1" w:styleId="TitreCar">
    <w:name w:val="Titre Car"/>
    <w:basedOn w:val="Policepardfaut"/>
    <w:link w:val="Titre"/>
    <w:uiPriority w:val="1"/>
    <w:rsid w:val="00E158B8"/>
    <w:rPr>
      <w:rFonts w:asciiTheme="majorHAnsi" w:eastAsiaTheme="majorEastAsia" w:hAnsiTheme="majorHAnsi" w:cstheme="majorBidi"/>
      <w:b/>
      <w:bCs w:val="0"/>
      <w:caps/>
      <w:color w:val="44546A" w:themeColor="text2"/>
      <w:kern w:val="28"/>
      <w:sz w:val="100"/>
      <w:szCs w:val="56"/>
      <w:lang w:val="en-GB" w:eastAsia="ja-JP" w:bidi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158B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158B8"/>
    <w:rPr>
      <w:rFonts w:asciiTheme="minorHAnsi" w:eastAsiaTheme="minorEastAsia" w:hAnsiTheme="minorHAnsi" w:cstheme="minorBidi"/>
      <w:bCs w:val="0"/>
      <w:color w:val="5A5A5A" w:themeColor="text1" w:themeTint="A5"/>
      <w:spacing w:val="15"/>
      <w:sz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17edfe4-0904-41dc-b6bc-81d5918d3f4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744801661E744DA7FE055361FBD740" ma:contentTypeVersion="15" ma:contentTypeDescription="Create a new document." ma:contentTypeScope="" ma:versionID="7119af2970c7268bad2378c4efcaf22e">
  <xsd:schema xmlns:xsd="http://www.w3.org/2001/XMLSchema" xmlns:xs="http://www.w3.org/2001/XMLSchema" xmlns:p="http://schemas.microsoft.com/office/2006/metadata/properties" xmlns:ns3="017edfe4-0904-41dc-b6bc-81d5918d3f47" xmlns:ns4="814c2134-547b-414d-acae-1b7608907b3b" targetNamespace="http://schemas.microsoft.com/office/2006/metadata/properties" ma:root="true" ma:fieldsID="84d46cf477fa9f83acaf788fd9b59c4b" ns3:_="" ns4:_="">
    <xsd:import namespace="017edfe4-0904-41dc-b6bc-81d5918d3f47"/>
    <xsd:import namespace="814c2134-547b-414d-acae-1b7608907b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7edfe4-0904-41dc-b6bc-81d5918d3f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c2134-547b-414d-acae-1b7608907b3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25A9FF-246B-470C-9FD2-3E58BF62EAE8}">
  <ds:schemaRefs>
    <ds:schemaRef ds:uri="http://schemas.microsoft.com/office/2006/metadata/properties"/>
    <ds:schemaRef ds:uri="http://schemas.microsoft.com/office/infopath/2007/PartnerControls"/>
    <ds:schemaRef ds:uri="017edfe4-0904-41dc-b6bc-81d5918d3f47"/>
  </ds:schemaRefs>
</ds:datastoreItem>
</file>

<file path=customXml/itemProps2.xml><?xml version="1.0" encoding="utf-8"?>
<ds:datastoreItem xmlns:ds="http://schemas.openxmlformats.org/officeDocument/2006/customXml" ds:itemID="{81956703-E729-4D94-BA8A-D5D0FE277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7edfe4-0904-41dc-b6bc-81d5918d3f47"/>
    <ds:schemaRef ds:uri="814c2134-547b-414d-acae-1b7608907b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0FDFF3-C86D-45CF-BBCC-5E5C1D9FFE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1506</Words>
  <Characters>8285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</vt:lpstr>
    </vt:vector>
  </TitlesOfParts>
  <Manager>DG_DSESP</Manager>
  <Company>ARTI</Company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>Rapport d'activités hebdomadaires 2023</dc:subject>
  <dc:creator>Leon KOFFI</dc:creator>
  <cp:keywords/>
  <dc:description/>
  <cp:lastModifiedBy>CISSE Alassane Al Moustapha</cp:lastModifiedBy>
  <cp:revision>3</cp:revision>
  <dcterms:created xsi:type="dcterms:W3CDTF">2023-03-24T14:32:00Z</dcterms:created>
  <dcterms:modified xsi:type="dcterms:W3CDTF">2023-03-24T14:37:00Z</dcterms:modified>
  <cp:category>Rapport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0x01010007744801661E744DA7FE055361FBD740</vt:lpwstr>
  </property>
  <property fmtid="{D5CDD505-2E9C-101B-9397-08002B2CF9AE}" pid="3" name="MediaServiceImageTags">
    <vt:lpwstr/>
  </property>
</Properties>
</file>