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030B22" w14:textId="77777777" w:rsidR="009D2BDD" w:rsidRDefault="009D2BDD" w:rsidP="009D2BDD">
      <w:pPr>
        <w:spacing w:after="214" w:line="259" w:lineRule="auto"/>
        <w:ind w:left="31" w:firstLine="0"/>
        <w:jc w:val="center"/>
      </w:pPr>
      <w:r>
        <w:rPr>
          <w:sz w:val="25"/>
          <w:u w:val="single" w:color="000000"/>
        </w:rPr>
        <w:t>ΙΔΙΩΤΙΚΟ ΣΥΜΦΩΝΗΤΙΚΟ</w:t>
      </w:r>
    </w:p>
    <w:p w14:paraId="16CED34C" w14:textId="5B3994E0" w:rsidR="009D2BDD" w:rsidRDefault="009D2BDD" w:rsidP="009D2BDD">
      <w:pPr>
        <w:ind w:left="-5" w:right="105"/>
      </w:pPr>
      <w:r>
        <w:t xml:space="preserve">Στις Σέρρες σήμερα </w:t>
      </w:r>
      <w:r w:rsidR="00B51EA9" w:rsidRPr="00B51EA9">
        <w:t>{{</w:t>
      </w:r>
      <w:r w:rsidR="004057A9">
        <w:rPr>
          <w:lang w:val="en-US"/>
        </w:rPr>
        <w:t>date</w:t>
      </w:r>
      <w:r w:rsidR="00B51EA9" w:rsidRPr="00B51EA9">
        <w:t>}}</w:t>
      </w:r>
      <w:r>
        <w:t xml:space="preserve"> οι παρακάτω συμβαλλόμενοι, ήτοι:</w:t>
      </w:r>
    </w:p>
    <w:p w14:paraId="178CCA14" w14:textId="5E685F84" w:rsidR="009D2BDD" w:rsidRDefault="009D2BDD" w:rsidP="009F4B5C">
      <w:pPr>
        <w:numPr>
          <w:ilvl w:val="0"/>
          <w:numId w:val="1"/>
        </w:numPr>
        <w:spacing w:after="0" w:line="247" w:lineRule="auto"/>
        <w:ind w:left="284" w:right="132" w:hanging="300"/>
      </w:pPr>
      <w:r>
        <w:t xml:space="preserve">Η εταιρεία </w:t>
      </w:r>
      <w:r w:rsidR="00920636">
        <w:t xml:space="preserve">με την επωνυμία </w:t>
      </w:r>
      <w:r>
        <w:rPr>
          <w:b/>
          <w:bCs/>
        </w:rPr>
        <w:t>Α. ΜΑΛΛΙΑΡΑΣ Α. ΚΑΡΑΛΗΣ</w:t>
      </w:r>
      <w:r w:rsidRPr="00EF13D0">
        <w:rPr>
          <w:b/>
          <w:bCs/>
        </w:rPr>
        <w:t xml:space="preserve"> ΟΕ</w:t>
      </w:r>
      <w:r>
        <w:t xml:space="preserve"> που εδρεύει στις ΣΕΡΡΕΣ, διεύθυνση ΠΟΛΥΤΕΧΝΕΙΟΥ &amp; ΚΕΦΑΛΛΗΝΙΑΣ με Α.Φ.Μ </w:t>
      </w:r>
      <w:r>
        <w:rPr>
          <w:b/>
          <w:bCs/>
        </w:rPr>
        <w:t>099893763</w:t>
      </w:r>
      <w:r>
        <w:t xml:space="preserve"> με υπεύθυνο γεωπόνο στο έργο τον </w:t>
      </w:r>
      <w:r>
        <w:rPr>
          <w:b/>
          <w:bCs/>
        </w:rPr>
        <w:t>ΜΑΛΛΙΑΡΑ ΑΘΑΝΑΣΙΟ</w:t>
      </w:r>
      <w:r>
        <w:t xml:space="preserve">, </w:t>
      </w:r>
      <w:r w:rsidR="00920636">
        <w:t>η</w:t>
      </w:r>
      <w:r>
        <w:t xml:space="preserve"> οποί</w:t>
      </w:r>
      <w:r w:rsidR="00920636">
        <w:t>α</w:t>
      </w:r>
      <w:r>
        <w:t xml:space="preserve"> στη συνέχεια για λόγους συντομίας καλείται «Σύμβουλος» και</w:t>
      </w:r>
    </w:p>
    <w:p w14:paraId="0F310EFA" w14:textId="0DD70F2B" w:rsidR="009D2BDD" w:rsidRPr="009F4D40" w:rsidRDefault="009D2BDD" w:rsidP="009F4B5C">
      <w:pPr>
        <w:numPr>
          <w:ilvl w:val="0"/>
          <w:numId w:val="1"/>
        </w:numPr>
        <w:ind w:left="284" w:right="132" w:hanging="300"/>
      </w:pPr>
      <w:r w:rsidRPr="009F4D40">
        <w:t>Ο/Η</w:t>
      </w:r>
      <w:bookmarkStart w:id="0" w:name="_Hlk136955035"/>
      <w:r w:rsidR="009F4D40" w:rsidRPr="009F4D40">
        <w:t xml:space="preserve"> </w:t>
      </w:r>
      <w:r w:rsidR="00B51EA9" w:rsidRPr="00192036">
        <w:rPr>
          <w:b/>
        </w:rPr>
        <w:t>{{</w:t>
      </w:r>
      <w:r w:rsidR="009F4D40" w:rsidRPr="00192036">
        <w:rPr>
          <w:b/>
        </w:rPr>
        <w:t xml:space="preserve"> </w:t>
      </w:r>
      <w:proofErr w:type="spellStart"/>
      <w:r w:rsidR="00C10B65" w:rsidRPr="00192036">
        <w:rPr>
          <w:b/>
          <w:lang w:val="en-US"/>
        </w:rPr>
        <w:t>firstname</w:t>
      </w:r>
      <w:proofErr w:type="spellEnd"/>
      <w:r w:rsidR="009F4D40" w:rsidRPr="00192036">
        <w:rPr>
          <w:b/>
        </w:rPr>
        <w:t xml:space="preserve"> </w:t>
      </w:r>
      <w:r w:rsidR="00B51EA9" w:rsidRPr="00192036">
        <w:rPr>
          <w:b/>
        </w:rPr>
        <w:t>}}</w:t>
      </w:r>
      <w:r w:rsidR="009F4D40" w:rsidRPr="009F4D40">
        <w:t xml:space="preserve"> </w:t>
      </w:r>
      <w:r w:rsidR="00B51EA9" w:rsidRPr="00192036">
        <w:rPr>
          <w:b/>
        </w:rPr>
        <w:t>{{</w:t>
      </w:r>
      <w:r w:rsidR="009F4D40" w:rsidRPr="00192036">
        <w:rPr>
          <w:b/>
        </w:rPr>
        <w:t xml:space="preserve"> </w:t>
      </w:r>
      <w:proofErr w:type="spellStart"/>
      <w:r w:rsidR="00C10B65" w:rsidRPr="00192036">
        <w:rPr>
          <w:b/>
          <w:lang w:val="en-US"/>
        </w:rPr>
        <w:t>lastname</w:t>
      </w:r>
      <w:proofErr w:type="spellEnd"/>
      <w:r w:rsidR="009F4D40" w:rsidRPr="00192036">
        <w:rPr>
          <w:b/>
        </w:rPr>
        <w:t xml:space="preserve"> </w:t>
      </w:r>
      <w:r w:rsidR="006C1512" w:rsidRPr="00192036">
        <w:rPr>
          <w:b/>
        </w:rPr>
        <w:t>}</w:t>
      </w:r>
      <w:r w:rsidR="00B51EA9" w:rsidRPr="00192036">
        <w:rPr>
          <w:b/>
        </w:rPr>
        <w:t>}</w:t>
      </w:r>
      <w:bookmarkEnd w:id="0"/>
      <w:r w:rsidR="009F4D40" w:rsidRPr="009F4D40">
        <w:t xml:space="preserve"> </w:t>
      </w:r>
      <w:r w:rsidRPr="009F4D40">
        <w:t>με ΑΦΜ</w:t>
      </w:r>
      <w:r w:rsidR="009F4D40" w:rsidRPr="009F4D40">
        <w:t xml:space="preserve"> </w:t>
      </w:r>
      <w:r w:rsidR="00B51EA9" w:rsidRPr="00192036">
        <w:rPr>
          <w:b/>
        </w:rPr>
        <w:t>{{</w:t>
      </w:r>
      <w:r w:rsidR="009F4D40" w:rsidRPr="00192036">
        <w:rPr>
          <w:b/>
        </w:rPr>
        <w:t xml:space="preserve"> </w:t>
      </w:r>
      <w:proofErr w:type="spellStart"/>
      <w:r w:rsidR="004057A9" w:rsidRPr="00192036">
        <w:rPr>
          <w:b/>
          <w:lang w:val="en-US"/>
        </w:rPr>
        <w:t>afm</w:t>
      </w:r>
      <w:proofErr w:type="spellEnd"/>
      <w:r w:rsidR="009F4D40" w:rsidRPr="00192036">
        <w:rPr>
          <w:b/>
        </w:rPr>
        <w:t xml:space="preserve"> </w:t>
      </w:r>
      <w:r w:rsidR="00B51EA9" w:rsidRPr="00192036">
        <w:rPr>
          <w:b/>
        </w:rPr>
        <w:t>}}</w:t>
      </w:r>
      <w:r w:rsidR="004057A9" w:rsidRPr="009F4D40">
        <w:t xml:space="preserve"> </w:t>
      </w:r>
      <w:r w:rsidRPr="009F4D40">
        <w:t>και κάτοχος γεωργικής εκμετάλλευσης, ο οποίος στη συνέχεια για λόγους συντομίας καλείται «Δικαιούχος», συμφώνησαν αμοιβαία τα ακόλουθα που περιγράφονται σε 8 άρθρα ως ακολούθως:</w:t>
      </w:r>
    </w:p>
    <w:p w14:paraId="267FCE04" w14:textId="4DA2A69F" w:rsidR="00B22E9C" w:rsidRDefault="00A4297C" w:rsidP="009F4B5C">
      <w:pPr>
        <w:spacing w:after="238" w:line="247" w:lineRule="auto"/>
        <w:ind w:left="0" w:right="4" w:firstLine="0"/>
      </w:pPr>
      <w:r>
        <w:t xml:space="preserve">Η </w:t>
      </w:r>
      <w:r w:rsidR="009D2BDD">
        <w:t>πρώτ</w:t>
      </w:r>
      <w:r>
        <w:t>η</w:t>
      </w:r>
      <w:r w:rsidR="005524AE" w:rsidRPr="005524AE">
        <w:t xml:space="preserve"> </w:t>
      </w:r>
      <w:r w:rsidR="009D2BDD">
        <w:t>συμβαλλόμεν</w:t>
      </w:r>
      <w:r>
        <w:t>η</w:t>
      </w:r>
      <w:r w:rsidR="009D2BDD">
        <w:t xml:space="preserve">, </w:t>
      </w:r>
      <w:r w:rsidR="00071C97">
        <w:t>είναι πιστοποιημένο Κέντρο Υποδοχής Δηλώσεων ΟΣΔΕ (ΥΠ.Α.Α.Τ. 274/38902/</w:t>
      </w:r>
      <w:r w:rsidR="000C5640" w:rsidRPr="006A15DA">
        <w:t>0</w:t>
      </w:r>
      <w:r w:rsidR="00071C97">
        <w:t xml:space="preserve">2-03-2014) και </w:t>
      </w:r>
      <w:r w:rsidR="009D2BDD">
        <w:t xml:space="preserve">δραστηριοποιείται στον τομέα συμβουλευτικών υπηρεσιών, την παροχή τεχνικής στήριξης, τη σύνταξη και υλοποίηση επενδυτικών σχεδίων - γεωργοκτηνοτροφικών και περιβαλλοντικών μελετών, </w:t>
      </w:r>
      <w:r w:rsidR="00920636" w:rsidRPr="00920636">
        <w:t xml:space="preserve">υποβολή δηλώσεων (π.χ., ΟΣΔΕ) και άλλων συναφών υπηρεσιών </w:t>
      </w:r>
      <w:r w:rsidR="009D2BDD">
        <w:t>των ανθρώπων που ασχολούνται με τον πρωτογενή τομέα</w:t>
      </w:r>
      <w:r>
        <w:t xml:space="preserve"> κλπ</w:t>
      </w:r>
      <w:r w:rsidR="009D2BDD">
        <w:t xml:space="preserve">. </w:t>
      </w:r>
    </w:p>
    <w:p w14:paraId="681838A7" w14:textId="442DA781" w:rsidR="009D2BDD" w:rsidRDefault="00A4297C" w:rsidP="009F4B5C">
      <w:pPr>
        <w:spacing w:after="238" w:line="247" w:lineRule="auto"/>
        <w:ind w:left="0" w:right="4" w:firstLine="0"/>
      </w:pPr>
      <w:r>
        <w:t>Ο 2</w:t>
      </w:r>
      <w:r w:rsidRPr="00A4297C">
        <w:rPr>
          <w:vertAlign w:val="superscript"/>
        </w:rPr>
        <w:t>ος</w:t>
      </w:r>
      <w:r>
        <w:t xml:space="preserve"> συμβαλλόμενος είναι κάτοχος γεωργικής εκμετάλλευσης και </w:t>
      </w:r>
      <w:r w:rsidR="00920636">
        <w:t xml:space="preserve">κατά δήλωσή του </w:t>
      </w:r>
      <w:r>
        <w:t xml:space="preserve">εν δυνάμει </w:t>
      </w:r>
      <w:r w:rsidR="00920636">
        <w:t xml:space="preserve">και εν τοις </w:t>
      </w:r>
      <w:proofErr w:type="spellStart"/>
      <w:r w:rsidR="00920636">
        <w:t>πράγμασι</w:t>
      </w:r>
      <w:proofErr w:type="spellEnd"/>
      <w:r w:rsidR="00920636">
        <w:t xml:space="preserve"> </w:t>
      </w:r>
      <w:r>
        <w:t xml:space="preserve">δικαιούχος επιδοτήσεων σύμφωνα με την ισχύουσα ΚΑΠ. </w:t>
      </w:r>
      <w:r w:rsidR="009D2BDD">
        <w:t xml:space="preserve">Με το παρόν συμφωνητικό, </w:t>
      </w:r>
      <w:r>
        <w:t>η 1</w:t>
      </w:r>
      <w:r w:rsidRPr="00A4297C">
        <w:rPr>
          <w:vertAlign w:val="superscript"/>
        </w:rPr>
        <w:t>η</w:t>
      </w:r>
      <w:r>
        <w:t xml:space="preserve"> συμβαλλόμενη </w:t>
      </w:r>
      <w:r w:rsidR="009D2BDD">
        <w:t xml:space="preserve">αναλαμβάνει ως «Σύμβουλος» την </w:t>
      </w:r>
      <w:r w:rsidR="006A15DA">
        <w:t xml:space="preserve">σύνταξη της </w:t>
      </w:r>
      <w:r w:rsidR="00573202">
        <w:t>Ενιαίας Αίτησης Ενίσχυσης</w:t>
      </w:r>
      <w:r w:rsidR="009A4E23">
        <w:t xml:space="preserve">, την σύνταξη και υλοποίηση των οικολογικών σχημάτων του Στρατηγικού σχεδίου για την νέα ΚΑΠ 2023-2027 </w:t>
      </w:r>
      <w:r w:rsidR="006A15DA">
        <w:t xml:space="preserve">καθώς και την </w:t>
      </w:r>
      <w:r w:rsidR="009D2BDD">
        <w:t>τεχνική υποστήριξη της γεωργικής εκμετάλλευσης του δεύτερου συμβαλλόμενου «Δικαιούχου»,</w:t>
      </w:r>
      <w:r>
        <w:t xml:space="preserve"> ο οποίος και αποδέχεται ανεπιφύλακτα τα ως άνω,</w:t>
      </w:r>
      <w:r w:rsidR="009D2BDD">
        <w:t xml:space="preserve"> σύμφωνα με τους παρακάτω όρους</w:t>
      </w:r>
      <w:r>
        <w:t xml:space="preserve"> και συμφωνίες</w:t>
      </w:r>
      <w:r w:rsidR="009D2BDD">
        <w:t>:</w:t>
      </w:r>
    </w:p>
    <w:p w14:paraId="0442427A" w14:textId="77777777" w:rsidR="009D2BDD" w:rsidRDefault="009D2BDD" w:rsidP="009D2BDD">
      <w:pPr>
        <w:pStyle w:val="Heading1"/>
      </w:pPr>
      <w:r>
        <w:t>Άρθρο 1 – Σκοπός</w:t>
      </w:r>
    </w:p>
    <w:p w14:paraId="7CFCF3B2" w14:textId="786C1FAA" w:rsidR="009D2BDD" w:rsidRDefault="00B039E7" w:rsidP="00B039E7">
      <w:pPr>
        <w:ind w:left="0" w:right="84" w:firstLine="0"/>
      </w:pPr>
      <w:r>
        <w:tab/>
      </w:r>
      <w:r w:rsidR="009D2BDD">
        <w:t>Σκοπός της παρούσας σύμβασης είναι ο ακριβής προσδιορισμός των συμβατικών υποχρεώσεων των συμβαλλόμενων μερών με στόχο τη</w:t>
      </w:r>
      <w:r w:rsidR="00C00D6D">
        <w:t xml:space="preserve">ν ακριβή σύνταξη της </w:t>
      </w:r>
      <w:r w:rsidR="00573202">
        <w:t xml:space="preserve">Ενιαίας Αίτησης Ενίσχυσης </w:t>
      </w:r>
      <w:r w:rsidR="00C00D6D">
        <w:t>και τη</w:t>
      </w:r>
      <w:r w:rsidR="009D2BDD">
        <w:t xml:space="preserve"> βελτίωση της αποτελεσματικότητας εφαρμογής των οικολογικών σχημάτων.</w:t>
      </w:r>
    </w:p>
    <w:p w14:paraId="0F1DE868" w14:textId="77777777" w:rsidR="009D2BDD" w:rsidRDefault="009D2BDD" w:rsidP="009D2BDD">
      <w:pPr>
        <w:pStyle w:val="Heading1"/>
        <w:ind w:right="7"/>
      </w:pPr>
      <w:r>
        <w:t>Άρθρο 2 – Αντικείμενο</w:t>
      </w:r>
    </w:p>
    <w:p w14:paraId="09699143" w14:textId="5FB0EF78" w:rsidR="009D2BDD" w:rsidRDefault="00B039E7" w:rsidP="00B039E7">
      <w:pPr>
        <w:ind w:left="0" w:right="-58" w:firstLine="0"/>
      </w:pPr>
      <w:r>
        <w:tab/>
      </w:r>
      <w:r w:rsidR="009D2BDD">
        <w:t xml:space="preserve">Ο «Δικαιούχος» αναθέτει στον «Σύμβουλο» την </w:t>
      </w:r>
      <w:r w:rsidR="002F4592">
        <w:t xml:space="preserve">σύνταξη της </w:t>
      </w:r>
      <w:r w:rsidR="00573202">
        <w:t xml:space="preserve">Ενιαίας Αίτησης Ενίσχυσης </w:t>
      </w:r>
      <w:r w:rsidR="002F4592">
        <w:t xml:space="preserve">καθώς και την </w:t>
      </w:r>
      <w:r w:rsidR="009D2BDD">
        <w:t xml:space="preserve">εκπόνηση, παρακολούθηση και την εφαρμογή του Σχεδίου Περιβαλλοντικής Διαχείρισης καθώς και άλλα σχετικά με την τεχνική στήριξη της γεωργικής εκμετάλλευσης του «Δικαιούχου» καθ’  όλη τη διάρκεια </w:t>
      </w:r>
      <w:r w:rsidR="002F4592">
        <w:t>της καλλιεργητικής περιόδου</w:t>
      </w:r>
      <w:r w:rsidR="009D2BDD">
        <w:t>.</w:t>
      </w:r>
    </w:p>
    <w:p w14:paraId="31F662A6" w14:textId="77777777" w:rsidR="009D2BDD" w:rsidRDefault="009D2BDD" w:rsidP="009D2BDD">
      <w:pPr>
        <w:pStyle w:val="Heading1"/>
      </w:pPr>
      <w:r>
        <w:t>Άρθρο 3 – Διάρκεια σύμβασης</w:t>
      </w:r>
    </w:p>
    <w:p w14:paraId="543353B1" w14:textId="7A419CC4" w:rsidR="009D2BDD" w:rsidRDefault="00B039E7" w:rsidP="009D2BDD">
      <w:pPr>
        <w:spacing w:after="238" w:line="244" w:lineRule="auto"/>
        <w:ind w:left="0" w:right="4" w:firstLine="0"/>
      </w:pPr>
      <w:r>
        <w:tab/>
      </w:r>
      <w:r w:rsidR="009D2BDD">
        <w:t xml:space="preserve">Η διάρκεια της σύμβασης ορίζεται για το χρονικό διάστημα </w:t>
      </w:r>
      <w:r w:rsidR="002F4592">
        <w:t>ενός έτους</w:t>
      </w:r>
      <w:r w:rsidR="009D2BDD">
        <w:t xml:space="preserve">. Ειδικότερα η ισχύς της αρχίζει από την ημερομηνία υπογραφής της και για το έτος της ΕΑΕ του </w:t>
      </w:r>
      <w:r w:rsidR="002F4592">
        <w:t>2025</w:t>
      </w:r>
      <w:r w:rsidR="009D2BDD">
        <w:t xml:space="preserve"> που διανύουμε και λήγει με την ολοκλήρωση των δεσμεύσεων, με ενδεικτική ημερομηνία την 30/06/202</w:t>
      </w:r>
      <w:r w:rsidR="002F4592">
        <w:t>6</w:t>
      </w:r>
      <w:r w:rsidR="009D2BDD">
        <w:t>.</w:t>
      </w:r>
    </w:p>
    <w:p w14:paraId="501EA1E3" w14:textId="77777777" w:rsidR="009D2BDD" w:rsidRDefault="009D2BDD" w:rsidP="009D2BDD">
      <w:pPr>
        <w:pStyle w:val="Heading1"/>
        <w:ind w:right="9"/>
      </w:pPr>
      <w:r>
        <w:lastRenderedPageBreak/>
        <w:t>Άρθρο 4 – Υποχρεώσεις συμβαλλομένων</w:t>
      </w:r>
    </w:p>
    <w:p w14:paraId="42357395" w14:textId="77777777" w:rsidR="009D2BDD" w:rsidRDefault="009D2BDD" w:rsidP="009D2BDD">
      <w:pPr>
        <w:ind w:left="-5" w:right="105"/>
      </w:pPr>
      <w:r>
        <w:t>Α) Υποχρεώσεις «Συμβούλου»</w:t>
      </w:r>
    </w:p>
    <w:p w14:paraId="179FE71C" w14:textId="050AC20D" w:rsidR="009D2BDD" w:rsidRDefault="00B039E7" w:rsidP="00B039E7">
      <w:pPr>
        <w:ind w:left="-5" w:right="-58" w:firstLine="0"/>
      </w:pPr>
      <w:r>
        <w:tab/>
      </w:r>
      <w:r>
        <w:tab/>
      </w:r>
      <w:r w:rsidR="009D2BDD">
        <w:t xml:space="preserve">Ο «Σύμβουλος» υποχρεούται να ενημερώνει το «Δικαιούχο» </w:t>
      </w:r>
      <w:r w:rsidR="003A0848">
        <w:t xml:space="preserve">για το σύνολο των δεδομένων και των δικαιολογητικών που απαιτούνται για την ορθή συμπλήρωση της Ενιαίας Αίτησης Ενίσχυσης καθώς και </w:t>
      </w:r>
      <w:r w:rsidR="009D2BDD">
        <w:t xml:space="preserve">σε ότι αφορά στην ορθή εφαρμογή των απαιτήσεων των οικολογικών σχημάτων (σύνταξη ΣΠΔ- τήρηση φακέλου) καθώς και της εθνικής και </w:t>
      </w:r>
      <w:proofErr w:type="spellStart"/>
      <w:r w:rsidR="009D2BDD">
        <w:t>ενωσιακής</w:t>
      </w:r>
      <w:proofErr w:type="spellEnd"/>
      <w:r w:rsidR="009D2BDD">
        <w:t xml:space="preserve"> νομοθεσίας. Επιπλέον, οφείλει να συμβουλεύει το δικαιούχο για τις βέλτιστες πρακτικές, καθώς και για τα οφέλη. Επιπρόσθετα, υποχρεούται να ενημερώνει την αρμόδια περιφερειακή υπηρεσία του ΟΠΕΚΕΠΕ, για τυχόν μη τήρηση των υποχρεώσεων ή μονομερούς διακοπής της σύμβασης από πλευράς «Δικαιούχου».</w:t>
      </w:r>
    </w:p>
    <w:p w14:paraId="666C75D1" w14:textId="77777777" w:rsidR="009D2BDD" w:rsidRDefault="009D2BDD" w:rsidP="009D2BDD">
      <w:pPr>
        <w:ind w:left="-5" w:right="105"/>
      </w:pPr>
      <w:r>
        <w:t>Β) Υποχρεώσεις «Δικαιούχου»</w:t>
      </w:r>
    </w:p>
    <w:p w14:paraId="1E4B40AF" w14:textId="42086B1E" w:rsidR="003A0848" w:rsidRPr="00155ED7" w:rsidRDefault="00B039E7" w:rsidP="00B039E7">
      <w:pPr>
        <w:ind w:left="-5" w:right="-58" w:firstLine="5"/>
      </w:pPr>
      <w:r>
        <w:tab/>
      </w:r>
      <w:r w:rsidR="003A0848">
        <w:t>Ο «Δικαιούχο</w:t>
      </w:r>
      <w:r w:rsidR="00A4297C">
        <w:t>ς</w:t>
      </w:r>
      <w:r w:rsidR="003A0848">
        <w:t>»</w:t>
      </w:r>
      <w:r w:rsidR="00A4297C">
        <w:t>,</w:t>
      </w:r>
      <w:r w:rsidR="003A0848">
        <w:t xml:space="preserve"> </w:t>
      </w:r>
      <w:r w:rsidR="00A4297C">
        <w:t xml:space="preserve">κάτοχος γεωργικής εκμετάλλευσης, </w:t>
      </w:r>
      <w:r w:rsidR="003A0848">
        <w:t>έχ</w:t>
      </w:r>
      <w:r w:rsidR="00A4297C">
        <w:t>ει</w:t>
      </w:r>
      <w:r w:rsidR="003A0848">
        <w:t xml:space="preserve"> την αποκλειστική ευθύνη για την ορθή συμπλήρωση τ</w:t>
      </w:r>
      <w:r w:rsidR="00155ED7">
        <w:t>ων πεδίων της ενιαίας αίτησης ενίσχυσης</w:t>
      </w:r>
      <w:r w:rsidR="00920636">
        <w:t>, τη</w:t>
      </w:r>
      <w:r w:rsidR="00155ED7">
        <w:t xml:space="preserve"> </w:t>
      </w:r>
      <w:r w:rsidR="00920636" w:rsidRPr="00920636">
        <w:t>συλλογή δικαιολογητικών</w:t>
      </w:r>
      <w:r w:rsidR="00920636">
        <w:t>, την παροχή ακριβών στοιχείων</w:t>
      </w:r>
      <w:r w:rsidR="00920636" w:rsidRPr="00920636">
        <w:t xml:space="preserve"> </w:t>
      </w:r>
      <w:r w:rsidR="00155ED7">
        <w:t>και υποχρεούται να προσδιορίζ</w:t>
      </w:r>
      <w:r w:rsidR="00A4297C">
        <w:t>ει</w:t>
      </w:r>
      <w:r w:rsidR="00155ED7">
        <w:t xml:space="preserve"> και να δηλών</w:t>
      </w:r>
      <w:r w:rsidR="00A4297C">
        <w:t>ει</w:t>
      </w:r>
      <w:r w:rsidR="00155ED7">
        <w:t xml:space="preserve"> με σαφή τρόπο την έκταση κάθε αγροτεμαχίου</w:t>
      </w:r>
      <w:r w:rsidR="00920636">
        <w:t xml:space="preserve"> και</w:t>
      </w:r>
      <w:r w:rsidR="00A4297C">
        <w:t xml:space="preserve"> κάθε στοιχείο που απαιτείται για την πλήρη και ορθή περιγραφή του αγροτεμαχίου, καθώς και να χορηγεί στον σύμβουλο κάθε έγγραφο και πληροφορία που απαιτηθεί για την ορθή και σύννομη εκτέλεση των ανατεθειμένων υπηρεσιών του συμβούλου</w:t>
      </w:r>
      <w:r w:rsidR="00155ED7">
        <w:t>.</w:t>
      </w:r>
      <w:r w:rsidR="00A4297C">
        <w:t xml:space="preserve"> (ενδεικτικά και όχι περιοριστικά αναφέρονται: νόμιμη χρήση, κατοχή κάθε αγροτεμαχίου, με πλήρη στοιχεία αυτού, που δηλώνεται στο σύστημα ΟΣΔΕ, νόμιμη και εμπρόθεσμη προσκομιδή κάθε εγγράφου που είναι απαραίτητο για την ολοκλήρωση κάθε δήλωσης </w:t>
      </w:r>
      <w:r w:rsidR="00920636">
        <w:t xml:space="preserve">- </w:t>
      </w:r>
      <w:r w:rsidR="00A4297C">
        <w:t xml:space="preserve">αίτησης στα πλαίσια της παρούσας συμβάσεως </w:t>
      </w:r>
      <w:proofErr w:type="spellStart"/>
      <w:r w:rsidR="00A4297C">
        <w:t>κλπ</w:t>
      </w:r>
      <w:proofErr w:type="spellEnd"/>
      <w:r w:rsidR="00A4297C">
        <w:t xml:space="preserve">) </w:t>
      </w:r>
    </w:p>
    <w:p w14:paraId="69F0CEEE" w14:textId="426362EE" w:rsidR="009D2BDD" w:rsidRDefault="00B039E7" w:rsidP="00B039E7">
      <w:pPr>
        <w:ind w:left="-5" w:right="-58" w:firstLine="0"/>
      </w:pPr>
      <w:r>
        <w:tab/>
      </w:r>
      <w:r>
        <w:tab/>
      </w:r>
      <w:r w:rsidR="009D2BDD">
        <w:t>Ο «Δικαιούχο</w:t>
      </w:r>
      <w:r w:rsidR="00A4297C">
        <w:t>ς</w:t>
      </w:r>
      <w:r w:rsidR="009D2BDD">
        <w:t>» οφείλ</w:t>
      </w:r>
      <w:r w:rsidR="00A4297C">
        <w:t>ει</w:t>
      </w:r>
      <w:r w:rsidR="009D2BDD">
        <w:t xml:space="preserve"> να τηρ</w:t>
      </w:r>
      <w:r w:rsidR="00A4297C">
        <w:t>εί</w:t>
      </w:r>
      <w:r w:rsidR="009D2BDD">
        <w:t xml:space="preserve">, κατ’ έτος και καθ’ όλη τη διάρκεια των δεσμεύσεών του, τις οδηγίες του Συμβούλου και τις υποχρεώσεις που απορρέουν από την επιλογή του κάθε </w:t>
      </w:r>
      <w:proofErr w:type="spellStart"/>
      <w:r w:rsidR="009D2BDD">
        <w:t>οικοσχήματος</w:t>
      </w:r>
      <w:proofErr w:type="spellEnd"/>
      <w:r w:rsidR="00A4297C">
        <w:t xml:space="preserve"> και εκ των διατάξεων της ΚΑΠ ή τυχόν άλλου κανόνα</w:t>
      </w:r>
      <w:r w:rsidR="00920636">
        <w:t xml:space="preserve"> διέπει τα ως άνω</w:t>
      </w:r>
      <w:r w:rsidR="009D2BDD">
        <w:t>.</w:t>
      </w:r>
    </w:p>
    <w:p w14:paraId="5B0184E8" w14:textId="65253114" w:rsidR="009D2BDD" w:rsidRDefault="009D2BDD" w:rsidP="00772DEE">
      <w:pPr>
        <w:spacing w:after="223" w:line="259" w:lineRule="auto"/>
        <w:ind w:left="0" w:right="-58" w:firstLine="0"/>
        <w:jc w:val="left"/>
      </w:pPr>
      <w:r>
        <w:t>Οι δικαιούχοι δεσμεύονται</w:t>
      </w:r>
      <w:r w:rsidR="00A4297C">
        <w:t xml:space="preserve"> ενδεικτικά και όχι περιοριστικά για τα κάτωθι</w:t>
      </w:r>
      <w:r>
        <w:t>:</w:t>
      </w:r>
    </w:p>
    <w:p w14:paraId="645497E3" w14:textId="70EB5703" w:rsidR="009D2BDD" w:rsidRDefault="009D2BDD" w:rsidP="00772DEE">
      <w:pPr>
        <w:numPr>
          <w:ilvl w:val="0"/>
          <w:numId w:val="2"/>
        </w:numPr>
        <w:spacing w:after="0"/>
        <w:ind w:left="284" w:right="-58" w:hanging="284"/>
      </w:pPr>
      <w:r>
        <w:t xml:space="preserve">Να ενημερωθούν για τις υποχρεώσεις που απορρέουν από το κάθε οικολογικό </w:t>
      </w:r>
      <w:r w:rsidR="00772DEE" w:rsidRPr="00772DEE">
        <w:t xml:space="preserve"> </w:t>
      </w:r>
      <w:r>
        <w:t>σχήμα</w:t>
      </w:r>
    </w:p>
    <w:p w14:paraId="1C53D6FA" w14:textId="77777777" w:rsidR="009D2BDD" w:rsidRDefault="009D2BDD" w:rsidP="00772DEE">
      <w:pPr>
        <w:numPr>
          <w:ilvl w:val="0"/>
          <w:numId w:val="2"/>
        </w:numPr>
        <w:spacing w:after="7"/>
        <w:ind w:left="284" w:right="-58" w:hanging="284"/>
      </w:pPr>
      <w:r>
        <w:t>Να ακολουθούν τις οδηγίες του Συμβούλου</w:t>
      </w:r>
    </w:p>
    <w:p w14:paraId="576B03CB" w14:textId="1CD1E193" w:rsidR="009D2BDD" w:rsidRDefault="009D2BDD" w:rsidP="00772DEE">
      <w:pPr>
        <w:numPr>
          <w:ilvl w:val="0"/>
          <w:numId w:val="2"/>
        </w:numPr>
        <w:spacing w:after="0"/>
        <w:ind w:left="284" w:right="-58" w:hanging="284"/>
      </w:pPr>
      <w:r>
        <w:t xml:space="preserve">Να προσκομίζουν όλα τα </w:t>
      </w:r>
      <w:r w:rsidR="00920636">
        <w:t xml:space="preserve">ακριβή και </w:t>
      </w:r>
      <w:r>
        <w:t xml:space="preserve">απαραίτητα δικαιολογητικά όπως για παράδειγμα τιμολόγια αγοράς </w:t>
      </w:r>
      <w:r w:rsidR="00A4297C">
        <w:t xml:space="preserve">πιστοποιημένου </w:t>
      </w:r>
      <w:r>
        <w:t xml:space="preserve">σπόρου, τα οποία υποχρεωτικά πρέπει να επισυνάπτονται για την απόδειξη χρήσης του πιστοποιημένου σπόρου, μιγμάτων, λιπασμάτων </w:t>
      </w:r>
      <w:proofErr w:type="spellStart"/>
      <w:r>
        <w:t>κλπ</w:t>
      </w:r>
      <w:proofErr w:type="spellEnd"/>
      <w:r w:rsidR="00920636">
        <w:t>, έγγραφα νόμιμης χρήσης - κατοχής των αγροτεμαχίων κλπ.</w:t>
      </w:r>
    </w:p>
    <w:p w14:paraId="3F7D6DD2" w14:textId="3AC772B3" w:rsidR="009D2BDD" w:rsidRDefault="009D2BDD" w:rsidP="00772DEE">
      <w:pPr>
        <w:numPr>
          <w:ilvl w:val="0"/>
          <w:numId w:val="2"/>
        </w:numPr>
        <w:spacing w:after="238" w:line="247" w:lineRule="auto"/>
        <w:ind w:left="284" w:right="-58" w:hanging="284"/>
      </w:pPr>
      <w:r>
        <w:t xml:space="preserve">Σε κάθε περίπτωση μη συμμόρφωσης </w:t>
      </w:r>
      <w:r w:rsidR="00A4297C">
        <w:t xml:space="preserve">του Δικαιούχου </w:t>
      </w:r>
      <w:r>
        <w:t xml:space="preserve">με όλα τα παραπάνω </w:t>
      </w:r>
      <w:r w:rsidR="00A4297C">
        <w:t xml:space="preserve">που αποτελούν κανόνες και απαιτήσεις της ΚΑΠ και του αρμόδιου φορέα, </w:t>
      </w:r>
      <w:r>
        <w:t xml:space="preserve">που </w:t>
      </w:r>
      <w:r w:rsidR="00A4297C">
        <w:t xml:space="preserve">τυχόν </w:t>
      </w:r>
      <w:r>
        <w:t>θα οδηγήσει σε αδυναμία ολοκληρωμένης πληρωμής επιδοτήσεων</w:t>
      </w:r>
      <w:r w:rsidR="00920636">
        <w:t>,</w:t>
      </w:r>
      <w:r>
        <w:t xml:space="preserve"> ουδεμιά ευθύνη φέρει ο Σύμβουλος.</w:t>
      </w:r>
    </w:p>
    <w:p w14:paraId="49EADA6B" w14:textId="77777777" w:rsidR="009D2BDD" w:rsidRDefault="009D2BDD" w:rsidP="009D2BDD">
      <w:pPr>
        <w:pStyle w:val="Heading1"/>
        <w:ind w:right="9"/>
      </w:pPr>
      <w:r>
        <w:lastRenderedPageBreak/>
        <w:t xml:space="preserve"> Άρθρο 5 - Αμοιβές «Συμβούλου»</w:t>
      </w:r>
    </w:p>
    <w:p w14:paraId="738FF2FB" w14:textId="030F7F54" w:rsidR="00155ED7" w:rsidRDefault="009D2BDD" w:rsidP="00B039E7">
      <w:pPr>
        <w:ind w:left="142" w:right="-58" w:hanging="142"/>
      </w:pPr>
      <w:r>
        <w:t xml:space="preserve">Α. </w:t>
      </w:r>
      <w:r w:rsidR="00155ED7">
        <w:t xml:space="preserve">Η αμοιβή του «Συμβούλου» για την σύνταξη της Ενιαίας Αίτησης Ενίσχυσης καθορίζεται από τον τιμοκατάλογο </w:t>
      </w:r>
      <w:r w:rsidR="00920636">
        <w:t>εκάστου</w:t>
      </w:r>
      <w:r w:rsidR="00155ED7">
        <w:t xml:space="preserve"> έτους όπως αυτός φαίνεται στο παράρτημα της παρούσας.</w:t>
      </w:r>
    </w:p>
    <w:p w14:paraId="51CA1F80" w14:textId="68E280AD" w:rsidR="009D2BDD" w:rsidRDefault="00155ED7" w:rsidP="00B039E7">
      <w:pPr>
        <w:ind w:left="142" w:right="-58" w:hanging="142"/>
      </w:pPr>
      <w:r>
        <w:t xml:space="preserve">Β. </w:t>
      </w:r>
      <w:r w:rsidR="009D2BDD">
        <w:t xml:space="preserve">Οι δαπάνες στήριξης </w:t>
      </w:r>
      <w:r w:rsidR="00920636">
        <w:t xml:space="preserve">– αμοιβής </w:t>
      </w:r>
      <w:r w:rsidR="009D2BDD">
        <w:t>καταβάλλονται από τον δικαιούχο για κάθε έτος με την ετήσια Αίτηση Πληρωμής-Δήλωση εφαρμογής του «Δικαιούχου» ως εξής :</w:t>
      </w:r>
    </w:p>
    <w:p w14:paraId="5227492A" w14:textId="79D71D9F" w:rsidR="009D2BDD" w:rsidRDefault="009D2BDD" w:rsidP="00B039E7">
      <w:pPr>
        <w:pStyle w:val="ListParagraph"/>
        <w:numPr>
          <w:ilvl w:val="0"/>
          <w:numId w:val="6"/>
        </w:numPr>
        <w:spacing w:after="2" w:line="247" w:lineRule="auto"/>
        <w:ind w:right="4"/>
      </w:pPr>
      <w:r>
        <w:t>Για τ</w:t>
      </w:r>
      <w:r w:rsidR="00155ED7">
        <w:t xml:space="preserve">ο σύνολο των </w:t>
      </w:r>
      <w:proofErr w:type="spellStart"/>
      <w:r>
        <w:t>οικοσχ</w:t>
      </w:r>
      <w:r w:rsidR="00155ED7">
        <w:t>η</w:t>
      </w:r>
      <w:r>
        <w:t>μ</w:t>
      </w:r>
      <w:r w:rsidR="00155ED7">
        <w:t>ά</w:t>
      </w:r>
      <w:r>
        <w:t>τ</w:t>
      </w:r>
      <w:r w:rsidR="00155ED7">
        <w:t>ων</w:t>
      </w:r>
      <w:proofErr w:type="spellEnd"/>
      <w:r>
        <w:t xml:space="preserve"> η αμοιβή του Συμβούλου είναι ίση με το 5% από το ποσό που έχει να λάβει ο δικαιούχος για το κάθε έτος. </w:t>
      </w:r>
    </w:p>
    <w:p w14:paraId="443CF05A" w14:textId="03EF938B" w:rsidR="009D2BDD" w:rsidRDefault="00083A24" w:rsidP="00B039E7">
      <w:pPr>
        <w:pStyle w:val="ListParagraph"/>
        <w:numPr>
          <w:ilvl w:val="0"/>
          <w:numId w:val="6"/>
        </w:numPr>
        <w:spacing w:after="2" w:line="247" w:lineRule="auto"/>
        <w:ind w:right="4"/>
      </w:pPr>
      <w:r>
        <w:t xml:space="preserve">Η ελάχιστη αμοιβή του «Συμβούλου» είναι τα 20€. Υπόχρεοι καταβολής της αμοιβής του «Συμβούλου» είναι οι «Δικαιούχοι» που </w:t>
      </w:r>
      <w:r w:rsidR="00617135">
        <w:t>εισπράττουν</w:t>
      </w:r>
      <w:r>
        <w:t xml:space="preserve"> τουλάχιστον 200€ από το σύνολο των </w:t>
      </w:r>
      <w:proofErr w:type="spellStart"/>
      <w:r>
        <w:t>οικοσχημάτων</w:t>
      </w:r>
      <w:proofErr w:type="spellEnd"/>
      <w:r>
        <w:t>. Ε</w:t>
      </w:r>
      <w:r w:rsidR="009D2BDD">
        <w:t xml:space="preserve">πιπλέον </w:t>
      </w:r>
      <w:r w:rsidR="00617135">
        <w:t xml:space="preserve">χρεώνονται </w:t>
      </w:r>
      <w:r w:rsidR="009D2BDD">
        <w:t xml:space="preserve">20 ευρώ ανά έτος για την χρήση της </w:t>
      </w:r>
      <w:r w:rsidR="006C32EB">
        <w:t>ψηφιακής</w:t>
      </w:r>
      <w:r w:rsidR="009D2BDD">
        <w:t xml:space="preserve"> εφαρμογής η οποία είναι υποχρεωτική για την υλοποίηση του 6</w:t>
      </w:r>
      <w:r w:rsidR="009D2BDD" w:rsidRPr="00B039E7">
        <w:rPr>
          <w:sz w:val="31"/>
          <w:vertAlign w:val="superscript"/>
        </w:rPr>
        <w:t xml:space="preserve">ου </w:t>
      </w:r>
      <w:r w:rsidR="009D2BDD">
        <w:t>οικολογικού σχήματος.</w:t>
      </w:r>
    </w:p>
    <w:p w14:paraId="70DD966B" w14:textId="18FC00BC" w:rsidR="009D2BDD" w:rsidRDefault="009D2BDD" w:rsidP="00B039E7">
      <w:pPr>
        <w:pStyle w:val="ListParagraph"/>
        <w:numPr>
          <w:ilvl w:val="0"/>
          <w:numId w:val="6"/>
        </w:numPr>
        <w:ind w:right="602"/>
      </w:pPr>
      <w:r>
        <w:t>Στις παραπάνω τιμές δεν συμπεριλαμβάνεται ο ΦΠΑ</w:t>
      </w:r>
    </w:p>
    <w:p w14:paraId="7FE06C05" w14:textId="36DEB119" w:rsidR="009D2BDD" w:rsidRDefault="009D2BDD" w:rsidP="00B039E7">
      <w:pPr>
        <w:pStyle w:val="ListParagraph"/>
        <w:numPr>
          <w:ilvl w:val="0"/>
          <w:numId w:val="6"/>
        </w:numPr>
        <w:ind w:right="602"/>
      </w:pPr>
      <w:r>
        <w:t xml:space="preserve">Η Αμοιβή του «Συμβούλου» θα αποδεικνύεται με την έκδοση </w:t>
      </w:r>
      <w:r w:rsidR="00A4297C">
        <w:t xml:space="preserve">νόμιμου παραστατικού - </w:t>
      </w:r>
      <w:r>
        <w:t>τιμολόγιου παροχής υπηρεσιών.</w:t>
      </w:r>
    </w:p>
    <w:p w14:paraId="5F9D0469" w14:textId="77777777" w:rsidR="009D2BDD" w:rsidRDefault="009D2BDD" w:rsidP="009D2BDD">
      <w:pPr>
        <w:numPr>
          <w:ilvl w:val="0"/>
          <w:numId w:val="3"/>
        </w:numPr>
        <w:spacing w:after="0"/>
        <w:ind w:right="17" w:hanging="300"/>
      </w:pPr>
      <w:r>
        <w:t>Οι αμοιβές Συμβούλου μπορεί να τροποποιηθούν ανάλογα με την τιμολογιακή πολιτική του Συμβούλου και θα συμφωνηθούν σε παράρτημα της παρούσας και από τα δυο μέρη.</w:t>
      </w:r>
    </w:p>
    <w:p w14:paraId="25BF0F15" w14:textId="77777777" w:rsidR="009D2BDD" w:rsidRDefault="009D2BDD" w:rsidP="009D2BDD">
      <w:pPr>
        <w:numPr>
          <w:ilvl w:val="0"/>
          <w:numId w:val="3"/>
        </w:numPr>
        <w:spacing w:after="238" w:line="247" w:lineRule="auto"/>
        <w:ind w:right="17" w:hanging="300"/>
      </w:pPr>
      <w:r>
        <w:t>Με την υπογραφή της σύμβασης ο Δικαιούχος δίνει ανεπιφύλακτα το δικαίωμα και την συγκατάθεση προς τον Σύμβουλο να εκδώσει πάγια εντολή για την είσπραξη της αμοιβής του από όλες τις πληρωμές που λαμβάνει ο Δικαιούχος από τον ΟΠΕΚΕΠΕ από την συνεργαζόμενη τράπεζα του «δικαιούχου».</w:t>
      </w:r>
    </w:p>
    <w:p w14:paraId="2DB2516D" w14:textId="546F675B" w:rsidR="009D2BDD" w:rsidRDefault="00D9790D" w:rsidP="00B039E7">
      <w:pPr>
        <w:ind w:left="142" w:right="-58" w:hanging="142"/>
      </w:pPr>
      <w:r>
        <w:t>Γ</w:t>
      </w:r>
      <w:r w:rsidR="009D2BDD">
        <w:t xml:space="preserve">. </w:t>
      </w:r>
      <w:r w:rsidR="009D2BDD" w:rsidRPr="00B039E7">
        <w:t xml:space="preserve">Η πληρωμή του συμβούλου γίνεται με το πέρας της παρεχόμενης υπηρεσίας, που ορίζεται η ημερομηνία πληρωμής του </w:t>
      </w:r>
      <w:proofErr w:type="spellStart"/>
      <w:r w:rsidR="009D2BDD" w:rsidRPr="00B039E7">
        <w:t>οικοσχήματος</w:t>
      </w:r>
      <w:proofErr w:type="spellEnd"/>
      <w:r w:rsidR="009D2BDD" w:rsidRPr="00B039E7">
        <w:t>.</w:t>
      </w:r>
      <w:r w:rsidR="006C32EB" w:rsidRPr="00B039E7">
        <w:t xml:space="preserve"> Ειδικά και κατ’ εξαίρεση του παρόντος όρου η αμοιβή που αφορά στη χρήση ψηφιακής εφαρμογής (Δράση 31.6-Α) θα καταβάλλεται έως  31 Οκτωβρίου εκάστου έτους, σύμφωνα με την ισχύουσα εγκύκλιο του ΟΠΕΚΕΠΕ.</w:t>
      </w:r>
    </w:p>
    <w:p w14:paraId="2CEA904D" w14:textId="77777777" w:rsidR="009D2BDD" w:rsidRDefault="009D2BDD" w:rsidP="009D2BDD">
      <w:pPr>
        <w:pStyle w:val="Heading1"/>
        <w:ind w:right="9"/>
      </w:pPr>
      <w:r>
        <w:t xml:space="preserve"> Άρθρο 6 – Καταγγελία της σύμβασης</w:t>
      </w:r>
    </w:p>
    <w:p w14:paraId="3DAE9B50" w14:textId="77777777" w:rsidR="009D2BDD" w:rsidRDefault="009D2BDD" w:rsidP="00B039E7">
      <w:pPr>
        <w:spacing w:after="0"/>
        <w:ind w:left="0" w:right="-58" w:firstLine="0"/>
      </w:pPr>
      <w:r>
        <w:t>Η παραβίαση από τον «Δικαιούχο» οποιουδήποτε όρου της υπογραφείσας σύμβασης μεταξύ του «Δικαιούχου» και των υποχρεώσεων, που διέπουν την εφαρμογή των οικολογικών σχημάτων, θεμελιώνει λόγο καταγγελίας της σύμβασης εκ μέρους του «Συμβούλου».</w:t>
      </w:r>
    </w:p>
    <w:p w14:paraId="6E890E85" w14:textId="452BCEEA" w:rsidR="009D2BDD" w:rsidRDefault="009D2BDD" w:rsidP="00B039E7">
      <w:pPr>
        <w:spacing w:after="0"/>
        <w:ind w:left="0" w:right="-58" w:firstLine="0"/>
      </w:pPr>
      <w:r>
        <w:t xml:space="preserve">Καταγγελία </w:t>
      </w:r>
      <w:r w:rsidR="00A4297C">
        <w:t xml:space="preserve">και λύση </w:t>
      </w:r>
      <w:r>
        <w:t xml:space="preserve">της σύμβασης μπορεί να γίνει </w:t>
      </w:r>
      <w:r w:rsidR="00920636">
        <w:t xml:space="preserve">αζημίως </w:t>
      </w:r>
      <w:r w:rsidR="00A4297C">
        <w:t xml:space="preserve">και </w:t>
      </w:r>
      <w:r>
        <w:t xml:space="preserve">κατόπιν αμοιβαίας συμφωνίας ή </w:t>
      </w:r>
      <w:proofErr w:type="spellStart"/>
      <w:r w:rsidR="00920636">
        <w:t>ανυπαίτιου</w:t>
      </w:r>
      <w:proofErr w:type="spellEnd"/>
      <w:r w:rsidR="00920636">
        <w:t xml:space="preserve"> </w:t>
      </w:r>
      <w:r>
        <w:t>κωλύματος των συμβαλλομένων.</w:t>
      </w:r>
    </w:p>
    <w:p w14:paraId="1AFF08F1" w14:textId="65F65F89" w:rsidR="009D2BDD" w:rsidRDefault="009D2BDD" w:rsidP="00B039E7">
      <w:pPr>
        <w:ind w:left="0" w:right="-58" w:firstLine="0"/>
      </w:pPr>
      <w:r>
        <w:t xml:space="preserve">Σε περίπτωση μονομερούς </w:t>
      </w:r>
      <w:r w:rsidR="00A4297C">
        <w:t xml:space="preserve">αναίτιας </w:t>
      </w:r>
      <w:r>
        <w:t>καταγγελίας της σύμβασης από πλευράς «δικαιούχου»</w:t>
      </w:r>
      <w:r w:rsidR="00A4297C">
        <w:t>,</w:t>
      </w:r>
      <w:r>
        <w:t xml:space="preserve"> ο «δικαιούχος» καταβάλει αποζημίωση στο «σύμβουλο» ίση με </w:t>
      </w:r>
      <w:r w:rsidR="00A4297C">
        <w:t xml:space="preserve">το ποσό των </w:t>
      </w:r>
      <w:r>
        <w:t>1000€.</w:t>
      </w:r>
    </w:p>
    <w:p w14:paraId="4506CC82" w14:textId="77777777" w:rsidR="009D2BDD" w:rsidRDefault="009D2BDD" w:rsidP="009D2BDD">
      <w:pPr>
        <w:pStyle w:val="Heading1"/>
      </w:pPr>
      <w:r>
        <w:lastRenderedPageBreak/>
        <w:t>Άρθρο 7 – Τροποποίηση της σύμβασης</w:t>
      </w:r>
    </w:p>
    <w:p w14:paraId="30E07197" w14:textId="53C79D5A" w:rsidR="009D2BDD" w:rsidRDefault="00B039E7" w:rsidP="00B039E7">
      <w:pPr>
        <w:ind w:left="0" w:right="-58" w:firstLine="0"/>
      </w:pPr>
      <w:r>
        <w:tab/>
      </w:r>
      <w:r w:rsidR="009D2BDD">
        <w:t xml:space="preserve">Κάθε τροποποίηση της παρούσας </w:t>
      </w:r>
      <w:r w:rsidR="00920636">
        <w:t xml:space="preserve">είναι μόνο έγγραφη και </w:t>
      </w:r>
      <w:r w:rsidR="009D2BDD">
        <w:t>ισχύει μόνο μετά από έγγραφη πρόταση ενός συμβαλλομένου και έγγραφη αποδοχή του άλλου.</w:t>
      </w:r>
    </w:p>
    <w:p w14:paraId="2D7289F2" w14:textId="77777777" w:rsidR="009D2BDD" w:rsidRDefault="009D2BDD" w:rsidP="009D2BDD">
      <w:pPr>
        <w:pStyle w:val="Heading1"/>
        <w:ind w:right="7"/>
      </w:pPr>
      <w:r>
        <w:t>Άρθρο 8 – Εφαρμοστέο δίκαιο</w:t>
      </w:r>
    </w:p>
    <w:p w14:paraId="1E22C575" w14:textId="6191C940" w:rsidR="009D2BDD" w:rsidRDefault="00B039E7" w:rsidP="00B039E7">
      <w:pPr>
        <w:ind w:left="0" w:right="-58" w:firstLine="0"/>
      </w:pPr>
      <w:r>
        <w:tab/>
      </w:r>
      <w:r w:rsidR="009D2BDD">
        <w:t>Σε περίπτωση διαφορών μεταξύ των συμβαλλομένων μερών, θα καταβληθεί προσπάθεια ώστε να βρεθεί λύση, με τρόπο φιλικό, βάσει της αμοιβαίας κατανόησης και εμπιστοσύνης.</w:t>
      </w:r>
    </w:p>
    <w:p w14:paraId="36FDEA5A" w14:textId="2F696A53" w:rsidR="009D2BDD" w:rsidRDefault="00B039E7" w:rsidP="00B039E7">
      <w:pPr>
        <w:ind w:left="0" w:right="-58" w:firstLine="0"/>
      </w:pPr>
      <w:r>
        <w:tab/>
      </w:r>
      <w:r w:rsidR="009D2BDD">
        <w:t xml:space="preserve">Οι συμβαλλόμενοι συμφωνούν ρητά ότι η παρούσα σύμβαση διέπετε από την Ελληνική Νομοθεσία, ενώ για την επίλυση οποιασδήποτε διαφοράς είναι τα δικαστήρια της πόλης </w:t>
      </w:r>
      <w:r w:rsidR="00A4297C">
        <w:t>των Σερρών</w:t>
      </w:r>
      <w:r w:rsidR="009D2BDD">
        <w:t>.</w:t>
      </w:r>
    </w:p>
    <w:p w14:paraId="46145829" w14:textId="46D1DBA2" w:rsidR="009D2BDD" w:rsidRDefault="00B039E7" w:rsidP="006E1CE5">
      <w:pPr>
        <w:spacing w:after="0" w:line="259" w:lineRule="auto"/>
        <w:ind w:left="0" w:right="-58" w:firstLine="0"/>
      </w:pPr>
      <w:r>
        <w:tab/>
      </w:r>
      <w:r w:rsidR="009D2BDD">
        <w:t xml:space="preserve">Το παρόν αφού συντάχθηκε σε τρία αντίτυπα διαβάστηκε και εγκρίθηκε από τους δύο συμβαλλόμενους, υπογράφτηκε από αυτούς έλαβε ο καθένας από ένα όμοιο αντίτυπο και το τρίτο θα κατατεθεί στην αρμόδια περιφερειακή υπηρεσία του ΟΠΕΚΕΠΕ μέσω του ΠΣ.   </w:t>
      </w:r>
    </w:p>
    <w:p w14:paraId="1586F217" w14:textId="77777777" w:rsidR="009D2BDD" w:rsidRDefault="009D2BDD" w:rsidP="009D2BDD">
      <w:pPr>
        <w:spacing w:after="0" w:line="259" w:lineRule="auto"/>
        <w:ind w:left="0" w:firstLine="0"/>
      </w:pPr>
    </w:p>
    <w:p w14:paraId="750223FC" w14:textId="77777777" w:rsidR="009D2BDD" w:rsidRDefault="009D2BDD" w:rsidP="009D2BDD">
      <w:pPr>
        <w:spacing w:after="0" w:line="259" w:lineRule="auto"/>
        <w:ind w:left="0" w:firstLine="0"/>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6"/>
        <w:gridCol w:w="572"/>
        <w:gridCol w:w="3138"/>
      </w:tblGrid>
      <w:tr w:rsidR="009D2BDD" w14:paraId="3DCD869D" w14:textId="77777777" w:rsidTr="008F4E57">
        <w:trPr>
          <w:jc w:val="center"/>
        </w:trPr>
        <w:tc>
          <w:tcPr>
            <w:tcW w:w="4596" w:type="dxa"/>
          </w:tcPr>
          <w:p w14:paraId="6E2B6D42" w14:textId="77777777" w:rsidR="009D2BDD" w:rsidRDefault="009D2BDD" w:rsidP="008F4E57">
            <w:pPr>
              <w:spacing w:after="0" w:line="259" w:lineRule="auto"/>
              <w:ind w:left="0" w:firstLine="0"/>
              <w:jc w:val="center"/>
            </w:pPr>
            <w:r>
              <w:t>Ο «ΝΟΜΙΜΟΣ ΕΚΠΡΟΣΩΠΟΣ»</w:t>
            </w:r>
          </w:p>
        </w:tc>
        <w:tc>
          <w:tcPr>
            <w:tcW w:w="786" w:type="dxa"/>
          </w:tcPr>
          <w:p w14:paraId="130B80C7" w14:textId="77777777" w:rsidR="009D2BDD" w:rsidRDefault="009D2BDD" w:rsidP="008F4E57">
            <w:pPr>
              <w:spacing w:after="0" w:line="259" w:lineRule="auto"/>
              <w:ind w:left="0" w:firstLine="0"/>
            </w:pPr>
          </w:p>
        </w:tc>
        <w:tc>
          <w:tcPr>
            <w:tcW w:w="4052" w:type="dxa"/>
          </w:tcPr>
          <w:p w14:paraId="3B581940" w14:textId="77777777" w:rsidR="009D2BDD" w:rsidRDefault="009D2BDD" w:rsidP="008F4E57">
            <w:pPr>
              <w:spacing w:after="0" w:line="259" w:lineRule="auto"/>
              <w:ind w:left="0" w:firstLine="0"/>
              <w:jc w:val="center"/>
            </w:pPr>
            <w:r w:rsidRPr="00DF4086">
              <w:t>Ο «ΔΙΚΑΙΟΥΧΟΣ»</w:t>
            </w:r>
          </w:p>
        </w:tc>
      </w:tr>
      <w:tr w:rsidR="009D2BDD" w14:paraId="7887D0A4" w14:textId="77777777" w:rsidTr="008F4E57">
        <w:trPr>
          <w:jc w:val="center"/>
        </w:trPr>
        <w:tc>
          <w:tcPr>
            <w:tcW w:w="4596" w:type="dxa"/>
          </w:tcPr>
          <w:p w14:paraId="1A47B52B" w14:textId="7D39974D" w:rsidR="009D2BDD" w:rsidRPr="004057A9" w:rsidRDefault="004057A9" w:rsidP="004057A9">
            <w:pPr>
              <w:spacing w:before="100" w:beforeAutospacing="1" w:after="100" w:afterAutospacing="1" w:line="240" w:lineRule="auto"/>
              <w:ind w:left="0" w:firstLine="0"/>
              <w:jc w:val="left"/>
              <w:rPr>
                <w:rFonts w:ascii="Times New Roman" w:eastAsia="Times New Roman" w:hAnsi="Times New Roman" w:cs="Times New Roman"/>
                <w:color w:val="auto"/>
                <w:kern w:val="0"/>
                <w:szCs w:val="24"/>
              </w:rPr>
            </w:pPr>
            <w:r w:rsidRPr="00127523">
              <w:rPr>
                <w:rFonts w:ascii="Times New Roman" w:eastAsia="Times New Roman" w:hAnsi="Times New Roman" w:cs="Times New Roman"/>
                <w:noProof/>
                <w:color w:val="auto"/>
                <w:kern w:val="0"/>
                <w:szCs w:val="24"/>
              </w:rPr>
              <w:drawing>
                <wp:inline distT="0" distB="0" distL="0" distR="0" wp14:anchorId="7E0B1DED" wp14:editId="0B880BCE">
                  <wp:extent cx="2779499" cy="1362075"/>
                  <wp:effectExtent l="0" t="0" r="1905"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79499" cy="1362075"/>
                          </a:xfrm>
                          <a:prstGeom prst="rect">
                            <a:avLst/>
                          </a:prstGeom>
                          <a:noFill/>
                          <a:ln>
                            <a:noFill/>
                          </a:ln>
                        </pic:spPr>
                      </pic:pic>
                    </a:graphicData>
                  </a:graphic>
                </wp:inline>
              </w:drawing>
            </w:r>
          </w:p>
        </w:tc>
        <w:tc>
          <w:tcPr>
            <w:tcW w:w="786" w:type="dxa"/>
          </w:tcPr>
          <w:p w14:paraId="4BFE0378" w14:textId="77777777" w:rsidR="009D2BDD" w:rsidRDefault="009D2BDD" w:rsidP="008F4E57">
            <w:pPr>
              <w:spacing w:after="0" w:line="259" w:lineRule="auto"/>
              <w:ind w:left="0" w:firstLine="0"/>
            </w:pPr>
          </w:p>
        </w:tc>
        <w:tc>
          <w:tcPr>
            <w:tcW w:w="4052" w:type="dxa"/>
          </w:tcPr>
          <w:p w14:paraId="6AD7EC0E" w14:textId="77777777" w:rsidR="009D2BDD" w:rsidRDefault="009D2BDD" w:rsidP="008F4E57">
            <w:pPr>
              <w:spacing w:before="100" w:beforeAutospacing="1" w:after="100" w:afterAutospacing="1" w:line="240" w:lineRule="auto"/>
              <w:ind w:left="0" w:firstLine="0"/>
              <w:jc w:val="left"/>
            </w:pPr>
          </w:p>
        </w:tc>
      </w:tr>
      <w:tr w:rsidR="009D2BDD" w14:paraId="42E8C754" w14:textId="77777777" w:rsidTr="008F4E57">
        <w:trPr>
          <w:jc w:val="center"/>
        </w:trPr>
        <w:tc>
          <w:tcPr>
            <w:tcW w:w="4596" w:type="dxa"/>
          </w:tcPr>
          <w:p w14:paraId="0D5C11A7" w14:textId="77777777" w:rsidR="009D2BDD" w:rsidRPr="00127523" w:rsidRDefault="009D2BDD" w:rsidP="008F4E57">
            <w:pPr>
              <w:spacing w:after="0" w:line="259" w:lineRule="auto"/>
              <w:ind w:left="0" w:firstLine="0"/>
              <w:jc w:val="center"/>
              <w:rPr>
                <w:b/>
                <w:bCs/>
              </w:rPr>
            </w:pPr>
            <w:r>
              <w:rPr>
                <w:b/>
                <w:bCs/>
              </w:rPr>
              <w:t>ΜΑΛΛΙΑΡΑΣ ΑΘΑΝΑΣΙΟΣ</w:t>
            </w:r>
          </w:p>
        </w:tc>
        <w:tc>
          <w:tcPr>
            <w:tcW w:w="786" w:type="dxa"/>
          </w:tcPr>
          <w:p w14:paraId="201DE0B4" w14:textId="77777777" w:rsidR="009D2BDD" w:rsidRDefault="009D2BDD" w:rsidP="008F4E57">
            <w:pPr>
              <w:spacing w:after="0" w:line="259" w:lineRule="auto"/>
              <w:ind w:left="0" w:firstLine="0"/>
            </w:pPr>
          </w:p>
        </w:tc>
        <w:tc>
          <w:tcPr>
            <w:tcW w:w="4052" w:type="dxa"/>
          </w:tcPr>
          <w:p w14:paraId="3542133C" w14:textId="798F4B45" w:rsidR="009D2BDD" w:rsidRPr="007E1C72" w:rsidRDefault="00B51EA9" w:rsidP="008F4E57">
            <w:pPr>
              <w:spacing w:after="0" w:line="259" w:lineRule="auto"/>
              <w:ind w:left="0" w:firstLine="0"/>
              <w:jc w:val="center"/>
              <w:rPr>
                <w:b/>
                <w:bCs/>
              </w:rPr>
            </w:pPr>
            <w:r w:rsidRPr="007E1C72">
              <w:rPr>
                <w:b/>
              </w:rPr>
              <w:t xml:space="preserve">{{ </w:t>
            </w:r>
            <w:proofErr w:type="spellStart"/>
            <w:r w:rsidRPr="007E1C72">
              <w:rPr>
                <w:b/>
                <w:lang w:val="en-US"/>
              </w:rPr>
              <w:t>firstname</w:t>
            </w:r>
            <w:proofErr w:type="spellEnd"/>
            <w:r w:rsidRPr="007E1C72">
              <w:rPr>
                <w:b/>
              </w:rPr>
              <w:t xml:space="preserve"> }} {{ </w:t>
            </w:r>
            <w:proofErr w:type="spellStart"/>
            <w:r w:rsidRPr="007E1C72">
              <w:rPr>
                <w:b/>
                <w:lang w:val="en-US"/>
              </w:rPr>
              <w:t>lastname</w:t>
            </w:r>
            <w:proofErr w:type="spellEnd"/>
            <w:r w:rsidRPr="007E1C72">
              <w:rPr>
                <w:b/>
              </w:rPr>
              <w:t xml:space="preserve"> }}</w:t>
            </w:r>
          </w:p>
        </w:tc>
      </w:tr>
    </w:tbl>
    <w:p w14:paraId="7733B5E2" w14:textId="77777777" w:rsidR="00F973AE" w:rsidRDefault="00F973AE">
      <w:bookmarkStart w:id="1" w:name="_GoBack"/>
      <w:bookmarkEnd w:id="1"/>
    </w:p>
    <w:sectPr w:rsidR="00F973AE" w:rsidSect="00B22E9C">
      <w:pgSz w:w="11906" w:h="16838"/>
      <w:pgMar w:top="1134" w:right="1800" w:bottom="993"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jaVu Sans">
    <w:altName w:val="Calibri"/>
    <w:charset w:val="A1"/>
    <w:family w:val="swiss"/>
    <w:pitch w:val="variable"/>
    <w:sig w:usb0="E7002EFF" w:usb1="D200FDFF" w:usb2="0A24602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FD7D2F"/>
    <w:multiLevelType w:val="hybridMultilevel"/>
    <w:tmpl w:val="76E6C1C2"/>
    <w:lvl w:ilvl="0" w:tplc="BDFC1DE4">
      <w:start w:val="1"/>
      <w:numFmt w:val="decimal"/>
      <w:lvlText w:val="%1."/>
      <w:lvlJc w:val="left"/>
      <w:pPr>
        <w:ind w:left="600"/>
      </w:pPr>
      <w:rPr>
        <w:rFonts w:ascii="DejaVu Sans" w:eastAsia="DejaVu Sans" w:hAnsi="DejaVu Sans" w:cs="DejaVu Sans"/>
        <w:b w:val="0"/>
        <w:i w:val="0"/>
        <w:strike w:val="0"/>
        <w:dstrike w:val="0"/>
        <w:color w:val="000000"/>
        <w:sz w:val="24"/>
        <w:szCs w:val="24"/>
        <w:u w:val="none" w:color="000000"/>
        <w:bdr w:val="none" w:sz="0" w:space="0" w:color="auto"/>
        <w:shd w:val="clear" w:color="auto" w:fill="auto"/>
        <w:vertAlign w:val="baseline"/>
      </w:rPr>
    </w:lvl>
    <w:lvl w:ilvl="1" w:tplc="1826B2DA">
      <w:start w:val="1"/>
      <w:numFmt w:val="lowerLetter"/>
      <w:lvlText w:val="%2"/>
      <w:lvlJc w:val="left"/>
      <w:pPr>
        <w:ind w:left="1380"/>
      </w:pPr>
      <w:rPr>
        <w:rFonts w:ascii="DejaVu Sans" w:eastAsia="DejaVu Sans" w:hAnsi="DejaVu Sans" w:cs="DejaVu Sans"/>
        <w:b w:val="0"/>
        <w:i w:val="0"/>
        <w:strike w:val="0"/>
        <w:dstrike w:val="0"/>
        <w:color w:val="000000"/>
        <w:sz w:val="24"/>
        <w:szCs w:val="24"/>
        <w:u w:val="none" w:color="000000"/>
        <w:bdr w:val="none" w:sz="0" w:space="0" w:color="auto"/>
        <w:shd w:val="clear" w:color="auto" w:fill="auto"/>
        <w:vertAlign w:val="baseline"/>
      </w:rPr>
    </w:lvl>
    <w:lvl w:ilvl="2" w:tplc="DDA223B2">
      <w:start w:val="1"/>
      <w:numFmt w:val="lowerRoman"/>
      <w:lvlText w:val="%3"/>
      <w:lvlJc w:val="left"/>
      <w:pPr>
        <w:ind w:left="2100"/>
      </w:pPr>
      <w:rPr>
        <w:rFonts w:ascii="DejaVu Sans" w:eastAsia="DejaVu Sans" w:hAnsi="DejaVu Sans" w:cs="DejaVu Sans"/>
        <w:b w:val="0"/>
        <w:i w:val="0"/>
        <w:strike w:val="0"/>
        <w:dstrike w:val="0"/>
        <w:color w:val="000000"/>
        <w:sz w:val="24"/>
        <w:szCs w:val="24"/>
        <w:u w:val="none" w:color="000000"/>
        <w:bdr w:val="none" w:sz="0" w:space="0" w:color="auto"/>
        <w:shd w:val="clear" w:color="auto" w:fill="auto"/>
        <w:vertAlign w:val="baseline"/>
      </w:rPr>
    </w:lvl>
    <w:lvl w:ilvl="3" w:tplc="DC125382">
      <w:start w:val="1"/>
      <w:numFmt w:val="decimal"/>
      <w:lvlText w:val="%4"/>
      <w:lvlJc w:val="left"/>
      <w:pPr>
        <w:ind w:left="2820"/>
      </w:pPr>
      <w:rPr>
        <w:rFonts w:ascii="DejaVu Sans" w:eastAsia="DejaVu Sans" w:hAnsi="DejaVu Sans" w:cs="DejaVu Sans"/>
        <w:b w:val="0"/>
        <w:i w:val="0"/>
        <w:strike w:val="0"/>
        <w:dstrike w:val="0"/>
        <w:color w:val="000000"/>
        <w:sz w:val="24"/>
        <w:szCs w:val="24"/>
        <w:u w:val="none" w:color="000000"/>
        <w:bdr w:val="none" w:sz="0" w:space="0" w:color="auto"/>
        <w:shd w:val="clear" w:color="auto" w:fill="auto"/>
        <w:vertAlign w:val="baseline"/>
      </w:rPr>
    </w:lvl>
    <w:lvl w:ilvl="4" w:tplc="FDA8A8F8">
      <w:start w:val="1"/>
      <w:numFmt w:val="lowerLetter"/>
      <w:lvlText w:val="%5"/>
      <w:lvlJc w:val="left"/>
      <w:pPr>
        <w:ind w:left="3540"/>
      </w:pPr>
      <w:rPr>
        <w:rFonts w:ascii="DejaVu Sans" w:eastAsia="DejaVu Sans" w:hAnsi="DejaVu Sans" w:cs="DejaVu Sans"/>
        <w:b w:val="0"/>
        <w:i w:val="0"/>
        <w:strike w:val="0"/>
        <w:dstrike w:val="0"/>
        <w:color w:val="000000"/>
        <w:sz w:val="24"/>
        <w:szCs w:val="24"/>
        <w:u w:val="none" w:color="000000"/>
        <w:bdr w:val="none" w:sz="0" w:space="0" w:color="auto"/>
        <w:shd w:val="clear" w:color="auto" w:fill="auto"/>
        <w:vertAlign w:val="baseline"/>
      </w:rPr>
    </w:lvl>
    <w:lvl w:ilvl="5" w:tplc="9F5628BA">
      <w:start w:val="1"/>
      <w:numFmt w:val="lowerRoman"/>
      <w:lvlText w:val="%6"/>
      <w:lvlJc w:val="left"/>
      <w:pPr>
        <w:ind w:left="4260"/>
      </w:pPr>
      <w:rPr>
        <w:rFonts w:ascii="DejaVu Sans" w:eastAsia="DejaVu Sans" w:hAnsi="DejaVu Sans" w:cs="DejaVu Sans"/>
        <w:b w:val="0"/>
        <w:i w:val="0"/>
        <w:strike w:val="0"/>
        <w:dstrike w:val="0"/>
        <w:color w:val="000000"/>
        <w:sz w:val="24"/>
        <w:szCs w:val="24"/>
        <w:u w:val="none" w:color="000000"/>
        <w:bdr w:val="none" w:sz="0" w:space="0" w:color="auto"/>
        <w:shd w:val="clear" w:color="auto" w:fill="auto"/>
        <w:vertAlign w:val="baseline"/>
      </w:rPr>
    </w:lvl>
    <w:lvl w:ilvl="6" w:tplc="B630DC3A">
      <w:start w:val="1"/>
      <w:numFmt w:val="decimal"/>
      <w:lvlText w:val="%7"/>
      <w:lvlJc w:val="left"/>
      <w:pPr>
        <w:ind w:left="4980"/>
      </w:pPr>
      <w:rPr>
        <w:rFonts w:ascii="DejaVu Sans" w:eastAsia="DejaVu Sans" w:hAnsi="DejaVu Sans" w:cs="DejaVu Sans"/>
        <w:b w:val="0"/>
        <w:i w:val="0"/>
        <w:strike w:val="0"/>
        <w:dstrike w:val="0"/>
        <w:color w:val="000000"/>
        <w:sz w:val="24"/>
        <w:szCs w:val="24"/>
        <w:u w:val="none" w:color="000000"/>
        <w:bdr w:val="none" w:sz="0" w:space="0" w:color="auto"/>
        <w:shd w:val="clear" w:color="auto" w:fill="auto"/>
        <w:vertAlign w:val="baseline"/>
      </w:rPr>
    </w:lvl>
    <w:lvl w:ilvl="7" w:tplc="589CCF5E">
      <w:start w:val="1"/>
      <w:numFmt w:val="lowerLetter"/>
      <w:lvlText w:val="%8"/>
      <w:lvlJc w:val="left"/>
      <w:pPr>
        <w:ind w:left="5700"/>
      </w:pPr>
      <w:rPr>
        <w:rFonts w:ascii="DejaVu Sans" w:eastAsia="DejaVu Sans" w:hAnsi="DejaVu Sans" w:cs="DejaVu Sans"/>
        <w:b w:val="0"/>
        <w:i w:val="0"/>
        <w:strike w:val="0"/>
        <w:dstrike w:val="0"/>
        <w:color w:val="000000"/>
        <w:sz w:val="24"/>
        <w:szCs w:val="24"/>
        <w:u w:val="none" w:color="000000"/>
        <w:bdr w:val="none" w:sz="0" w:space="0" w:color="auto"/>
        <w:shd w:val="clear" w:color="auto" w:fill="auto"/>
        <w:vertAlign w:val="baseline"/>
      </w:rPr>
    </w:lvl>
    <w:lvl w:ilvl="8" w:tplc="D83C253E">
      <w:start w:val="1"/>
      <w:numFmt w:val="lowerRoman"/>
      <w:lvlText w:val="%9"/>
      <w:lvlJc w:val="left"/>
      <w:pPr>
        <w:ind w:left="6420"/>
      </w:pPr>
      <w:rPr>
        <w:rFonts w:ascii="DejaVu Sans" w:eastAsia="DejaVu Sans" w:hAnsi="DejaVu Sans" w:cs="DejaVu San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6B43307"/>
    <w:multiLevelType w:val="hybridMultilevel"/>
    <w:tmpl w:val="AD58735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1E0F4BED"/>
    <w:multiLevelType w:val="hybridMultilevel"/>
    <w:tmpl w:val="0B88E69A"/>
    <w:lvl w:ilvl="0" w:tplc="2FA0558A">
      <w:start w:val="1"/>
      <w:numFmt w:val="decimal"/>
      <w:lvlText w:val="%1."/>
      <w:lvlJc w:val="left"/>
      <w:pPr>
        <w:ind w:left="593"/>
      </w:pPr>
      <w:rPr>
        <w:rFonts w:ascii="DejaVu Sans" w:eastAsia="DejaVu Sans" w:hAnsi="DejaVu Sans" w:cs="DejaVu Sans"/>
        <w:b w:val="0"/>
        <w:i w:val="0"/>
        <w:strike w:val="0"/>
        <w:dstrike w:val="0"/>
        <w:color w:val="000000"/>
        <w:sz w:val="24"/>
        <w:szCs w:val="24"/>
        <w:u w:val="none" w:color="000000"/>
        <w:bdr w:val="none" w:sz="0" w:space="0" w:color="auto"/>
        <w:shd w:val="clear" w:color="auto" w:fill="auto"/>
        <w:vertAlign w:val="baseline"/>
      </w:rPr>
    </w:lvl>
    <w:lvl w:ilvl="1" w:tplc="0BBC77F0">
      <w:start w:val="1"/>
      <w:numFmt w:val="lowerLetter"/>
      <w:lvlText w:val="%2"/>
      <w:lvlJc w:val="left"/>
      <w:pPr>
        <w:ind w:left="1380"/>
      </w:pPr>
      <w:rPr>
        <w:rFonts w:ascii="DejaVu Sans" w:eastAsia="DejaVu Sans" w:hAnsi="DejaVu Sans" w:cs="DejaVu Sans"/>
        <w:b w:val="0"/>
        <w:i w:val="0"/>
        <w:strike w:val="0"/>
        <w:dstrike w:val="0"/>
        <w:color w:val="000000"/>
        <w:sz w:val="24"/>
        <w:szCs w:val="24"/>
        <w:u w:val="none" w:color="000000"/>
        <w:bdr w:val="none" w:sz="0" w:space="0" w:color="auto"/>
        <w:shd w:val="clear" w:color="auto" w:fill="auto"/>
        <w:vertAlign w:val="baseline"/>
      </w:rPr>
    </w:lvl>
    <w:lvl w:ilvl="2" w:tplc="CFC68B0C">
      <w:start w:val="1"/>
      <w:numFmt w:val="lowerRoman"/>
      <w:lvlText w:val="%3"/>
      <w:lvlJc w:val="left"/>
      <w:pPr>
        <w:ind w:left="2100"/>
      </w:pPr>
      <w:rPr>
        <w:rFonts w:ascii="DejaVu Sans" w:eastAsia="DejaVu Sans" w:hAnsi="DejaVu Sans" w:cs="DejaVu Sans"/>
        <w:b w:val="0"/>
        <w:i w:val="0"/>
        <w:strike w:val="0"/>
        <w:dstrike w:val="0"/>
        <w:color w:val="000000"/>
        <w:sz w:val="24"/>
        <w:szCs w:val="24"/>
        <w:u w:val="none" w:color="000000"/>
        <w:bdr w:val="none" w:sz="0" w:space="0" w:color="auto"/>
        <w:shd w:val="clear" w:color="auto" w:fill="auto"/>
        <w:vertAlign w:val="baseline"/>
      </w:rPr>
    </w:lvl>
    <w:lvl w:ilvl="3" w:tplc="BEC28FAE">
      <w:start w:val="1"/>
      <w:numFmt w:val="decimal"/>
      <w:lvlText w:val="%4"/>
      <w:lvlJc w:val="left"/>
      <w:pPr>
        <w:ind w:left="2820"/>
      </w:pPr>
      <w:rPr>
        <w:rFonts w:ascii="DejaVu Sans" w:eastAsia="DejaVu Sans" w:hAnsi="DejaVu Sans" w:cs="DejaVu Sans"/>
        <w:b w:val="0"/>
        <w:i w:val="0"/>
        <w:strike w:val="0"/>
        <w:dstrike w:val="0"/>
        <w:color w:val="000000"/>
        <w:sz w:val="24"/>
        <w:szCs w:val="24"/>
        <w:u w:val="none" w:color="000000"/>
        <w:bdr w:val="none" w:sz="0" w:space="0" w:color="auto"/>
        <w:shd w:val="clear" w:color="auto" w:fill="auto"/>
        <w:vertAlign w:val="baseline"/>
      </w:rPr>
    </w:lvl>
    <w:lvl w:ilvl="4" w:tplc="91C6ECB8">
      <w:start w:val="1"/>
      <w:numFmt w:val="lowerLetter"/>
      <w:lvlText w:val="%5"/>
      <w:lvlJc w:val="left"/>
      <w:pPr>
        <w:ind w:left="3540"/>
      </w:pPr>
      <w:rPr>
        <w:rFonts w:ascii="DejaVu Sans" w:eastAsia="DejaVu Sans" w:hAnsi="DejaVu Sans" w:cs="DejaVu Sans"/>
        <w:b w:val="0"/>
        <w:i w:val="0"/>
        <w:strike w:val="0"/>
        <w:dstrike w:val="0"/>
        <w:color w:val="000000"/>
        <w:sz w:val="24"/>
        <w:szCs w:val="24"/>
        <w:u w:val="none" w:color="000000"/>
        <w:bdr w:val="none" w:sz="0" w:space="0" w:color="auto"/>
        <w:shd w:val="clear" w:color="auto" w:fill="auto"/>
        <w:vertAlign w:val="baseline"/>
      </w:rPr>
    </w:lvl>
    <w:lvl w:ilvl="5" w:tplc="08B43EDA">
      <w:start w:val="1"/>
      <w:numFmt w:val="lowerRoman"/>
      <w:lvlText w:val="%6"/>
      <w:lvlJc w:val="left"/>
      <w:pPr>
        <w:ind w:left="4260"/>
      </w:pPr>
      <w:rPr>
        <w:rFonts w:ascii="DejaVu Sans" w:eastAsia="DejaVu Sans" w:hAnsi="DejaVu Sans" w:cs="DejaVu Sans"/>
        <w:b w:val="0"/>
        <w:i w:val="0"/>
        <w:strike w:val="0"/>
        <w:dstrike w:val="0"/>
        <w:color w:val="000000"/>
        <w:sz w:val="24"/>
        <w:szCs w:val="24"/>
        <w:u w:val="none" w:color="000000"/>
        <w:bdr w:val="none" w:sz="0" w:space="0" w:color="auto"/>
        <w:shd w:val="clear" w:color="auto" w:fill="auto"/>
        <w:vertAlign w:val="baseline"/>
      </w:rPr>
    </w:lvl>
    <w:lvl w:ilvl="6" w:tplc="89340244">
      <w:start w:val="1"/>
      <w:numFmt w:val="decimal"/>
      <w:lvlText w:val="%7"/>
      <w:lvlJc w:val="left"/>
      <w:pPr>
        <w:ind w:left="4980"/>
      </w:pPr>
      <w:rPr>
        <w:rFonts w:ascii="DejaVu Sans" w:eastAsia="DejaVu Sans" w:hAnsi="DejaVu Sans" w:cs="DejaVu Sans"/>
        <w:b w:val="0"/>
        <w:i w:val="0"/>
        <w:strike w:val="0"/>
        <w:dstrike w:val="0"/>
        <w:color w:val="000000"/>
        <w:sz w:val="24"/>
        <w:szCs w:val="24"/>
        <w:u w:val="none" w:color="000000"/>
        <w:bdr w:val="none" w:sz="0" w:space="0" w:color="auto"/>
        <w:shd w:val="clear" w:color="auto" w:fill="auto"/>
        <w:vertAlign w:val="baseline"/>
      </w:rPr>
    </w:lvl>
    <w:lvl w:ilvl="7" w:tplc="4BF0ACA0">
      <w:start w:val="1"/>
      <w:numFmt w:val="lowerLetter"/>
      <w:lvlText w:val="%8"/>
      <w:lvlJc w:val="left"/>
      <w:pPr>
        <w:ind w:left="5700"/>
      </w:pPr>
      <w:rPr>
        <w:rFonts w:ascii="DejaVu Sans" w:eastAsia="DejaVu Sans" w:hAnsi="DejaVu Sans" w:cs="DejaVu Sans"/>
        <w:b w:val="0"/>
        <w:i w:val="0"/>
        <w:strike w:val="0"/>
        <w:dstrike w:val="0"/>
        <w:color w:val="000000"/>
        <w:sz w:val="24"/>
        <w:szCs w:val="24"/>
        <w:u w:val="none" w:color="000000"/>
        <w:bdr w:val="none" w:sz="0" w:space="0" w:color="auto"/>
        <w:shd w:val="clear" w:color="auto" w:fill="auto"/>
        <w:vertAlign w:val="baseline"/>
      </w:rPr>
    </w:lvl>
    <w:lvl w:ilvl="8" w:tplc="EB2813CC">
      <w:start w:val="1"/>
      <w:numFmt w:val="lowerRoman"/>
      <w:lvlText w:val="%9"/>
      <w:lvlJc w:val="left"/>
      <w:pPr>
        <w:ind w:left="6420"/>
      </w:pPr>
      <w:rPr>
        <w:rFonts w:ascii="DejaVu Sans" w:eastAsia="DejaVu Sans" w:hAnsi="DejaVu Sans" w:cs="DejaVu Sans"/>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EF96897"/>
    <w:multiLevelType w:val="hybridMultilevel"/>
    <w:tmpl w:val="5E067D22"/>
    <w:lvl w:ilvl="0" w:tplc="E2127448">
      <w:start w:val="1"/>
      <w:numFmt w:val="decimal"/>
      <w:lvlText w:val="%1."/>
      <w:lvlJc w:val="left"/>
      <w:pPr>
        <w:ind w:left="960"/>
      </w:pPr>
      <w:rPr>
        <w:rFonts w:ascii="DejaVu Sans" w:eastAsia="DejaVu Sans" w:hAnsi="DejaVu Sans" w:cs="DejaVu Sans"/>
        <w:b w:val="0"/>
        <w:i w:val="0"/>
        <w:strike w:val="0"/>
        <w:dstrike w:val="0"/>
        <w:color w:val="000000"/>
        <w:sz w:val="24"/>
        <w:szCs w:val="24"/>
        <w:u w:val="none" w:color="000000"/>
        <w:bdr w:val="none" w:sz="0" w:space="0" w:color="auto"/>
        <w:shd w:val="clear" w:color="auto" w:fill="auto"/>
        <w:vertAlign w:val="baseline"/>
      </w:rPr>
    </w:lvl>
    <w:lvl w:ilvl="1" w:tplc="7AB60EB2">
      <w:start w:val="1"/>
      <w:numFmt w:val="lowerLetter"/>
      <w:lvlText w:val="%2"/>
      <w:lvlJc w:val="left"/>
      <w:pPr>
        <w:ind w:left="1740"/>
      </w:pPr>
      <w:rPr>
        <w:rFonts w:ascii="DejaVu Sans" w:eastAsia="DejaVu Sans" w:hAnsi="DejaVu Sans" w:cs="DejaVu Sans"/>
        <w:b w:val="0"/>
        <w:i w:val="0"/>
        <w:strike w:val="0"/>
        <w:dstrike w:val="0"/>
        <w:color w:val="000000"/>
        <w:sz w:val="24"/>
        <w:szCs w:val="24"/>
        <w:u w:val="none" w:color="000000"/>
        <w:bdr w:val="none" w:sz="0" w:space="0" w:color="auto"/>
        <w:shd w:val="clear" w:color="auto" w:fill="auto"/>
        <w:vertAlign w:val="baseline"/>
      </w:rPr>
    </w:lvl>
    <w:lvl w:ilvl="2" w:tplc="0FA68FD4">
      <w:start w:val="1"/>
      <w:numFmt w:val="lowerRoman"/>
      <w:lvlText w:val="%3"/>
      <w:lvlJc w:val="left"/>
      <w:pPr>
        <w:ind w:left="2460"/>
      </w:pPr>
      <w:rPr>
        <w:rFonts w:ascii="DejaVu Sans" w:eastAsia="DejaVu Sans" w:hAnsi="DejaVu Sans" w:cs="DejaVu Sans"/>
        <w:b w:val="0"/>
        <w:i w:val="0"/>
        <w:strike w:val="0"/>
        <w:dstrike w:val="0"/>
        <w:color w:val="000000"/>
        <w:sz w:val="24"/>
        <w:szCs w:val="24"/>
        <w:u w:val="none" w:color="000000"/>
        <w:bdr w:val="none" w:sz="0" w:space="0" w:color="auto"/>
        <w:shd w:val="clear" w:color="auto" w:fill="auto"/>
        <w:vertAlign w:val="baseline"/>
      </w:rPr>
    </w:lvl>
    <w:lvl w:ilvl="3" w:tplc="29CE3D36">
      <w:start w:val="1"/>
      <w:numFmt w:val="decimal"/>
      <w:lvlText w:val="%4"/>
      <w:lvlJc w:val="left"/>
      <w:pPr>
        <w:ind w:left="3180"/>
      </w:pPr>
      <w:rPr>
        <w:rFonts w:ascii="DejaVu Sans" w:eastAsia="DejaVu Sans" w:hAnsi="DejaVu Sans" w:cs="DejaVu Sans"/>
        <w:b w:val="0"/>
        <w:i w:val="0"/>
        <w:strike w:val="0"/>
        <w:dstrike w:val="0"/>
        <w:color w:val="000000"/>
        <w:sz w:val="24"/>
        <w:szCs w:val="24"/>
        <w:u w:val="none" w:color="000000"/>
        <w:bdr w:val="none" w:sz="0" w:space="0" w:color="auto"/>
        <w:shd w:val="clear" w:color="auto" w:fill="auto"/>
        <w:vertAlign w:val="baseline"/>
      </w:rPr>
    </w:lvl>
    <w:lvl w:ilvl="4" w:tplc="C310E40C">
      <w:start w:val="1"/>
      <w:numFmt w:val="lowerLetter"/>
      <w:lvlText w:val="%5"/>
      <w:lvlJc w:val="left"/>
      <w:pPr>
        <w:ind w:left="3900"/>
      </w:pPr>
      <w:rPr>
        <w:rFonts w:ascii="DejaVu Sans" w:eastAsia="DejaVu Sans" w:hAnsi="DejaVu Sans" w:cs="DejaVu Sans"/>
        <w:b w:val="0"/>
        <w:i w:val="0"/>
        <w:strike w:val="0"/>
        <w:dstrike w:val="0"/>
        <w:color w:val="000000"/>
        <w:sz w:val="24"/>
        <w:szCs w:val="24"/>
        <w:u w:val="none" w:color="000000"/>
        <w:bdr w:val="none" w:sz="0" w:space="0" w:color="auto"/>
        <w:shd w:val="clear" w:color="auto" w:fill="auto"/>
        <w:vertAlign w:val="baseline"/>
      </w:rPr>
    </w:lvl>
    <w:lvl w:ilvl="5" w:tplc="1ADCDE3C">
      <w:start w:val="1"/>
      <w:numFmt w:val="lowerRoman"/>
      <w:lvlText w:val="%6"/>
      <w:lvlJc w:val="left"/>
      <w:pPr>
        <w:ind w:left="4620"/>
      </w:pPr>
      <w:rPr>
        <w:rFonts w:ascii="DejaVu Sans" w:eastAsia="DejaVu Sans" w:hAnsi="DejaVu Sans" w:cs="DejaVu Sans"/>
        <w:b w:val="0"/>
        <w:i w:val="0"/>
        <w:strike w:val="0"/>
        <w:dstrike w:val="0"/>
        <w:color w:val="000000"/>
        <w:sz w:val="24"/>
        <w:szCs w:val="24"/>
        <w:u w:val="none" w:color="000000"/>
        <w:bdr w:val="none" w:sz="0" w:space="0" w:color="auto"/>
        <w:shd w:val="clear" w:color="auto" w:fill="auto"/>
        <w:vertAlign w:val="baseline"/>
      </w:rPr>
    </w:lvl>
    <w:lvl w:ilvl="6" w:tplc="302C9046">
      <w:start w:val="1"/>
      <w:numFmt w:val="decimal"/>
      <w:lvlText w:val="%7"/>
      <w:lvlJc w:val="left"/>
      <w:pPr>
        <w:ind w:left="5340"/>
      </w:pPr>
      <w:rPr>
        <w:rFonts w:ascii="DejaVu Sans" w:eastAsia="DejaVu Sans" w:hAnsi="DejaVu Sans" w:cs="DejaVu Sans"/>
        <w:b w:val="0"/>
        <w:i w:val="0"/>
        <w:strike w:val="0"/>
        <w:dstrike w:val="0"/>
        <w:color w:val="000000"/>
        <w:sz w:val="24"/>
        <w:szCs w:val="24"/>
        <w:u w:val="none" w:color="000000"/>
        <w:bdr w:val="none" w:sz="0" w:space="0" w:color="auto"/>
        <w:shd w:val="clear" w:color="auto" w:fill="auto"/>
        <w:vertAlign w:val="baseline"/>
      </w:rPr>
    </w:lvl>
    <w:lvl w:ilvl="7" w:tplc="3B048322">
      <w:start w:val="1"/>
      <w:numFmt w:val="lowerLetter"/>
      <w:lvlText w:val="%8"/>
      <w:lvlJc w:val="left"/>
      <w:pPr>
        <w:ind w:left="6060"/>
      </w:pPr>
      <w:rPr>
        <w:rFonts w:ascii="DejaVu Sans" w:eastAsia="DejaVu Sans" w:hAnsi="DejaVu Sans" w:cs="DejaVu Sans"/>
        <w:b w:val="0"/>
        <w:i w:val="0"/>
        <w:strike w:val="0"/>
        <w:dstrike w:val="0"/>
        <w:color w:val="000000"/>
        <w:sz w:val="24"/>
        <w:szCs w:val="24"/>
        <w:u w:val="none" w:color="000000"/>
        <w:bdr w:val="none" w:sz="0" w:space="0" w:color="auto"/>
        <w:shd w:val="clear" w:color="auto" w:fill="auto"/>
        <w:vertAlign w:val="baseline"/>
      </w:rPr>
    </w:lvl>
    <w:lvl w:ilvl="8" w:tplc="19589A6A">
      <w:start w:val="1"/>
      <w:numFmt w:val="lowerRoman"/>
      <w:lvlText w:val="%9"/>
      <w:lvlJc w:val="left"/>
      <w:pPr>
        <w:ind w:left="6780"/>
      </w:pPr>
      <w:rPr>
        <w:rFonts w:ascii="DejaVu Sans" w:eastAsia="DejaVu Sans" w:hAnsi="DejaVu Sans" w:cs="DejaVu Sans"/>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C970D13"/>
    <w:multiLevelType w:val="hybridMultilevel"/>
    <w:tmpl w:val="7DAE01C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15:restartNumberingAfterBreak="0">
    <w:nsid w:val="5B00469B"/>
    <w:multiLevelType w:val="hybridMultilevel"/>
    <w:tmpl w:val="D7F0B288"/>
    <w:lvl w:ilvl="0" w:tplc="B6882C08">
      <w:start w:val="1"/>
      <w:numFmt w:val="decimal"/>
      <w:lvlText w:val="%1."/>
      <w:lvlJc w:val="left"/>
      <w:pPr>
        <w:ind w:left="600"/>
      </w:pPr>
      <w:rPr>
        <w:rFonts w:ascii="DejaVu Sans" w:eastAsia="DejaVu Sans" w:hAnsi="DejaVu Sans" w:cs="DejaVu Sans"/>
        <w:b w:val="0"/>
        <w:i w:val="0"/>
        <w:strike w:val="0"/>
        <w:dstrike w:val="0"/>
        <w:color w:val="000000"/>
        <w:sz w:val="24"/>
        <w:szCs w:val="24"/>
        <w:u w:val="none" w:color="000000"/>
        <w:bdr w:val="none" w:sz="0" w:space="0" w:color="auto"/>
        <w:shd w:val="clear" w:color="auto" w:fill="auto"/>
        <w:vertAlign w:val="baseline"/>
      </w:rPr>
    </w:lvl>
    <w:lvl w:ilvl="1" w:tplc="9F84285E">
      <w:start w:val="1"/>
      <w:numFmt w:val="lowerLetter"/>
      <w:lvlText w:val="%2"/>
      <w:lvlJc w:val="left"/>
      <w:pPr>
        <w:ind w:left="1380"/>
      </w:pPr>
      <w:rPr>
        <w:rFonts w:ascii="DejaVu Sans" w:eastAsia="DejaVu Sans" w:hAnsi="DejaVu Sans" w:cs="DejaVu Sans"/>
        <w:b w:val="0"/>
        <w:i w:val="0"/>
        <w:strike w:val="0"/>
        <w:dstrike w:val="0"/>
        <w:color w:val="000000"/>
        <w:sz w:val="24"/>
        <w:szCs w:val="24"/>
        <w:u w:val="none" w:color="000000"/>
        <w:bdr w:val="none" w:sz="0" w:space="0" w:color="auto"/>
        <w:shd w:val="clear" w:color="auto" w:fill="auto"/>
        <w:vertAlign w:val="baseline"/>
      </w:rPr>
    </w:lvl>
    <w:lvl w:ilvl="2" w:tplc="FF30A0E2">
      <w:start w:val="1"/>
      <w:numFmt w:val="lowerRoman"/>
      <w:lvlText w:val="%3"/>
      <w:lvlJc w:val="left"/>
      <w:pPr>
        <w:ind w:left="2100"/>
      </w:pPr>
      <w:rPr>
        <w:rFonts w:ascii="DejaVu Sans" w:eastAsia="DejaVu Sans" w:hAnsi="DejaVu Sans" w:cs="DejaVu Sans"/>
        <w:b w:val="0"/>
        <w:i w:val="0"/>
        <w:strike w:val="0"/>
        <w:dstrike w:val="0"/>
        <w:color w:val="000000"/>
        <w:sz w:val="24"/>
        <w:szCs w:val="24"/>
        <w:u w:val="none" w:color="000000"/>
        <w:bdr w:val="none" w:sz="0" w:space="0" w:color="auto"/>
        <w:shd w:val="clear" w:color="auto" w:fill="auto"/>
        <w:vertAlign w:val="baseline"/>
      </w:rPr>
    </w:lvl>
    <w:lvl w:ilvl="3" w:tplc="8D3A7AD6">
      <w:start w:val="1"/>
      <w:numFmt w:val="decimal"/>
      <w:lvlText w:val="%4"/>
      <w:lvlJc w:val="left"/>
      <w:pPr>
        <w:ind w:left="2820"/>
      </w:pPr>
      <w:rPr>
        <w:rFonts w:ascii="DejaVu Sans" w:eastAsia="DejaVu Sans" w:hAnsi="DejaVu Sans" w:cs="DejaVu Sans"/>
        <w:b w:val="0"/>
        <w:i w:val="0"/>
        <w:strike w:val="0"/>
        <w:dstrike w:val="0"/>
        <w:color w:val="000000"/>
        <w:sz w:val="24"/>
        <w:szCs w:val="24"/>
        <w:u w:val="none" w:color="000000"/>
        <w:bdr w:val="none" w:sz="0" w:space="0" w:color="auto"/>
        <w:shd w:val="clear" w:color="auto" w:fill="auto"/>
        <w:vertAlign w:val="baseline"/>
      </w:rPr>
    </w:lvl>
    <w:lvl w:ilvl="4" w:tplc="01EC01C8">
      <w:start w:val="1"/>
      <w:numFmt w:val="lowerLetter"/>
      <w:lvlText w:val="%5"/>
      <w:lvlJc w:val="left"/>
      <w:pPr>
        <w:ind w:left="3540"/>
      </w:pPr>
      <w:rPr>
        <w:rFonts w:ascii="DejaVu Sans" w:eastAsia="DejaVu Sans" w:hAnsi="DejaVu Sans" w:cs="DejaVu Sans"/>
        <w:b w:val="0"/>
        <w:i w:val="0"/>
        <w:strike w:val="0"/>
        <w:dstrike w:val="0"/>
        <w:color w:val="000000"/>
        <w:sz w:val="24"/>
        <w:szCs w:val="24"/>
        <w:u w:val="none" w:color="000000"/>
        <w:bdr w:val="none" w:sz="0" w:space="0" w:color="auto"/>
        <w:shd w:val="clear" w:color="auto" w:fill="auto"/>
        <w:vertAlign w:val="baseline"/>
      </w:rPr>
    </w:lvl>
    <w:lvl w:ilvl="5" w:tplc="C6FA0BD6">
      <w:start w:val="1"/>
      <w:numFmt w:val="lowerRoman"/>
      <w:lvlText w:val="%6"/>
      <w:lvlJc w:val="left"/>
      <w:pPr>
        <w:ind w:left="4260"/>
      </w:pPr>
      <w:rPr>
        <w:rFonts w:ascii="DejaVu Sans" w:eastAsia="DejaVu Sans" w:hAnsi="DejaVu Sans" w:cs="DejaVu Sans"/>
        <w:b w:val="0"/>
        <w:i w:val="0"/>
        <w:strike w:val="0"/>
        <w:dstrike w:val="0"/>
        <w:color w:val="000000"/>
        <w:sz w:val="24"/>
        <w:szCs w:val="24"/>
        <w:u w:val="none" w:color="000000"/>
        <w:bdr w:val="none" w:sz="0" w:space="0" w:color="auto"/>
        <w:shd w:val="clear" w:color="auto" w:fill="auto"/>
        <w:vertAlign w:val="baseline"/>
      </w:rPr>
    </w:lvl>
    <w:lvl w:ilvl="6" w:tplc="4C76A928">
      <w:start w:val="1"/>
      <w:numFmt w:val="decimal"/>
      <w:lvlText w:val="%7"/>
      <w:lvlJc w:val="left"/>
      <w:pPr>
        <w:ind w:left="4980"/>
      </w:pPr>
      <w:rPr>
        <w:rFonts w:ascii="DejaVu Sans" w:eastAsia="DejaVu Sans" w:hAnsi="DejaVu Sans" w:cs="DejaVu Sans"/>
        <w:b w:val="0"/>
        <w:i w:val="0"/>
        <w:strike w:val="0"/>
        <w:dstrike w:val="0"/>
        <w:color w:val="000000"/>
        <w:sz w:val="24"/>
        <w:szCs w:val="24"/>
        <w:u w:val="none" w:color="000000"/>
        <w:bdr w:val="none" w:sz="0" w:space="0" w:color="auto"/>
        <w:shd w:val="clear" w:color="auto" w:fill="auto"/>
        <w:vertAlign w:val="baseline"/>
      </w:rPr>
    </w:lvl>
    <w:lvl w:ilvl="7" w:tplc="00AC24DC">
      <w:start w:val="1"/>
      <w:numFmt w:val="lowerLetter"/>
      <w:lvlText w:val="%8"/>
      <w:lvlJc w:val="left"/>
      <w:pPr>
        <w:ind w:left="5700"/>
      </w:pPr>
      <w:rPr>
        <w:rFonts w:ascii="DejaVu Sans" w:eastAsia="DejaVu Sans" w:hAnsi="DejaVu Sans" w:cs="DejaVu Sans"/>
        <w:b w:val="0"/>
        <w:i w:val="0"/>
        <w:strike w:val="0"/>
        <w:dstrike w:val="0"/>
        <w:color w:val="000000"/>
        <w:sz w:val="24"/>
        <w:szCs w:val="24"/>
        <w:u w:val="none" w:color="000000"/>
        <w:bdr w:val="none" w:sz="0" w:space="0" w:color="auto"/>
        <w:shd w:val="clear" w:color="auto" w:fill="auto"/>
        <w:vertAlign w:val="baseline"/>
      </w:rPr>
    </w:lvl>
    <w:lvl w:ilvl="8" w:tplc="89562B46">
      <w:start w:val="1"/>
      <w:numFmt w:val="lowerRoman"/>
      <w:lvlText w:val="%9"/>
      <w:lvlJc w:val="left"/>
      <w:pPr>
        <w:ind w:left="6420"/>
      </w:pPr>
      <w:rPr>
        <w:rFonts w:ascii="DejaVu Sans" w:eastAsia="DejaVu Sans" w:hAnsi="DejaVu Sans" w:cs="DejaVu Sans"/>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5"/>
  </w:num>
  <w:num w:numId="3">
    <w:abstractNumId w:val="3"/>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BDD"/>
    <w:rsid w:val="00071C97"/>
    <w:rsid w:val="00083A24"/>
    <w:rsid w:val="000C5640"/>
    <w:rsid w:val="00155ED7"/>
    <w:rsid w:val="00192036"/>
    <w:rsid w:val="002F4592"/>
    <w:rsid w:val="00365259"/>
    <w:rsid w:val="003A0848"/>
    <w:rsid w:val="004057A9"/>
    <w:rsid w:val="005524AE"/>
    <w:rsid w:val="00573202"/>
    <w:rsid w:val="00617135"/>
    <w:rsid w:val="00633434"/>
    <w:rsid w:val="006A15DA"/>
    <w:rsid w:val="006C1512"/>
    <w:rsid w:val="006C32EB"/>
    <w:rsid w:val="006E1CE5"/>
    <w:rsid w:val="00752A9D"/>
    <w:rsid w:val="00772DEE"/>
    <w:rsid w:val="007E1C72"/>
    <w:rsid w:val="007E3B35"/>
    <w:rsid w:val="00920636"/>
    <w:rsid w:val="009A4E23"/>
    <w:rsid w:val="009D2BDD"/>
    <w:rsid w:val="009F0E1E"/>
    <w:rsid w:val="009F4B5C"/>
    <w:rsid w:val="009F4D40"/>
    <w:rsid w:val="00A4297C"/>
    <w:rsid w:val="00AD4A0E"/>
    <w:rsid w:val="00B039E7"/>
    <w:rsid w:val="00B22E9C"/>
    <w:rsid w:val="00B51EA9"/>
    <w:rsid w:val="00C00D6D"/>
    <w:rsid w:val="00C10B65"/>
    <w:rsid w:val="00D04067"/>
    <w:rsid w:val="00D9790D"/>
    <w:rsid w:val="00E12291"/>
    <w:rsid w:val="00F64EF8"/>
    <w:rsid w:val="00F973AE"/>
    <w:rsid w:val="00FD368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F6D5A"/>
  <w15:chartTrackingRefBased/>
  <w15:docId w15:val="{C807BEF9-4731-4D6C-9F29-0F7CEC35E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D2BDD"/>
    <w:pPr>
      <w:spacing w:after="232" w:line="252" w:lineRule="auto"/>
      <w:ind w:left="10" w:hanging="10"/>
      <w:jc w:val="both"/>
    </w:pPr>
    <w:rPr>
      <w:rFonts w:ascii="DejaVu Sans" w:eastAsia="DejaVu Sans" w:hAnsi="DejaVu Sans" w:cs="DejaVu Sans"/>
      <w:color w:val="000000"/>
      <w:kern w:val="2"/>
      <w:sz w:val="24"/>
      <w:lang w:eastAsia="el-GR"/>
    </w:rPr>
  </w:style>
  <w:style w:type="paragraph" w:styleId="Heading1">
    <w:name w:val="heading 1"/>
    <w:next w:val="Normal"/>
    <w:link w:val="Heading1Char"/>
    <w:uiPriority w:val="9"/>
    <w:qFormat/>
    <w:rsid w:val="009D2BDD"/>
    <w:pPr>
      <w:keepNext/>
      <w:keepLines/>
      <w:spacing w:after="223"/>
      <w:ind w:left="23" w:hanging="10"/>
      <w:jc w:val="center"/>
      <w:outlineLvl w:val="0"/>
    </w:pPr>
    <w:rPr>
      <w:rFonts w:ascii="DejaVu Sans" w:eastAsia="DejaVu Sans" w:hAnsi="DejaVu Sans" w:cs="DejaVu Sans"/>
      <w:b/>
      <w:color w:val="000000"/>
      <w:kern w:val="2"/>
      <w:sz w:val="24"/>
      <w:lang w:eastAsia="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2BDD"/>
    <w:rPr>
      <w:rFonts w:ascii="DejaVu Sans" w:eastAsia="DejaVu Sans" w:hAnsi="DejaVu Sans" w:cs="DejaVu Sans"/>
      <w:b/>
      <w:color w:val="000000"/>
      <w:kern w:val="2"/>
      <w:sz w:val="24"/>
      <w:lang w:eastAsia="el-GR"/>
    </w:rPr>
  </w:style>
  <w:style w:type="table" w:styleId="TableGrid">
    <w:name w:val="Table Grid"/>
    <w:basedOn w:val="TableNormal"/>
    <w:uiPriority w:val="39"/>
    <w:rsid w:val="009D2BDD"/>
    <w:pPr>
      <w:spacing w:after="0" w:line="240" w:lineRule="auto"/>
    </w:pPr>
    <w:rPr>
      <w:rFonts w:ascii="Calibri" w:eastAsia="Times New Roman" w:hAnsi="Calibri" w:cs="Times New Roman"/>
      <w:sz w:val="20"/>
      <w:szCs w:val="20"/>
      <w:lang w:eastAsia="el-G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039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4</Pages>
  <Words>1276</Words>
  <Characters>6894</Characters>
  <Application>Microsoft Office Word</Application>
  <DocSecurity>0</DocSecurity>
  <Lines>57</Lines>
  <Paragraphs>16</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8154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Dimitrios Varsamis</cp:lastModifiedBy>
  <cp:revision>22</cp:revision>
  <dcterms:created xsi:type="dcterms:W3CDTF">2025-08-19T08:16:00Z</dcterms:created>
  <dcterms:modified xsi:type="dcterms:W3CDTF">2025-09-02T16:55:00Z</dcterms:modified>
</cp:coreProperties>
</file>